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 (with Externalities)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BCR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170"/>
          </w:tcPr>
          <w:p>
            <w:r>
              <w:t>Base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BCR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</w:tr>
      <w:tr>
        <w:tc>
          <w:tcPr>
            <w:tcW w:type="dxa" w:w="1170"/>
          </w:tcPr>
          <w:p>
            <w:r>
              <w:t>Retrofit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New Bridge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12,844,328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5,066,960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0.72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6.37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3.30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1.68</w:t>
            </w:r>
          </w:p>
        </w:tc>
      </w:tr>
    </w:tbl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BCR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170"/>
          </w:tcPr>
          <w:p>
            <w:r>
              <w:t>Base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BCR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</w:tr>
      <w:tr>
        <w:tc>
          <w:tcPr>
            <w:tcW w:type="dxa" w:w="1170"/>
          </w:tcPr>
          <w:p>
            <w:r>
              <w:t>Retrofit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New Bridge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8,859,566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1,082,198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0.15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3.79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2.28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0.66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Estimated reduction in indirect losses as a result of a seismic event with a 25 year return period.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Estimated reduction in indirect losses as a result of a seismic event with a 25 year return period.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Cost to construct and update roadways to accommodate the new bridge.</w:t>
      </w:r>
    </w:p>
    <w:p>
      <w:r>
        <w:t>Bridge Construction Direct Cost: Cost of new bridge including any right of way or land acquisition costs.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