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 v2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3.0%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Disaster Magnitude: 6.25% of build cost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Net with externalities ($)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040"/>
          </w:tcPr>
          <w:p>
            <w:r>
              <w:t>Base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4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40"/>
          </w:tcPr>
          <w:p>
            <w:r>
              <w:t>Retrofit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40"/>
          </w:tcPr>
          <w:p>
            <w:r>
              <w:t>New Bridge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8,859,566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7,777,368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1,082,198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5,066,960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0.15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3.79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2.28</w:t>
            </w:r>
          </w:p>
        </w:tc>
        <w:tc>
          <w:tcPr>
            <w:tcW w:type="dxa" w:w="1040"/>
          </w:tcPr>
          <w:p>
            <w:pPr>
              <w:jc w:val="right"/>
            </w:pPr>
            <w:r>
              <w:t>0.66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$788,581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Retrofit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Retrofit 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Retrofit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3,007,123</w:t>
            </w:r>
          </w:p>
        </w:tc>
      </w:tr>
    </w:tbl>
    <w:p>
      <w:r>
        <w:t>Retrofit Indirect Loss Reduction: Estimated reduction in indirect losses as a result of a seismic event with a 25 year return period.</w:t>
      </w:r>
    </w:p>
    <w:p>
      <w:r>
        <w:t>Retrofit Response and Recovery: Estimated reduction in response in recovery costs for a seismic event with a 25 year return period.</w:t>
      </w:r>
    </w:p>
    <w:p>
      <w:r>
        <w:t>Retrofit Direct Loss Reduction: Estimated reduction in direct losses as a result of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Retrofit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Retrofit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3,500,000</w:t>
            </w:r>
          </w:p>
        </w:tc>
      </w:tr>
    </w:tbl>
    <w:p>
      <w:r>
        <w:t>Retrofit Indirect Cost: Indirect costs for retrofitting the old bridge. This includes indirect costs of the retrofit actions as well as costs associated with diverted traffic.</w:t>
      </w:r>
    </w:p>
    <w:p>
      <w:r>
        <w:t>Retrofit Direct Cost: Cost to retrofit the old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New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$1,577,162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New Bridge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New Bridge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4,731,487</w:t>
            </w:r>
          </w:p>
        </w:tc>
      </w:tr>
    </w:tbl>
    <w:p>
      <w:r>
        <w:t>New Bridge Indirect Loss Reduction: Estimated reduction in indirect losses as a result of a seismic event with a 25 year return period.</w:t>
      </w:r>
    </w:p>
    <w:p>
      <w:r>
        <w:t>New Bridge Response and Recovery: Estimated reduction in response in recovery costs for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Reduced Commute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</w:tbl>
    <w:p>
      <w:r>
        <w:t>Reduced Commute Time: Estimated benefit incurred due to the reduction of vehicle-hours in traffic as a result of an additional crossing. This benefit is separate from the externalities which focus on community level environmental and social impacts which are not internalized. Instead represent the value of a reduction in travel time itself internalized into the design process.,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6,750,000</w:t>
            </w:r>
          </w:p>
        </w:tc>
      </w:tr>
      <w:tr>
        <w:tc>
          <w:tcPr>
            <w:tcW w:type="dxa" w:w="1872"/>
          </w:tcPr>
          <w:p>
            <w:r>
              <w:t>Additional Roadwork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</w:tr>
      <w:tr>
        <w:tc>
          <w:tcPr>
            <w:tcW w:type="dxa" w:w="1872"/>
          </w:tcPr>
          <w:p>
            <w:r>
              <w:t>Bridge Construction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295,000</w:t>
            </w:r>
          </w:p>
        </w:tc>
      </w:tr>
      <w:tr>
        <w:tc>
          <w:tcPr>
            <w:tcW w:type="dxa" w:w="1872"/>
          </w:tcPr>
          <w:p>
            <w:r>
              <w:t>Additional Roadwork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</w:tr>
      <w:tr>
        <w:tc>
          <w:tcPr>
            <w:tcW w:type="dxa" w:w="1872"/>
          </w:tcPr>
          <w:p>
            <w:r>
              <w:t>Bridge Construction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732,368</w:t>
            </w:r>
          </w:p>
        </w:tc>
      </w:tr>
      <w:tr>
        <w:tc>
          <w:tcPr>
            <w:tcW w:type="dxa" w:w="1872"/>
          </w:tcPr>
          <w:p>
            <w:r>
              <w:t>New Bridge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637,729</w:t>
            </w:r>
          </w:p>
        </w:tc>
      </w:tr>
      <w:tr>
        <w:tc>
          <w:tcPr>
            <w:tcW w:type="dxa" w:w="1872"/>
          </w:tcPr>
          <w:p>
            <w:r>
              <w:t>Additional Roadwork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3,710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94,639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7,777,368</w:t>
            </w:r>
          </w:p>
        </w:tc>
      </w:tr>
    </w:tbl>
    <w:p>
      <w:r>
        <w:t>New Bridge OMR: Cost of operating and maintaining new bridge. Includes costs of inspection as well as maintenance and deck and superstructure repair.</w:t>
      </w:r>
    </w:p>
    <w:p>
      <w:r>
        <w:t>Additional Roadwork Indirect Cost: Indirect costs to construct and update roadways to accommodate the new bridge.</w:t>
      </w:r>
    </w:p>
    <w:p>
      <w:r>
        <w:t>Bridge Construction Indirect Cost: Indirect costs associated with the construction of the new bridge including the costs of an environmental impact study.</w:t>
      </w:r>
    </w:p>
    <w:p>
      <w:r>
        <w:t>Additional Roadwork Direct Cost: Cost to construct and update roadways to accommodate the new bridge.</w:t>
      </w:r>
    </w:p>
    <w:p>
      <w:r>
        <w:t>Bridge Construction Direct Cost: Cost of new bridge including any right of way or land acquisition costs.</w:t>
      </w:r>
    </w:p>
    <w:p>
      <w:r>
        <w:t>Additional Roadwork OMR: Cost of operations and maintenance for upgraded and newly constructed roads to accommodate the new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1872"/>
          </w:tcPr>
          <w:p>
            <w:r>
              <w:t>Greenhous Gas Emissions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77,329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1,972,598</w:t>
            </w:r>
          </w:p>
        </w:tc>
      </w:tr>
      <w:tr>
        <w:tc>
          <w:tcPr>
            <w:tcW w:type="dxa" w:w="1872"/>
          </w:tcPr>
          <w:p>
            <w:r>
              <w:t>Water Pollution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39,081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996,924</w:t>
            </w:r>
          </w:p>
        </w:tc>
      </w:tr>
      <w:tr>
        <w:tc>
          <w:tcPr>
            <w:tcW w:type="dxa" w:w="1872"/>
          </w:tcPr>
          <w:p>
            <w:r>
              <w:t>Better linking of communities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39,799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1,015,239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</w:tbl>
    <w:p>
      <w:r>
        <w:t>Greenhous Gas Emissions: The reduction in greenhouse gas emissions incurred due to fewer vehicle-hours in traffic over the year. This assumes that traffic remains at pre-action levels (i.e. a more efficient road network won't attract more motorists).,</w:t>
      </w:r>
    </w:p>
    <w:p>
      <w:r>
        <w:t>Water Pollution: The reduction in water pollution incurred due to fewer vehicle-hours in traffic over the year. This assumes that traffic remains at pre-action levels (i.e. a more efficient road network won't attract more motorists).,</w:t>
      </w:r>
    </w:p>
    <w:p>
      <w:r>
        <w:t>Better linking of communities: More efficient traffic flow and the inclusion of a pedestrian crossing help strengthen the link between communities on the two sides of the river.,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