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36"/>
          <w:highlight w:val="white"/>
          <w:rtl w:val="0"/>
        </w:rPr>
        <w:t xml:space="preserve">NBD-Requirements Agenda August 6,  2013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ind w:left="740" w:firstLine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a)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14"/>
          <w:highlight w:val="white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Network Implications of BD</w:t>
      </w:r>
    </w:p>
    <w:p w:rsidP="00000000" w:rsidRPr="00000000" w:rsidR="00000000" w:rsidDel="00000000" w:rsidRDefault="00000000">
      <w:pPr>
        <w:ind w:left="740" w:firstLine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b)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14"/>
          <w:highlight w:val="white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Need good vertical representative Use Cases</w:t>
      </w:r>
    </w:p>
    <w:p w:rsidP="00000000" w:rsidRPr="00000000" w:rsidR="00000000" w:rsidDel="00000000" w:rsidRDefault="00000000">
      <w:pPr>
        <w:ind w:left="740" w:firstLine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c)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14"/>
          <w:highlight w:val="white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Discuss process for  interlocking with Cloud Computing  WG</w:t>
      </w:r>
    </w:p>
    <w:p w:rsidP="00000000" w:rsidRPr="00000000" w:rsidR="00000000" w:rsidDel="00000000" w:rsidRDefault="00000000">
      <w:pPr>
        <w:ind w:left="740" w:firstLine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d)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14"/>
          <w:highlight w:val="white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Discuss additional actions to be performed after use cases collected or while they are being collected</w:t>
      </w:r>
    </w:p>
    <w:p w:rsidP="00000000" w:rsidRPr="00000000" w:rsidR="00000000" w:rsidDel="00000000" w:rsidRDefault="00000000">
      <w:pPr>
        <w:ind w:left="740" w:firstLine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e)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14"/>
          <w:highlight w:val="white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Consider individuals and organizations who can contribute. Solicit use cases from them</w:t>
      </w:r>
    </w:p>
    <w:p w:rsidP="00000000" w:rsidRPr="00000000" w:rsidR="00000000" w:rsidDel="00000000" w:rsidRDefault="00000000">
      <w:pPr>
        <w:ind w:left="740" w:firstLine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f)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14"/>
          <w:highlight w:val="white"/>
          <w:rtl w:val="0"/>
        </w:rPr>
        <w:t xml:space="preserve">    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36"/>
          <w:highlight w:val="white"/>
          <w:rtl w:val="0"/>
        </w:rPr>
        <w:t xml:space="preserve">Discuss interlock with other SG, particularly Reference Architecture and Roadmap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NBD-Requirements Agenda August 6,  2013.docx</dc:title>
</cp:coreProperties>
</file>