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8" w:rsidRPr="00010559" w:rsidRDefault="00682ED8" w:rsidP="003F7222">
      <w:pPr>
        <w:pStyle w:val="NoSpacing"/>
        <w:rPr>
          <w:b/>
          <w:sz w:val="32"/>
          <w:szCs w:val="32"/>
        </w:rPr>
      </w:pPr>
      <w:proofErr w:type="gramStart"/>
      <w:r w:rsidRPr="00991DC4">
        <w:rPr>
          <w:b/>
          <w:sz w:val="24"/>
          <w:szCs w:val="32"/>
        </w:rPr>
        <w:t>NBD(</w:t>
      </w:r>
      <w:proofErr w:type="gramEnd"/>
      <w:r w:rsidRPr="00010559">
        <w:rPr>
          <w:b/>
          <w:sz w:val="32"/>
          <w:szCs w:val="32"/>
        </w:rPr>
        <w:t>NIST Big Data) Requirements WG Use Case Template</w:t>
      </w:r>
      <w:r>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682ED8" w:rsidRPr="00C77AEF" w:rsidRDefault="00CC77B2" w:rsidP="00CC77B2">
            <w:pPr>
              <w:pStyle w:val="NoSpacing"/>
              <w:rPr>
                <w:rFonts w:ascii="Arial" w:hAnsi="Arial" w:cs="Arial"/>
                <w:sz w:val="20"/>
                <w:szCs w:val="20"/>
              </w:rPr>
            </w:pPr>
            <w:bookmarkStart w:id="0" w:name="_GoBack"/>
            <w:r>
              <w:rPr>
                <w:rFonts w:ascii="Arial" w:hAnsi="Arial" w:cs="Arial"/>
                <w:sz w:val="20"/>
                <w:szCs w:val="20"/>
              </w:rPr>
              <w:t>The ‘</w:t>
            </w:r>
            <w:proofErr w:type="spellStart"/>
            <w:r>
              <w:rPr>
                <w:rFonts w:ascii="Arial" w:hAnsi="Arial" w:cs="Arial"/>
                <w:sz w:val="20"/>
                <w:szCs w:val="20"/>
              </w:rPr>
              <w:t>Discinnet</w:t>
            </w:r>
            <w:proofErr w:type="spellEnd"/>
            <w:r>
              <w:rPr>
                <w:rFonts w:ascii="Arial" w:hAnsi="Arial" w:cs="Arial"/>
                <w:sz w:val="20"/>
                <w:szCs w:val="20"/>
              </w:rPr>
              <w:t xml:space="preserve"> process’, metadata </w:t>
            </w:r>
            <w:r w:rsidR="00F25A22">
              <w:rPr>
                <w:rFonts w:ascii="Arial" w:hAnsi="Arial" w:cs="Arial"/>
                <w:sz w:val="20"/>
                <w:szCs w:val="20"/>
              </w:rPr>
              <w:t xml:space="preserve">&lt;-&gt; big data </w:t>
            </w:r>
            <w:r>
              <w:rPr>
                <w:rFonts w:ascii="Arial" w:hAnsi="Arial" w:cs="Arial"/>
                <w:sz w:val="20"/>
                <w:szCs w:val="20"/>
              </w:rPr>
              <w:t>global experiment</w:t>
            </w:r>
            <w:bookmarkEnd w:id="0"/>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682ED8" w:rsidRPr="00C77AEF" w:rsidRDefault="00F25A22" w:rsidP="009A6AB1">
            <w:pPr>
              <w:pStyle w:val="NoSpacing"/>
              <w:rPr>
                <w:rFonts w:ascii="Arial" w:hAnsi="Arial" w:cs="Arial"/>
                <w:sz w:val="20"/>
                <w:szCs w:val="20"/>
              </w:rPr>
            </w:pPr>
            <w:r>
              <w:rPr>
                <w:rFonts w:ascii="Arial" w:hAnsi="Arial" w:cs="Arial"/>
                <w:sz w:val="20"/>
                <w:szCs w:val="20"/>
              </w:rPr>
              <w:t>Multidisciplinary / Natural sciences</w:t>
            </w:r>
          </w:p>
        </w:tc>
      </w:tr>
      <w:tr w:rsidR="00682ED8" w:rsidRPr="00CC77B2"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682ED8" w:rsidRPr="00CC77B2" w:rsidRDefault="00CC77B2" w:rsidP="009A6AB1">
            <w:pPr>
              <w:pStyle w:val="NoSpacing"/>
              <w:rPr>
                <w:rFonts w:ascii="Arial" w:hAnsi="Arial" w:cs="Arial"/>
                <w:sz w:val="20"/>
                <w:szCs w:val="20"/>
                <w:lang w:val="fr-FR"/>
              </w:rPr>
            </w:pPr>
            <w:r w:rsidRPr="00CC77B2">
              <w:rPr>
                <w:rFonts w:ascii="Arial" w:hAnsi="Arial" w:cs="Arial"/>
                <w:sz w:val="20"/>
                <w:szCs w:val="20"/>
                <w:lang w:val="fr-FR"/>
              </w:rPr>
              <w:t xml:space="preserve">P. </w:t>
            </w:r>
            <w:proofErr w:type="spellStart"/>
            <w:r w:rsidRPr="00CC77B2">
              <w:rPr>
                <w:rFonts w:ascii="Arial" w:hAnsi="Arial" w:cs="Arial"/>
                <w:sz w:val="20"/>
                <w:szCs w:val="20"/>
                <w:lang w:val="fr-FR"/>
              </w:rPr>
              <w:t>Journeau</w:t>
            </w:r>
            <w:proofErr w:type="spellEnd"/>
            <w:r w:rsidRPr="00CC77B2">
              <w:rPr>
                <w:rFonts w:ascii="Arial" w:hAnsi="Arial" w:cs="Arial"/>
                <w:sz w:val="20"/>
                <w:szCs w:val="20"/>
                <w:lang w:val="fr-FR"/>
              </w:rPr>
              <w:t xml:space="preserve"> / </w:t>
            </w:r>
            <w:proofErr w:type="spellStart"/>
            <w:r w:rsidRPr="00CC77B2">
              <w:rPr>
                <w:rFonts w:ascii="Arial" w:hAnsi="Arial" w:cs="Arial"/>
                <w:sz w:val="20"/>
                <w:szCs w:val="20"/>
                <w:lang w:val="fr-FR"/>
              </w:rPr>
              <w:t>Discinnet</w:t>
            </w:r>
            <w:proofErr w:type="spellEnd"/>
            <w:r w:rsidRPr="00CC77B2">
              <w:rPr>
                <w:rFonts w:ascii="Arial" w:hAnsi="Arial" w:cs="Arial"/>
                <w:sz w:val="20"/>
                <w:szCs w:val="20"/>
                <w:lang w:val="fr-FR"/>
              </w:rPr>
              <w:t xml:space="preserve"> </w:t>
            </w:r>
            <w:proofErr w:type="spellStart"/>
            <w:r w:rsidRPr="00CC77B2">
              <w:rPr>
                <w:rFonts w:ascii="Arial" w:hAnsi="Arial" w:cs="Arial"/>
                <w:sz w:val="20"/>
                <w:szCs w:val="20"/>
                <w:lang w:val="fr-FR"/>
              </w:rPr>
              <w:t>Labs</w:t>
            </w:r>
            <w:proofErr w:type="spellEnd"/>
            <w:r w:rsidRPr="00CC77B2">
              <w:rPr>
                <w:rFonts w:ascii="Arial" w:hAnsi="Arial" w:cs="Arial"/>
                <w:sz w:val="20"/>
                <w:szCs w:val="20"/>
                <w:lang w:val="fr-FR"/>
              </w:rPr>
              <w:t xml:space="preserve"> / </w:t>
            </w:r>
            <w:hyperlink r:id="rId5" w:history="1">
              <w:r w:rsidRPr="00CC77B2">
                <w:rPr>
                  <w:rStyle w:val="Hyperlink"/>
                  <w:rFonts w:ascii="Arial" w:hAnsi="Arial" w:cs="Arial"/>
                  <w:sz w:val="20"/>
                  <w:szCs w:val="20"/>
                  <w:lang w:val="fr-FR"/>
                </w:rPr>
                <w:t>phjourneau@discinnet.org</w:t>
              </w:r>
            </w:hyperlink>
            <w:r w:rsidRPr="00CC77B2">
              <w:rPr>
                <w:rFonts w:ascii="Arial" w:hAnsi="Arial" w:cs="Arial"/>
                <w:sz w:val="20"/>
                <w:szCs w:val="20"/>
                <w:lang w:val="fr-FR"/>
              </w:rPr>
              <w:t xml:space="preserve"> </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682ED8" w:rsidRPr="00C77AEF" w:rsidRDefault="00F25A22" w:rsidP="00F25A22">
            <w:pPr>
              <w:pStyle w:val="NoSpacing"/>
              <w:rPr>
                <w:rFonts w:ascii="Arial" w:hAnsi="Arial" w:cs="Arial"/>
                <w:sz w:val="20"/>
                <w:szCs w:val="20"/>
              </w:rPr>
            </w:pPr>
            <w:r>
              <w:rPr>
                <w:rFonts w:ascii="Arial" w:hAnsi="Arial" w:cs="Arial"/>
                <w:sz w:val="20"/>
                <w:szCs w:val="20"/>
              </w:rPr>
              <w:t xml:space="preserve">Actors </w:t>
            </w:r>
            <w:proofErr w:type="spellStart"/>
            <w:r>
              <w:rPr>
                <w:rFonts w:ascii="Arial" w:hAnsi="Arial" w:cs="Arial"/>
                <w:sz w:val="20"/>
                <w:szCs w:val="20"/>
              </w:rPr>
              <w:t>Richeact</w:t>
            </w:r>
            <w:proofErr w:type="spellEnd"/>
            <w:r>
              <w:rPr>
                <w:rFonts w:ascii="Arial" w:hAnsi="Arial" w:cs="Arial"/>
                <w:sz w:val="20"/>
                <w:szCs w:val="20"/>
              </w:rPr>
              <w:t xml:space="preserve">, </w:t>
            </w:r>
            <w:proofErr w:type="spellStart"/>
            <w:r>
              <w:rPr>
                <w:rFonts w:ascii="Arial" w:hAnsi="Arial" w:cs="Arial"/>
                <w:sz w:val="20"/>
                <w:szCs w:val="20"/>
              </w:rPr>
              <w:t>Discinnet</w:t>
            </w:r>
            <w:proofErr w:type="spellEnd"/>
            <w:r>
              <w:rPr>
                <w:rFonts w:ascii="Arial" w:hAnsi="Arial" w:cs="Arial"/>
                <w:sz w:val="20"/>
                <w:szCs w:val="20"/>
              </w:rPr>
              <w:t xml:space="preserve"> Labs and I4</w:t>
            </w:r>
            <w:r w:rsidR="00540ACE">
              <w:rPr>
                <w:rFonts w:ascii="Arial" w:hAnsi="Arial" w:cs="Arial"/>
                <w:sz w:val="20"/>
                <w:szCs w:val="20"/>
              </w:rPr>
              <w:t xml:space="preserve"> </w:t>
            </w:r>
            <w:r>
              <w:rPr>
                <w:rFonts w:ascii="Arial" w:hAnsi="Arial" w:cs="Arial"/>
                <w:sz w:val="20"/>
                <w:szCs w:val="20"/>
              </w:rPr>
              <w:t xml:space="preserve">OpenResearch fund France/Europe. American equivalent pending. </w:t>
            </w:r>
            <w:proofErr w:type="spellStart"/>
            <w:proofErr w:type="gramStart"/>
            <w:r>
              <w:rPr>
                <w:rFonts w:ascii="Arial" w:hAnsi="Arial" w:cs="Arial"/>
                <w:sz w:val="20"/>
                <w:szCs w:val="20"/>
              </w:rPr>
              <w:t>Richeact</w:t>
            </w:r>
            <w:proofErr w:type="spellEnd"/>
            <w:r>
              <w:rPr>
                <w:rFonts w:ascii="Arial" w:hAnsi="Arial" w:cs="Arial"/>
                <w:sz w:val="20"/>
                <w:szCs w:val="20"/>
              </w:rPr>
              <w:t xml:space="preserve">  is</w:t>
            </w:r>
            <w:proofErr w:type="gramEnd"/>
            <w:r>
              <w:rPr>
                <w:rFonts w:ascii="Arial" w:hAnsi="Arial" w:cs="Arial"/>
                <w:sz w:val="20"/>
                <w:szCs w:val="20"/>
              </w:rPr>
              <w:t xml:space="preserve"> fundamental R&amp;D epistemology, </w:t>
            </w:r>
            <w:proofErr w:type="spellStart"/>
            <w:r>
              <w:rPr>
                <w:rFonts w:ascii="Arial" w:hAnsi="Arial" w:cs="Arial"/>
                <w:sz w:val="20"/>
                <w:szCs w:val="20"/>
              </w:rPr>
              <w:t>Discinnet</w:t>
            </w:r>
            <w:proofErr w:type="spellEnd"/>
            <w:r>
              <w:rPr>
                <w:rFonts w:ascii="Arial" w:hAnsi="Arial" w:cs="Arial"/>
                <w:sz w:val="20"/>
                <w:szCs w:val="20"/>
              </w:rPr>
              <w:t xml:space="preserve"> Labs applied in web 2.0 </w:t>
            </w:r>
            <w:hyperlink r:id="rId6" w:history="1">
              <w:r w:rsidRPr="009B0D33">
                <w:rPr>
                  <w:rStyle w:val="Hyperlink"/>
                  <w:rFonts w:ascii="Arial" w:hAnsi="Arial" w:cs="Arial"/>
                  <w:sz w:val="20"/>
                  <w:szCs w:val="20"/>
                </w:rPr>
                <w:t>www.discinnet.org</w:t>
              </w:r>
            </w:hyperlink>
            <w:r>
              <w:rPr>
                <w:rFonts w:ascii="Arial" w:hAnsi="Arial" w:cs="Arial"/>
                <w:sz w:val="20"/>
                <w:szCs w:val="20"/>
              </w:rPr>
              <w:t>, I4 non-profit warrant.</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682ED8" w:rsidRPr="00C77AEF" w:rsidRDefault="00F25A22" w:rsidP="00EA000C">
            <w:pPr>
              <w:pStyle w:val="NoSpacing"/>
              <w:rPr>
                <w:rFonts w:ascii="Arial" w:hAnsi="Arial" w:cs="Arial"/>
                <w:sz w:val="20"/>
                <w:szCs w:val="20"/>
              </w:rPr>
            </w:pPr>
            <w:proofErr w:type="spellStart"/>
            <w:r>
              <w:rPr>
                <w:rFonts w:ascii="Arial" w:hAnsi="Arial" w:cs="Arial"/>
                <w:sz w:val="20"/>
                <w:szCs w:val="20"/>
              </w:rPr>
              <w:t>Richeact</w:t>
            </w:r>
            <w:proofErr w:type="spellEnd"/>
            <w:r>
              <w:rPr>
                <w:rFonts w:ascii="Arial" w:hAnsi="Arial" w:cs="Arial"/>
                <w:sz w:val="20"/>
                <w:szCs w:val="20"/>
              </w:rPr>
              <w:t xml:space="preserve"> scientific goal is to reach predictive interdisciplinary model of research fields’ behavior</w:t>
            </w:r>
            <w:r w:rsidR="00655890">
              <w:rPr>
                <w:rFonts w:ascii="Arial" w:hAnsi="Arial" w:cs="Arial"/>
                <w:sz w:val="20"/>
                <w:szCs w:val="20"/>
              </w:rPr>
              <w:t xml:space="preserve"> (with related meta-grammar). Experimentation t</w:t>
            </w:r>
            <w:r>
              <w:rPr>
                <w:rFonts w:ascii="Arial" w:hAnsi="Arial" w:cs="Arial"/>
                <w:sz w:val="20"/>
                <w:szCs w:val="20"/>
              </w:rPr>
              <w:t>hrough</w:t>
            </w:r>
            <w:r w:rsidR="00655890">
              <w:rPr>
                <w:rFonts w:ascii="Arial" w:hAnsi="Arial" w:cs="Arial"/>
                <w:sz w:val="20"/>
                <w:szCs w:val="20"/>
              </w:rPr>
              <w:t xml:space="preserve"> global sharing of now multidisciplinary, later interdisciplinary </w:t>
            </w:r>
            <w:proofErr w:type="spellStart"/>
            <w:r w:rsidR="00655890">
              <w:rPr>
                <w:rFonts w:ascii="Arial" w:hAnsi="Arial" w:cs="Arial"/>
                <w:sz w:val="20"/>
                <w:szCs w:val="20"/>
              </w:rPr>
              <w:t>Discinnet</w:t>
            </w:r>
            <w:proofErr w:type="spellEnd"/>
            <w:r w:rsidR="00655890">
              <w:rPr>
                <w:rFonts w:ascii="Arial" w:hAnsi="Arial" w:cs="Arial"/>
                <w:sz w:val="20"/>
                <w:szCs w:val="20"/>
              </w:rPr>
              <w:t xml:space="preserve"> process/web mapping and new scientific collaborative communication and publication system. Expected </w:t>
            </w:r>
            <w:r w:rsidR="00EA000C">
              <w:rPr>
                <w:rFonts w:ascii="Arial" w:hAnsi="Arial" w:cs="Arial"/>
                <w:sz w:val="20"/>
                <w:szCs w:val="20"/>
              </w:rPr>
              <w:t xml:space="preserve">sharp </w:t>
            </w:r>
            <w:r w:rsidR="00655890">
              <w:rPr>
                <w:rFonts w:ascii="Arial" w:hAnsi="Arial" w:cs="Arial"/>
                <w:sz w:val="20"/>
                <w:szCs w:val="20"/>
              </w:rPr>
              <w:t xml:space="preserve">impact </w:t>
            </w:r>
            <w:r w:rsidR="00EA000C">
              <w:rPr>
                <w:rFonts w:ascii="Arial" w:hAnsi="Arial" w:cs="Arial"/>
                <w:sz w:val="20"/>
                <w:szCs w:val="20"/>
              </w:rPr>
              <w:t xml:space="preserve">to </w:t>
            </w:r>
            <w:r w:rsidR="00655890">
              <w:rPr>
                <w:rFonts w:ascii="Arial" w:hAnsi="Arial" w:cs="Arial"/>
                <w:sz w:val="20"/>
                <w:szCs w:val="20"/>
              </w:rPr>
              <w:t xml:space="preserve">reducing uncertainty and time between </w:t>
            </w:r>
            <w:r w:rsidR="00EA000C">
              <w:rPr>
                <w:rFonts w:ascii="Arial" w:hAnsi="Arial" w:cs="Arial"/>
                <w:sz w:val="20"/>
                <w:szCs w:val="20"/>
              </w:rPr>
              <w:t>theoretical, applied, technology R&amp;D steps</w:t>
            </w:r>
            <w:r w:rsidR="003E4D97">
              <w:rPr>
                <w:rFonts w:ascii="Arial" w:hAnsi="Arial" w:cs="Arial"/>
                <w:sz w:val="20"/>
                <w:szCs w:val="20"/>
              </w:rPr>
              <w:t>.</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682ED8" w:rsidRDefault="00655890" w:rsidP="009A6AB1">
            <w:pPr>
              <w:pStyle w:val="NoSpacing"/>
              <w:rPr>
                <w:rFonts w:ascii="Arial" w:hAnsi="Arial" w:cs="Arial"/>
                <w:sz w:val="20"/>
                <w:szCs w:val="20"/>
              </w:rPr>
            </w:pPr>
            <w:r>
              <w:rPr>
                <w:rFonts w:ascii="Arial" w:hAnsi="Arial" w:cs="Arial"/>
                <w:sz w:val="20"/>
                <w:szCs w:val="20"/>
              </w:rPr>
              <w:t xml:space="preserve">Currently </w:t>
            </w:r>
            <w:r w:rsidR="00011515">
              <w:rPr>
                <w:rFonts w:ascii="Arial" w:hAnsi="Arial" w:cs="Arial"/>
                <w:sz w:val="20"/>
                <w:szCs w:val="20"/>
              </w:rPr>
              <w:t xml:space="preserve">35 clusters started, close to 100 awaiting more resources and potentially much more open for creation, administration and animation by research communities. Examples range from optics, cosmology, materials, microalgae, health to applied </w:t>
            </w:r>
            <w:proofErr w:type="spellStart"/>
            <w:r w:rsidR="00011515">
              <w:rPr>
                <w:rFonts w:ascii="Arial" w:hAnsi="Arial" w:cs="Arial"/>
                <w:sz w:val="20"/>
                <w:szCs w:val="20"/>
              </w:rPr>
              <w:t>maths</w:t>
            </w:r>
            <w:proofErr w:type="spellEnd"/>
            <w:r w:rsidR="00011515">
              <w:rPr>
                <w:rFonts w:ascii="Arial" w:hAnsi="Arial" w:cs="Arial"/>
                <w:sz w:val="20"/>
                <w:szCs w:val="20"/>
              </w:rPr>
              <w:t>, computation, rubber and other chemical products/issues.</w:t>
            </w:r>
          </w:p>
          <w:p w:rsidR="00682ED8" w:rsidRDefault="00011515" w:rsidP="009A6AB1">
            <w:pPr>
              <w:pStyle w:val="NoSpacing"/>
              <w:rPr>
                <w:rFonts w:ascii="Arial" w:hAnsi="Arial" w:cs="Arial"/>
                <w:sz w:val="20"/>
                <w:szCs w:val="20"/>
              </w:rPr>
            </w:pPr>
            <w:r>
              <w:rPr>
                <w:rFonts w:ascii="Arial" w:hAnsi="Arial" w:cs="Arial"/>
                <w:sz w:val="20"/>
                <w:szCs w:val="20"/>
              </w:rPr>
              <w:t>How does a typical case currently work:</w:t>
            </w:r>
          </w:p>
          <w:p w:rsidR="00011515" w:rsidRDefault="00011515" w:rsidP="00011515">
            <w:pPr>
              <w:pStyle w:val="NoSpacing"/>
              <w:numPr>
                <w:ilvl w:val="0"/>
                <w:numId w:val="39"/>
              </w:numPr>
              <w:rPr>
                <w:rFonts w:ascii="Arial" w:hAnsi="Arial" w:cs="Arial"/>
                <w:sz w:val="20"/>
                <w:szCs w:val="20"/>
              </w:rPr>
            </w:pPr>
            <w:r>
              <w:rPr>
                <w:rFonts w:ascii="Arial" w:hAnsi="Arial" w:cs="Arial"/>
                <w:sz w:val="20"/>
                <w:szCs w:val="20"/>
              </w:rPr>
              <w:t xml:space="preserve">A researcher or group wants to see how a research field is faring and in a minute defines the field on </w:t>
            </w:r>
            <w:proofErr w:type="spellStart"/>
            <w:r>
              <w:rPr>
                <w:rFonts w:ascii="Arial" w:hAnsi="Arial" w:cs="Arial"/>
                <w:sz w:val="20"/>
                <w:szCs w:val="20"/>
              </w:rPr>
              <w:t>Discinnet</w:t>
            </w:r>
            <w:proofErr w:type="spellEnd"/>
            <w:r>
              <w:rPr>
                <w:rFonts w:ascii="Arial" w:hAnsi="Arial" w:cs="Arial"/>
                <w:sz w:val="20"/>
                <w:szCs w:val="20"/>
              </w:rPr>
              <w:t xml:space="preserve"> as a ‘cluster’</w:t>
            </w:r>
          </w:p>
          <w:p w:rsidR="00011515" w:rsidRDefault="00011515" w:rsidP="00011515">
            <w:pPr>
              <w:pStyle w:val="NoSpacing"/>
              <w:numPr>
                <w:ilvl w:val="0"/>
                <w:numId w:val="39"/>
              </w:numPr>
              <w:rPr>
                <w:rFonts w:ascii="Arial" w:hAnsi="Arial" w:cs="Arial"/>
                <w:sz w:val="20"/>
                <w:szCs w:val="20"/>
              </w:rPr>
            </w:pPr>
            <w:r>
              <w:rPr>
                <w:rFonts w:ascii="Arial" w:hAnsi="Arial" w:cs="Arial"/>
                <w:sz w:val="20"/>
                <w:szCs w:val="20"/>
              </w:rPr>
              <w:t xml:space="preserve">Then it takes another 5 to 10 </w:t>
            </w:r>
            <w:proofErr w:type="spellStart"/>
            <w:r>
              <w:rPr>
                <w:rFonts w:ascii="Arial" w:hAnsi="Arial" w:cs="Arial"/>
                <w:sz w:val="20"/>
                <w:szCs w:val="20"/>
              </w:rPr>
              <w:t>mn</w:t>
            </w:r>
            <w:proofErr w:type="spellEnd"/>
            <w:r>
              <w:rPr>
                <w:rFonts w:ascii="Arial" w:hAnsi="Arial" w:cs="Arial"/>
                <w:sz w:val="20"/>
                <w:szCs w:val="20"/>
              </w:rPr>
              <w:t xml:space="preserve"> to parameter the first/main dimensions, mainly measurement units and categories, but possibly later on</w:t>
            </w:r>
            <w:r w:rsidR="00EA3747">
              <w:rPr>
                <w:rFonts w:ascii="Arial" w:hAnsi="Arial" w:cs="Arial"/>
                <w:sz w:val="20"/>
                <w:szCs w:val="20"/>
              </w:rPr>
              <w:t xml:space="preserve"> some variable limited time for more dimensions</w:t>
            </w:r>
          </w:p>
          <w:p w:rsidR="00EA3747" w:rsidRDefault="00EA3747" w:rsidP="00011515">
            <w:pPr>
              <w:pStyle w:val="NoSpacing"/>
              <w:numPr>
                <w:ilvl w:val="0"/>
                <w:numId w:val="39"/>
              </w:numPr>
              <w:rPr>
                <w:rFonts w:ascii="Arial" w:hAnsi="Arial" w:cs="Arial"/>
                <w:sz w:val="20"/>
                <w:szCs w:val="20"/>
              </w:rPr>
            </w:pPr>
            <w:r>
              <w:rPr>
                <w:rFonts w:ascii="Arial" w:hAnsi="Arial" w:cs="Arial"/>
                <w:sz w:val="20"/>
                <w:szCs w:val="20"/>
              </w:rPr>
              <w:t>Cluster then may be filled either by doctoral students or reviewing researchers and/or communities/researchers for projects/progress</w:t>
            </w:r>
          </w:p>
          <w:p w:rsidR="00682ED8" w:rsidRPr="00C77AEF" w:rsidRDefault="00EA3747" w:rsidP="00EA3747">
            <w:pPr>
              <w:pStyle w:val="NoSpacing"/>
              <w:rPr>
                <w:rFonts w:ascii="Arial" w:hAnsi="Arial" w:cs="Arial"/>
                <w:sz w:val="20"/>
                <w:szCs w:val="20"/>
              </w:rPr>
            </w:pPr>
            <w:r>
              <w:rPr>
                <w:rFonts w:ascii="Arial" w:hAnsi="Arial" w:cs="Arial"/>
                <w:sz w:val="20"/>
                <w:szCs w:val="20"/>
              </w:rPr>
              <w:t>Already significant value but now needs to be disseminated and advertised although maximal value to come from interdisciplinary/projective next version. Value is to detect quickly a paper/project of interest for its results and next step is trajectory of the field under types of interactions from diverse levels of oracles (subjects/objects) + from interdisciplinary context.</w:t>
            </w:r>
          </w:p>
        </w:tc>
      </w:tr>
      <w:tr w:rsidR="00682ED8" w:rsidRPr="00C77AEF" w:rsidTr="009A6AB1">
        <w:trPr>
          <w:trHeight w:val="350"/>
        </w:trPr>
        <w:tc>
          <w:tcPr>
            <w:tcW w:w="1717" w:type="dxa"/>
            <w:vMerge w:val="restart"/>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682ED8" w:rsidRPr="00C77AEF" w:rsidRDefault="00011515" w:rsidP="009A6AB1">
            <w:pPr>
              <w:pStyle w:val="NoSpacing"/>
              <w:rPr>
                <w:rFonts w:ascii="Arial" w:hAnsi="Arial" w:cs="Arial"/>
                <w:sz w:val="20"/>
                <w:szCs w:val="20"/>
              </w:rPr>
            </w:pPr>
            <w:r>
              <w:rPr>
                <w:rFonts w:ascii="Arial" w:hAnsi="Arial" w:cs="Arial"/>
                <w:sz w:val="20"/>
                <w:szCs w:val="20"/>
              </w:rPr>
              <w:t>Currently on OVH servers</w:t>
            </w:r>
            <w:r w:rsidR="00831F43">
              <w:rPr>
                <w:rFonts w:ascii="Arial" w:hAnsi="Arial" w:cs="Arial"/>
                <w:sz w:val="20"/>
                <w:szCs w:val="20"/>
              </w:rPr>
              <w:t xml:space="preserve"> (mix shared + dedicated)</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682ED8" w:rsidRPr="00C77AEF" w:rsidRDefault="00011515" w:rsidP="009A6AB1">
            <w:pPr>
              <w:pStyle w:val="NoSpacing"/>
              <w:rPr>
                <w:rFonts w:ascii="Arial" w:hAnsi="Arial" w:cs="Arial"/>
                <w:sz w:val="20"/>
                <w:szCs w:val="20"/>
              </w:rPr>
            </w:pPr>
            <w:r>
              <w:rPr>
                <w:rFonts w:ascii="Arial" w:hAnsi="Arial" w:cs="Arial"/>
                <w:sz w:val="20"/>
                <w:szCs w:val="20"/>
              </w:rPr>
              <w:t>OVH</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682ED8" w:rsidRPr="00C77AEF" w:rsidRDefault="00EA3747" w:rsidP="009A6AB1">
            <w:pPr>
              <w:pStyle w:val="NoSpacing"/>
              <w:rPr>
                <w:rFonts w:ascii="Arial" w:hAnsi="Arial" w:cs="Arial"/>
                <w:sz w:val="20"/>
                <w:szCs w:val="20"/>
              </w:rPr>
            </w:pPr>
            <w:r>
              <w:rPr>
                <w:rFonts w:ascii="Arial" w:hAnsi="Arial" w:cs="Arial"/>
                <w:sz w:val="20"/>
                <w:szCs w:val="20"/>
              </w:rPr>
              <w:t>To be implemented with desired integration with others</w:t>
            </w:r>
          </w:p>
        </w:tc>
      </w:tr>
      <w:tr w:rsidR="00682ED8" w:rsidRPr="00C77AEF" w:rsidTr="009A6AB1">
        <w:trPr>
          <w:trHeight w:val="350"/>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682ED8" w:rsidRPr="00C77AEF" w:rsidRDefault="004F5D4D" w:rsidP="009A6AB1">
            <w:pPr>
              <w:pStyle w:val="NoSpacing"/>
              <w:rPr>
                <w:rFonts w:ascii="Arial" w:hAnsi="Arial" w:cs="Arial"/>
                <w:sz w:val="20"/>
                <w:szCs w:val="20"/>
              </w:rPr>
            </w:pPr>
            <w:r>
              <w:rPr>
                <w:rFonts w:ascii="Arial" w:hAnsi="Arial" w:cs="Arial"/>
                <w:sz w:val="20"/>
                <w:szCs w:val="20"/>
              </w:rPr>
              <w:t xml:space="preserve">Current version with </w:t>
            </w:r>
            <w:proofErr w:type="spellStart"/>
            <w:r w:rsidR="00731F46">
              <w:rPr>
                <w:rFonts w:ascii="Arial" w:hAnsi="Arial" w:cs="Arial"/>
                <w:sz w:val="20"/>
                <w:szCs w:val="20"/>
              </w:rPr>
              <w:t>Symfony</w:t>
            </w:r>
            <w:proofErr w:type="spellEnd"/>
            <w:r w:rsidR="00731F46">
              <w:rPr>
                <w:rFonts w:ascii="Arial" w:hAnsi="Arial" w:cs="Arial"/>
                <w:sz w:val="20"/>
                <w:szCs w:val="20"/>
              </w:rPr>
              <w:t>-PHP, Linux, MySQL</w:t>
            </w:r>
          </w:p>
        </w:tc>
      </w:tr>
      <w:tr w:rsidR="00682ED8" w:rsidRPr="00C77AEF" w:rsidTr="009A6AB1">
        <w:trPr>
          <w:trHeight w:val="350"/>
        </w:trPr>
        <w:tc>
          <w:tcPr>
            <w:tcW w:w="1717" w:type="dxa"/>
            <w:vMerge w:val="restart"/>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82ED8" w:rsidRPr="00C77AEF" w:rsidRDefault="00682ED8" w:rsidP="009A6AB1">
            <w:pPr>
              <w:pStyle w:val="NoSpacing"/>
              <w:jc w:val="right"/>
              <w:rPr>
                <w:rFonts w:ascii="Arial" w:hAnsi="Arial" w:cs="Arial"/>
                <w:b/>
                <w:sz w:val="20"/>
                <w:szCs w:val="20"/>
              </w:rPr>
            </w:pPr>
          </w:p>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682ED8" w:rsidRPr="00C77AEF" w:rsidRDefault="004F5D4D" w:rsidP="009A6AB1">
            <w:pPr>
              <w:pStyle w:val="NoSpacing"/>
              <w:rPr>
                <w:rFonts w:ascii="Arial" w:hAnsi="Arial" w:cs="Arial"/>
                <w:sz w:val="20"/>
                <w:szCs w:val="20"/>
              </w:rPr>
            </w:pPr>
            <w:r>
              <w:rPr>
                <w:rFonts w:ascii="Arial" w:hAnsi="Arial" w:cs="Arial"/>
                <w:sz w:val="20"/>
                <w:szCs w:val="20"/>
              </w:rPr>
              <w:t>Currently centralized, soon distributed per country and even per hosting institution interested by own platform</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682ED8" w:rsidRPr="00C64DA1" w:rsidRDefault="004F5D4D" w:rsidP="00C64DA1">
            <w:pPr>
              <w:pStyle w:val="NoSpacing"/>
              <w:rPr>
                <w:rFonts w:ascii="Arial" w:hAnsi="Arial" w:cs="Arial"/>
                <w:sz w:val="20"/>
                <w:szCs w:val="20"/>
              </w:rPr>
            </w:pPr>
            <w:r>
              <w:rPr>
                <w:rFonts w:ascii="Arial" w:hAnsi="Arial" w:cs="Arial"/>
                <w:sz w:val="20"/>
                <w:szCs w:val="20"/>
              </w:rPr>
              <w:t>Not significant : this is a metadata base, not big data</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682ED8" w:rsidRPr="00C64DA1" w:rsidRDefault="004F5D4D" w:rsidP="00C64DA1">
            <w:pPr>
              <w:pStyle w:val="NoSpacing"/>
              <w:rPr>
                <w:rFonts w:ascii="Arial" w:hAnsi="Arial" w:cs="Arial"/>
                <w:sz w:val="20"/>
                <w:szCs w:val="20"/>
              </w:rPr>
            </w:pPr>
            <w:r>
              <w:rPr>
                <w:rFonts w:ascii="Arial" w:hAnsi="Arial" w:cs="Arial"/>
                <w:sz w:val="20"/>
                <w:szCs w:val="20"/>
              </w:rPr>
              <w:t>Real time</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682ED8" w:rsidRPr="00C64DA1" w:rsidRDefault="004F5D4D" w:rsidP="00C64DA1">
            <w:pPr>
              <w:pStyle w:val="NoSpacing"/>
              <w:rPr>
                <w:rFonts w:ascii="Arial" w:hAnsi="Arial" w:cs="Arial"/>
                <w:sz w:val="20"/>
                <w:szCs w:val="20"/>
              </w:rPr>
            </w:pPr>
            <w:r>
              <w:rPr>
                <w:rFonts w:ascii="Arial" w:hAnsi="Arial" w:cs="Arial"/>
                <w:sz w:val="20"/>
                <w:szCs w:val="20"/>
              </w:rPr>
              <w:t>Link to Big data still to be established in a Meta&lt;-&gt;Big relationship not yet implemented</w:t>
            </w:r>
            <w:r w:rsidR="00831F43">
              <w:rPr>
                <w:rFonts w:ascii="Arial" w:hAnsi="Arial" w:cs="Arial"/>
                <w:sz w:val="20"/>
                <w:szCs w:val="20"/>
              </w:rPr>
              <w:t xml:space="preserve"> (with experimental databases and already 1</w:t>
            </w:r>
            <w:r w:rsidR="00831F43" w:rsidRPr="00831F43">
              <w:rPr>
                <w:rFonts w:ascii="Arial" w:hAnsi="Arial" w:cs="Arial"/>
                <w:sz w:val="20"/>
                <w:szCs w:val="20"/>
                <w:vertAlign w:val="superscript"/>
              </w:rPr>
              <w:t>st</w:t>
            </w:r>
            <w:r w:rsidR="00831F43">
              <w:rPr>
                <w:rFonts w:ascii="Arial" w:hAnsi="Arial" w:cs="Arial"/>
                <w:sz w:val="20"/>
                <w:szCs w:val="20"/>
              </w:rPr>
              <w:t xml:space="preserve"> level related metadata)</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682ED8" w:rsidRPr="00C64DA1" w:rsidRDefault="004F5D4D" w:rsidP="00731F46">
            <w:pPr>
              <w:pStyle w:val="NoSpacing"/>
              <w:rPr>
                <w:rFonts w:ascii="Arial" w:hAnsi="Arial" w:cs="Arial"/>
                <w:sz w:val="20"/>
                <w:szCs w:val="20"/>
              </w:rPr>
            </w:pPr>
            <w:r>
              <w:rPr>
                <w:rFonts w:ascii="Arial" w:hAnsi="Arial" w:cs="Arial"/>
                <w:sz w:val="20"/>
                <w:szCs w:val="20"/>
              </w:rPr>
              <w:t>Currently Real time</w:t>
            </w:r>
            <w:r w:rsidR="00731F46">
              <w:rPr>
                <w:rFonts w:ascii="Arial" w:hAnsi="Arial" w:cs="Arial"/>
                <w:sz w:val="20"/>
                <w:szCs w:val="20"/>
              </w:rPr>
              <w:t xml:space="preserve">, for further multiple locations and distributed architectures, </w:t>
            </w:r>
            <w:r w:rsidR="00831F43">
              <w:rPr>
                <w:rFonts w:ascii="Arial" w:hAnsi="Arial" w:cs="Arial"/>
                <w:sz w:val="20"/>
                <w:szCs w:val="20"/>
              </w:rPr>
              <w:t>periodic (such as nightly)</w:t>
            </w:r>
          </w:p>
        </w:tc>
      </w:tr>
      <w:tr w:rsidR="00682ED8" w:rsidRPr="00C77AEF" w:rsidTr="009A6AB1">
        <w:trPr>
          <w:trHeight w:val="267"/>
        </w:trPr>
        <w:tc>
          <w:tcPr>
            <w:tcW w:w="1717" w:type="dxa"/>
            <w:vMerge w:val="restart"/>
          </w:tcPr>
          <w:p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r w:rsidR="00EE22E1">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682ED8" w:rsidRPr="00C64DA1" w:rsidRDefault="00BD6298" w:rsidP="00BD6298">
            <w:pPr>
              <w:pStyle w:val="NoSpacing"/>
              <w:rPr>
                <w:rFonts w:ascii="Arial" w:hAnsi="Arial" w:cs="Arial"/>
                <w:sz w:val="20"/>
                <w:szCs w:val="20"/>
              </w:rPr>
            </w:pPr>
            <w:r>
              <w:rPr>
                <w:rFonts w:ascii="Arial" w:hAnsi="Arial" w:cs="Arial"/>
                <w:sz w:val="20"/>
                <w:szCs w:val="20"/>
              </w:rPr>
              <w:t>Methods to detect overall consistency, holes, errors, misstatements, known but mostly to be implemented</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682ED8" w:rsidRPr="00C64DA1" w:rsidRDefault="00BD6298" w:rsidP="00C64DA1">
            <w:pPr>
              <w:pStyle w:val="NoSpacing"/>
              <w:rPr>
                <w:rFonts w:ascii="Arial" w:hAnsi="Arial" w:cs="Arial"/>
                <w:sz w:val="20"/>
                <w:szCs w:val="20"/>
              </w:rPr>
            </w:pPr>
            <w:r>
              <w:rPr>
                <w:rFonts w:ascii="Arial" w:hAnsi="Arial" w:cs="Arial"/>
                <w:sz w:val="20"/>
                <w:szCs w:val="20"/>
              </w:rPr>
              <w:t>Multidimensional (hypercube)</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r w:rsidR="00EE22E1">
              <w:rPr>
                <w:rFonts w:ascii="Arial" w:hAnsi="Arial" w:cs="Arial"/>
                <w:b/>
                <w:sz w:val="20"/>
                <w:szCs w:val="20"/>
              </w:rPr>
              <w:t xml:space="preserve"> (syntax)</w:t>
            </w:r>
          </w:p>
        </w:tc>
        <w:tc>
          <w:tcPr>
            <w:tcW w:w="5376" w:type="dxa"/>
            <w:shd w:val="clear" w:color="auto" w:fill="F2DBDB" w:themeFill="accent2" w:themeFillTint="33"/>
          </w:tcPr>
          <w:p w:rsidR="00682ED8" w:rsidRPr="00C64DA1" w:rsidRDefault="00831F43" w:rsidP="00831F43">
            <w:pPr>
              <w:pStyle w:val="NoSpacing"/>
              <w:rPr>
                <w:rFonts w:ascii="Arial" w:hAnsi="Arial" w:cs="Arial"/>
                <w:sz w:val="20"/>
                <w:szCs w:val="20"/>
              </w:rPr>
            </w:pPr>
            <w:r>
              <w:rPr>
                <w:rFonts w:ascii="Arial" w:hAnsi="Arial" w:cs="Arial"/>
                <w:sz w:val="20"/>
                <w:szCs w:val="20"/>
              </w:rPr>
              <w:t>A priori correct (directly human captured) with sets of checking + evaluation processes partly implemented</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682ED8" w:rsidRPr="00C64DA1" w:rsidRDefault="00BD6298" w:rsidP="00C64DA1">
            <w:pPr>
              <w:pStyle w:val="NoSpacing"/>
              <w:rPr>
                <w:rFonts w:ascii="Arial" w:hAnsi="Arial" w:cs="Arial"/>
                <w:sz w:val="20"/>
                <w:szCs w:val="20"/>
              </w:rPr>
            </w:pPr>
            <w:r>
              <w:rPr>
                <w:rFonts w:ascii="Arial" w:hAnsi="Arial" w:cs="Arial"/>
                <w:sz w:val="20"/>
                <w:szCs w:val="20"/>
              </w:rPr>
              <w:t>‘cluster displays’ (image), vectors, categories, PDFs</w:t>
            </w:r>
          </w:p>
        </w:tc>
      </w:tr>
      <w:tr w:rsidR="00682ED8" w:rsidRPr="00C77AEF" w:rsidTr="009A6AB1">
        <w:trPr>
          <w:trHeight w:val="267"/>
        </w:trPr>
        <w:tc>
          <w:tcPr>
            <w:tcW w:w="1717" w:type="dxa"/>
            <w:vMerge/>
          </w:tcPr>
          <w:p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682ED8" w:rsidRPr="00C64DA1" w:rsidRDefault="00682ED8" w:rsidP="00C64DA1">
            <w:pPr>
              <w:pStyle w:val="NoSpacing"/>
              <w:rPr>
                <w:rFonts w:ascii="Arial" w:hAnsi="Arial" w:cs="Arial"/>
                <w:sz w:val="20"/>
                <w:szCs w:val="20"/>
              </w:rPr>
            </w:pPr>
          </w:p>
        </w:tc>
      </w:tr>
      <w:tr w:rsidR="00682ED8" w:rsidRPr="00C77AEF" w:rsidTr="009A6AB1">
        <w:trPr>
          <w:trHeight w:val="593"/>
        </w:trPr>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682ED8" w:rsidRDefault="00BD6298" w:rsidP="009A6AB1">
            <w:pPr>
              <w:pStyle w:val="NoSpacing"/>
              <w:rPr>
                <w:rFonts w:ascii="Arial" w:hAnsi="Arial" w:cs="Arial"/>
                <w:sz w:val="20"/>
                <w:szCs w:val="20"/>
              </w:rPr>
            </w:pPr>
            <w:r>
              <w:rPr>
                <w:rFonts w:ascii="Arial" w:hAnsi="Arial" w:cs="Arial"/>
                <w:sz w:val="20"/>
                <w:szCs w:val="20"/>
              </w:rPr>
              <w:t>Our goal is to contribute to Big 2 Metadata challenge by systematic reconciling between metadata from many complexity levels with ongoing input from researchers from ongoing research process</w:t>
            </w:r>
            <w:r w:rsidR="003E4D97">
              <w:rPr>
                <w:rFonts w:ascii="Arial" w:hAnsi="Arial" w:cs="Arial"/>
                <w:sz w:val="20"/>
                <w:szCs w:val="20"/>
              </w:rPr>
              <w:t>.</w:t>
            </w:r>
          </w:p>
          <w:p w:rsidR="003E4D97" w:rsidRPr="00C77AEF" w:rsidRDefault="003E4D97" w:rsidP="003E4D97">
            <w:pPr>
              <w:pStyle w:val="NoSpacing"/>
              <w:rPr>
                <w:rFonts w:ascii="Arial" w:hAnsi="Arial" w:cs="Arial"/>
                <w:sz w:val="20"/>
                <w:szCs w:val="20"/>
              </w:rPr>
            </w:pPr>
            <w:r>
              <w:rPr>
                <w:rFonts w:ascii="Arial" w:hAnsi="Arial" w:cs="Arial"/>
                <w:sz w:val="20"/>
                <w:szCs w:val="20"/>
              </w:rPr>
              <w:t xml:space="preserve">Current relationship with </w:t>
            </w:r>
            <w:proofErr w:type="spellStart"/>
            <w:r>
              <w:rPr>
                <w:rFonts w:ascii="Arial" w:hAnsi="Arial" w:cs="Arial"/>
                <w:sz w:val="20"/>
                <w:szCs w:val="20"/>
              </w:rPr>
              <w:t>Richeact</w:t>
            </w:r>
            <w:proofErr w:type="spellEnd"/>
            <w:r>
              <w:rPr>
                <w:rFonts w:ascii="Arial" w:hAnsi="Arial" w:cs="Arial"/>
                <w:sz w:val="20"/>
                <w:szCs w:val="20"/>
              </w:rPr>
              <w:t xml:space="preserve"> is to reach the interdisciplinary model, using meta-grammar itself to be experimented and its extent fully proven to bridge efficiently the gap between as remote complexity levels as semantic and most elementary (big) signals. Example with cosmological models versus many levels of intermediary models (particles, gases, galactic, nuclear, geometries). Others with computational versus semantic levels.</w:t>
            </w: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682ED8" w:rsidRPr="00C77AEF" w:rsidRDefault="00EA000C" w:rsidP="009A6AB1">
            <w:pPr>
              <w:pStyle w:val="NoSpacing"/>
              <w:rPr>
                <w:rFonts w:ascii="Arial" w:hAnsi="Arial" w:cs="Arial"/>
                <w:sz w:val="20"/>
                <w:szCs w:val="20"/>
              </w:rPr>
            </w:pPr>
            <w:r>
              <w:rPr>
                <w:rFonts w:ascii="Arial" w:hAnsi="Arial" w:cs="Arial"/>
                <w:sz w:val="20"/>
                <w:szCs w:val="20"/>
              </w:rPr>
              <w:t>Appropriate graphic interface power</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682ED8" w:rsidRPr="00C77AEF" w:rsidRDefault="004F5D4D" w:rsidP="009A6AB1">
            <w:pPr>
              <w:pStyle w:val="NoSpacing"/>
              <w:rPr>
                <w:rFonts w:ascii="Arial" w:hAnsi="Arial" w:cs="Arial"/>
                <w:sz w:val="20"/>
                <w:szCs w:val="20"/>
              </w:rPr>
            </w:pPr>
            <w:r>
              <w:rPr>
                <w:rFonts w:ascii="Arial" w:hAnsi="Arial" w:cs="Arial"/>
                <w:sz w:val="20"/>
                <w:szCs w:val="20"/>
              </w:rPr>
              <w:t xml:space="preserve">Several levels already available and others planned, up to physical access keys and isolated servers. </w:t>
            </w:r>
            <w:r w:rsidR="00BD6298">
              <w:rPr>
                <w:rFonts w:ascii="Arial" w:hAnsi="Arial" w:cs="Arial"/>
                <w:sz w:val="20"/>
                <w:szCs w:val="20"/>
              </w:rPr>
              <w:t>Optional anonymity, usual protected exchanges</w:t>
            </w:r>
          </w:p>
          <w:p w:rsidR="00682ED8" w:rsidRPr="00C77AEF" w:rsidRDefault="00682ED8" w:rsidP="009A6AB1">
            <w:pPr>
              <w:pStyle w:val="NoSpacing"/>
              <w:rPr>
                <w:rFonts w:ascii="Arial" w:hAnsi="Arial" w:cs="Arial"/>
                <w:sz w:val="20"/>
                <w:szCs w:val="20"/>
              </w:rPr>
            </w:pPr>
          </w:p>
        </w:tc>
      </w:tr>
      <w:tr w:rsidR="00682ED8" w:rsidRPr="00C77AEF" w:rsidTr="00BD6298">
        <w:trPr>
          <w:trHeight w:val="1004"/>
        </w:trPr>
        <w:tc>
          <w:tcPr>
            <w:tcW w:w="2378" w:type="dxa"/>
            <w:gridSpan w:val="2"/>
          </w:tcPr>
          <w:p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682ED8" w:rsidRPr="00C77AEF" w:rsidRDefault="00BD6298" w:rsidP="009A6AB1">
            <w:pPr>
              <w:pStyle w:val="NoSpacing"/>
              <w:rPr>
                <w:rFonts w:ascii="Arial" w:hAnsi="Arial" w:cs="Arial"/>
                <w:sz w:val="20"/>
                <w:szCs w:val="20"/>
              </w:rPr>
            </w:pPr>
            <w:r>
              <w:rPr>
                <w:rFonts w:ascii="Arial" w:hAnsi="Arial" w:cs="Arial"/>
                <w:sz w:val="20"/>
                <w:szCs w:val="20"/>
              </w:rPr>
              <w:t>Through 2011-2013</w:t>
            </w:r>
            <w:r w:rsidR="00EA000C">
              <w:rPr>
                <w:rFonts w:ascii="Arial" w:hAnsi="Arial" w:cs="Arial"/>
                <w:sz w:val="20"/>
                <w:szCs w:val="20"/>
              </w:rPr>
              <w:t>,</w:t>
            </w:r>
            <w:r>
              <w:rPr>
                <w:rFonts w:ascii="Arial" w:hAnsi="Arial" w:cs="Arial"/>
                <w:sz w:val="20"/>
                <w:szCs w:val="20"/>
              </w:rPr>
              <w:t xml:space="preserve"> we have shown </w:t>
            </w:r>
            <w:r w:rsidR="00EA3747">
              <w:rPr>
                <w:rFonts w:ascii="Arial" w:hAnsi="Arial" w:cs="Arial"/>
                <w:sz w:val="20"/>
                <w:szCs w:val="20"/>
              </w:rPr>
              <w:t xml:space="preserve">on </w:t>
            </w:r>
            <w:hyperlink r:id="rId7" w:history="1">
              <w:r w:rsidR="00EA3747" w:rsidRPr="009B0D33">
                <w:rPr>
                  <w:rStyle w:val="Hyperlink"/>
                  <w:rFonts w:ascii="Arial" w:hAnsi="Arial" w:cs="Arial"/>
                  <w:sz w:val="20"/>
                  <w:szCs w:val="20"/>
                </w:rPr>
                <w:t>www.discinnet.org</w:t>
              </w:r>
            </w:hyperlink>
            <w:r w:rsidR="00EA3747">
              <w:rPr>
                <w:rFonts w:ascii="Arial" w:hAnsi="Arial" w:cs="Arial"/>
                <w:sz w:val="20"/>
                <w:szCs w:val="20"/>
              </w:rPr>
              <w:t xml:space="preserve"> </w:t>
            </w:r>
            <w:r>
              <w:rPr>
                <w:rFonts w:ascii="Arial" w:hAnsi="Arial" w:cs="Arial"/>
                <w:sz w:val="20"/>
                <w:szCs w:val="20"/>
              </w:rPr>
              <w:t xml:space="preserve">that all kinds of research fields could easily get into </w:t>
            </w:r>
            <w:proofErr w:type="spellStart"/>
            <w:r>
              <w:rPr>
                <w:rFonts w:ascii="Arial" w:hAnsi="Arial" w:cs="Arial"/>
                <w:sz w:val="20"/>
                <w:szCs w:val="20"/>
              </w:rPr>
              <w:t>Discinnet</w:t>
            </w:r>
            <w:proofErr w:type="spellEnd"/>
            <w:r>
              <w:rPr>
                <w:rFonts w:ascii="Arial" w:hAnsi="Arial" w:cs="Arial"/>
                <w:sz w:val="20"/>
                <w:szCs w:val="20"/>
              </w:rPr>
              <w:t xml:space="preserve"> type of mapping, yet developing and filling a cluster requires time and/or dedicated workers.</w:t>
            </w:r>
          </w:p>
          <w:p w:rsidR="00682ED8" w:rsidRPr="00C77AEF" w:rsidRDefault="00682ED8" w:rsidP="009A6AB1">
            <w:pPr>
              <w:pStyle w:val="NoSpacing"/>
              <w:rPr>
                <w:rFonts w:ascii="Arial" w:hAnsi="Arial" w:cs="Arial"/>
                <w:sz w:val="20"/>
                <w:szCs w:val="20"/>
              </w:rPr>
            </w:pPr>
          </w:p>
        </w:tc>
      </w:tr>
      <w:tr w:rsidR="00682ED8" w:rsidRPr="00C77AEF" w:rsidTr="009A6AB1">
        <w:tc>
          <w:tcPr>
            <w:tcW w:w="2378"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682ED8" w:rsidRDefault="00EA000C" w:rsidP="009A6AB1">
            <w:pPr>
              <w:pStyle w:val="NoSpacing"/>
              <w:rPr>
                <w:rFonts w:ascii="Arial" w:hAnsi="Arial" w:cs="Arial"/>
                <w:sz w:val="20"/>
                <w:szCs w:val="20"/>
              </w:rPr>
            </w:pPr>
            <w:r>
              <w:rPr>
                <w:rFonts w:ascii="Arial" w:hAnsi="Arial" w:cs="Arial"/>
                <w:sz w:val="20"/>
                <w:szCs w:val="20"/>
              </w:rPr>
              <w:t xml:space="preserve">On </w:t>
            </w:r>
            <w:hyperlink r:id="rId8" w:history="1">
              <w:r w:rsidRPr="009B0D33">
                <w:rPr>
                  <w:rStyle w:val="Hyperlink"/>
                  <w:rFonts w:ascii="Arial" w:hAnsi="Arial" w:cs="Arial"/>
                  <w:sz w:val="20"/>
                  <w:szCs w:val="20"/>
                </w:rPr>
                <w:t>www.discinnet.org</w:t>
              </w:r>
            </w:hyperlink>
            <w:r>
              <w:rPr>
                <w:rFonts w:ascii="Arial" w:hAnsi="Arial" w:cs="Arial"/>
                <w:sz w:val="20"/>
                <w:szCs w:val="20"/>
              </w:rPr>
              <w:t xml:space="preserve"> the already started or starting clusters can be watched </w:t>
            </w:r>
            <w:r w:rsidR="003E4D97">
              <w:rPr>
                <w:rFonts w:ascii="Arial" w:hAnsi="Arial" w:cs="Arial"/>
                <w:sz w:val="20"/>
                <w:szCs w:val="20"/>
              </w:rPr>
              <w:t>in one click on ‘cluster’ (field) title and even more detail is available through free registration (more resource available when registering as researcher (publications) or pending (doctoral student)</w:t>
            </w:r>
          </w:p>
          <w:p w:rsidR="00682ED8" w:rsidRDefault="003E4D97" w:rsidP="00317837">
            <w:pPr>
              <w:pStyle w:val="NoSpacing"/>
              <w:rPr>
                <w:rFonts w:ascii="Arial" w:hAnsi="Arial" w:cs="Arial"/>
                <w:sz w:val="20"/>
                <w:szCs w:val="20"/>
              </w:rPr>
            </w:pPr>
            <w:r>
              <w:rPr>
                <w:rFonts w:ascii="Arial" w:hAnsi="Arial" w:cs="Arial"/>
                <w:sz w:val="20"/>
                <w:szCs w:val="20"/>
              </w:rPr>
              <w:t>Maximum level of detail is free for contributing researchers in order to protect communities but available to external observers for symbolic fee: all suggestions for improvements and better sharing welcome.</w:t>
            </w:r>
          </w:p>
          <w:p w:rsidR="00317837" w:rsidRPr="00C77AEF" w:rsidRDefault="00317837" w:rsidP="00317837">
            <w:pPr>
              <w:pStyle w:val="NoSpacing"/>
              <w:rPr>
                <w:rFonts w:ascii="Arial" w:hAnsi="Arial" w:cs="Arial"/>
                <w:sz w:val="20"/>
                <w:szCs w:val="20"/>
              </w:rPr>
            </w:pPr>
            <w:r>
              <w:rPr>
                <w:rFonts w:ascii="Arial" w:hAnsi="Arial" w:cs="Arial"/>
                <w:sz w:val="20"/>
                <w:szCs w:val="20"/>
              </w:rPr>
              <w:t>We are particularly open to provide and support experimental appropriation by doctoral schools to build and study the past and future behavior of clusters in Earth sciences, Cosmology, Water, Health, Computation, Energy/Batteries, Climate models, Space, etc..</w:t>
            </w:r>
          </w:p>
        </w:tc>
      </w:tr>
      <w:tr w:rsidR="00682ED8" w:rsidRPr="00C77AEF" w:rsidTr="009A6AB1">
        <w:tc>
          <w:tcPr>
            <w:tcW w:w="9576" w:type="dxa"/>
            <w:gridSpan w:val="4"/>
          </w:tcPr>
          <w:p w:rsidR="00682ED8" w:rsidRPr="00C77AEF" w:rsidRDefault="00EA000C" w:rsidP="00EA000C">
            <w:pPr>
              <w:pStyle w:val="NoSpacing"/>
              <w:rPr>
                <w:rFonts w:ascii="Arial" w:hAnsi="Arial" w:cs="Arial"/>
                <w:b/>
                <w:sz w:val="20"/>
                <w:szCs w:val="20"/>
              </w:rPr>
            </w:pPr>
            <w:r>
              <w:rPr>
                <w:rFonts w:ascii="Arial" w:hAnsi="Arial" w:cs="Arial"/>
                <w:b/>
                <w:sz w:val="20"/>
                <w:szCs w:val="20"/>
              </w:rPr>
              <w:t>No</w:t>
            </w:r>
            <w:r w:rsidR="00682ED8" w:rsidRPr="00C77AEF">
              <w:rPr>
                <w:rFonts w:ascii="Arial" w:hAnsi="Arial" w:cs="Arial"/>
                <w:b/>
                <w:sz w:val="20"/>
                <w:szCs w:val="20"/>
              </w:rPr>
              <w:t xml:space="preserve">te: </w:t>
            </w:r>
            <w:r w:rsidR="00682ED8" w:rsidRPr="00C77AEF">
              <w:rPr>
                <w:rFonts w:ascii="Arial" w:hAnsi="Arial" w:cs="Arial"/>
                <w:sz w:val="20"/>
                <w:szCs w:val="20"/>
              </w:rPr>
              <w:t>&lt;additional comments&gt;</w:t>
            </w:r>
            <w:r>
              <w:rPr>
                <w:rFonts w:ascii="Arial" w:hAnsi="Arial" w:cs="Arial"/>
                <w:sz w:val="20"/>
                <w:szCs w:val="20"/>
              </w:rPr>
              <w:t>: We are open to facilitate wide appropriation of both global, regional and local versions of the platform</w:t>
            </w:r>
            <w:r w:rsidR="003E4D97">
              <w:rPr>
                <w:rFonts w:ascii="Arial" w:hAnsi="Arial" w:cs="Arial"/>
                <w:sz w:val="20"/>
                <w:szCs w:val="20"/>
              </w:rPr>
              <w:t xml:space="preserve"> (for instance by research institutions, publishers, networks with desirable maximal data sharing for the greatest benefit of advancement of science.</w:t>
            </w:r>
          </w:p>
        </w:tc>
      </w:tr>
    </w:tbl>
    <w:p w:rsidR="00682ED8" w:rsidRDefault="00682ED8" w:rsidP="00682ED8">
      <w:pPr>
        <w:spacing w:after="0" w:line="240" w:lineRule="auto"/>
        <w:rPr>
          <w:rFonts w:ascii="Times New Roman" w:eastAsia="Times New Roman" w:hAnsi="Times New Roman" w:cs="Times New Roman"/>
          <w:b/>
          <w:bCs/>
          <w:sz w:val="24"/>
          <w:szCs w:val="24"/>
        </w:rPr>
      </w:pPr>
    </w:p>
    <w:p w:rsidR="00480F78" w:rsidRDefault="00682ED8" w:rsidP="00682ED8">
      <w:pPr>
        <w:pStyle w:val="NoSpacing"/>
        <w:jc w:val="center"/>
        <w:rPr>
          <w:rFonts w:eastAsia="Times New Roman"/>
          <w:b/>
        </w:rPr>
      </w:pPr>
      <w:r w:rsidRPr="00F86589">
        <w:rPr>
          <w:rFonts w:eastAsia="Times New Roman"/>
          <w:b/>
        </w:rPr>
        <w:t>Note: No proprietary or confidential information should be included</w:t>
      </w:r>
    </w:p>
    <w:p w:rsidR="001256F1" w:rsidRDefault="001256F1">
      <w:pPr>
        <w:rPr>
          <w:rFonts w:eastAsia="Times New Roman"/>
          <w:b/>
        </w:rPr>
      </w:pPr>
      <w:r>
        <w:rPr>
          <w:rFonts w:eastAsia="Times New Roman"/>
          <w:b/>
        </w:rPr>
        <w:br w:type="page"/>
      </w:r>
    </w:p>
    <w:sectPr w:rsidR="001256F1" w:rsidSect="00D7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11.25pt" o:bullet="t">
        <v:imagedata r:id="rId1" o:title="artF164"/>
      </v:shape>
    </w:pict>
  </w:numPicBullet>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8862BC9"/>
    <w:multiLevelType w:val="hybridMultilevel"/>
    <w:tmpl w:val="D1AC49A6"/>
    <w:lvl w:ilvl="0" w:tplc="08090001">
      <w:start w:val="1"/>
      <w:numFmt w:val="bullet"/>
      <w:lvlText w:val=""/>
      <w:lvlJc w:val="left"/>
      <w:pPr>
        <w:ind w:left="360" w:hanging="360"/>
      </w:pPr>
      <w:rPr>
        <w:rFonts w:ascii="Symbol" w:hAnsi="Symbol" w:hint="default"/>
      </w:rPr>
    </w:lvl>
    <w:lvl w:ilvl="1" w:tplc="DB980590">
      <w:numFmt w:val="bullet"/>
      <w:lvlText w:val="-"/>
      <w:lvlJc w:val="left"/>
      <w:pPr>
        <w:ind w:left="1080" w:hanging="360"/>
      </w:pPr>
      <w:rPr>
        <w:rFonts w:ascii="Arial" w:eastAsiaTheme="minorEastAsia" w:hAnsi="Arial" w:cs="Arial" w:hint="default"/>
        <w:b/>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9F77693"/>
    <w:multiLevelType w:val="hybridMultilevel"/>
    <w:tmpl w:val="8486B2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DAA7006"/>
    <w:multiLevelType w:val="hybridMultilevel"/>
    <w:tmpl w:val="B9F80A4A"/>
    <w:lvl w:ilvl="0" w:tplc="08090001">
      <w:start w:val="1"/>
      <w:numFmt w:val="bullet"/>
      <w:lvlText w:val=""/>
      <w:lvlJc w:val="left"/>
      <w:pPr>
        <w:tabs>
          <w:tab w:val="num" w:pos="360"/>
        </w:tabs>
        <w:ind w:left="360" w:hanging="360"/>
      </w:pPr>
      <w:rPr>
        <w:rFonts w:ascii="Symbol" w:hAnsi="Symbol" w:hint="default"/>
      </w:rPr>
    </w:lvl>
    <w:lvl w:ilvl="1" w:tplc="3F32E8C6">
      <w:start w:val="1"/>
      <w:numFmt w:val="bullet"/>
      <w:lvlText w:val=""/>
      <w:lvlPicBulletId w:val="0"/>
      <w:lvlJc w:val="left"/>
      <w:pPr>
        <w:tabs>
          <w:tab w:val="num" w:pos="1080"/>
        </w:tabs>
        <w:ind w:left="1080" w:hanging="360"/>
      </w:pPr>
      <w:rPr>
        <w:rFonts w:ascii="Symbol" w:hAnsi="Symbol" w:hint="default"/>
      </w:rPr>
    </w:lvl>
    <w:lvl w:ilvl="2" w:tplc="93E41846" w:tentative="1">
      <w:start w:val="1"/>
      <w:numFmt w:val="bullet"/>
      <w:lvlText w:val=""/>
      <w:lvlPicBulletId w:val="0"/>
      <w:lvlJc w:val="left"/>
      <w:pPr>
        <w:tabs>
          <w:tab w:val="num" w:pos="1800"/>
        </w:tabs>
        <w:ind w:left="1800" w:hanging="360"/>
      </w:pPr>
      <w:rPr>
        <w:rFonts w:ascii="Symbol" w:hAnsi="Symbol" w:hint="default"/>
      </w:rPr>
    </w:lvl>
    <w:lvl w:ilvl="3" w:tplc="AA60995E" w:tentative="1">
      <w:start w:val="1"/>
      <w:numFmt w:val="bullet"/>
      <w:lvlText w:val=""/>
      <w:lvlPicBulletId w:val="0"/>
      <w:lvlJc w:val="left"/>
      <w:pPr>
        <w:tabs>
          <w:tab w:val="num" w:pos="2520"/>
        </w:tabs>
        <w:ind w:left="2520" w:hanging="360"/>
      </w:pPr>
      <w:rPr>
        <w:rFonts w:ascii="Symbol" w:hAnsi="Symbol" w:hint="default"/>
      </w:rPr>
    </w:lvl>
    <w:lvl w:ilvl="4" w:tplc="154412DC" w:tentative="1">
      <w:start w:val="1"/>
      <w:numFmt w:val="bullet"/>
      <w:lvlText w:val=""/>
      <w:lvlPicBulletId w:val="0"/>
      <w:lvlJc w:val="left"/>
      <w:pPr>
        <w:tabs>
          <w:tab w:val="num" w:pos="3240"/>
        </w:tabs>
        <w:ind w:left="3240" w:hanging="360"/>
      </w:pPr>
      <w:rPr>
        <w:rFonts w:ascii="Symbol" w:hAnsi="Symbol" w:hint="default"/>
      </w:rPr>
    </w:lvl>
    <w:lvl w:ilvl="5" w:tplc="F656D1B0" w:tentative="1">
      <w:start w:val="1"/>
      <w:numFmt w:val="bullet"/>
      <w:lvlText w:val=""/>
      <w:lvlPicBulletId w:val="0"/>
      <w:lvlJc w:val="left"/>
      <w:pPr>
        <w:tabs>
          <w:tab w:val="num" w:pos="3960"/>
        </w:tabs>
        <w:ind w:left="3960" w:hanging="360"/>
      </w:pPr>
      <w:rPr>
        <w:rFonts w:ascii="Symbol" w:hAnsi="Symbol" w:hint="default"/>
      </w:rPr>
    </w:lvl>
    <w:lvl w:ilvl="6" w:tplc="C95ECD9E" w:tentative="1">
      <w:start w:val="1"/>
      <w:numFmt w:val="bullet"/>
      <w:lvlText w:val=""/>
      <w:lvlPicBulletId w:val="0"/>
      <w:lvlJc w:val="left"/>
      <w:pPr>
        <w:tabs>
          <w:tab w:val="num" w:pos="4680"/>
        </w:tabs>
        <w:ind w:left="4680" w:hanging="360"/>
      </w:pPr>
      <w:rPr>
        <w:rFonts w:ascii="Symbol" w:hAnsi="Symbol" w:hint="default"/>
      </w:rPr>
    </w:lvl>
    <w:lvl w:ilvl="7" w:tplc="A1F2480A" w:tentative="1">
      <w:start w:val="1"/>
      <w:numFmt w:val="bullet"/>
      <w:lvlText w:val=""/>
      <w:lvlPicBulletId w:val="0"/>
      <w:lvlJc w:val="left"/>
      <w:pPr>
        <w:tabs>
          <w:tab w:val="num" w:pos="5400"/>
        </w:tabs>
        <w:ind w:left="5400" w:hanging="360"/>
      </w:pPr>
      <w:rPr>
        <w:rFonts w:ascii="Symbol" w:hAnsi="Symbol" w:hint="default"/>
      </w:rPr>
    </w:lvl>
    <w:lvl w:ilvl="8" w:tplc="10F6331A"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0E3829D8"/>
    <w:multiLevelType w:val="hybridMultilevel"/>
    <w:tmpl w:val="2BDAC558"/>
    <w:lvl w:ilvl="0" w:tplc="7D7C88DE">
      <w:numFmt w:val="bullet"/>
      <w:lvlText w:val="-"/>
      <w:lvlJc w:val="left"/>
      <w:pPr>
        <w:ind w:left="1084" w:hanging="360"/>
      </w:pPr>
      <w:rPr>
        <w:rFonts w:ascii="Cambria" w:eastAsiaTheme="minorEastAsia" w:hAnsi="Cambria" w:cstheme="minorBidi" w:hint="default"/>
      </w:rPr>
    </w:lvl>
    <w:lvl w:ilvl="1" w:tplc="04090003" w:tentative="1">
      <w:start w:val="1"/>
      <w:numFmt w:val="bullet"/>
      <w:lvlText w:val="o"/>
      <w:lvlJc w:val="left"/>
      <w:pPr>
        <w:ind w:left="1804" w:hanging="360"/>
      </w:pPr>
      <w:rPr>
        <w:rFonts w:ascii="Courier New" w:hAnsi="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6">
    <w:nsid w:val="159B117B"/>
    <w:multiLevelType w:val="hybridMultilevel"/>
    <w:tmpl w:val="D71E29E0"/>
    <w:lvl w:ilvl="0" w:tplc="3D08DB2C">
      <w:start w:val="5"/>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370955"/>
    <w:multiLevelType w:val="hybridMultilevel"/>
    <w:tmpl w:val="59440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B16A0E"/>
    <w:multiLevelType w:val="hybridMultilevel"/>
    <w:tmpl w:val="3D5685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21BA1114"/>
    <w:multiLevelType w:val="hybridMultilevel"/>
    <w:tmpl w:val="B0508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5C35B72"/>
    <w:multiLevelType w:val="hybridMultilevel"/>
    <w:tmpl w:val="61380A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846507C"/>
    <w:multiLevelType w:val="hybridMultilevel"/>
    <w:tmpl w:val="DF44E3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nsid w:val="293B6724"/>
    <w:multiLevelType w:val="hybridMultilevel"/>
    <w:tmpl w:val="64185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CC949AD"/>
    <w:multiLevelType w:val="hybridMultilevel"/>
    <w:tmpl w:val="E58A8E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2D9B4627"/>
    <w:multiLevelType w:val="hybridMultilevel"/>
    <w:tmpl w:val="FD94AC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40580"/>
    <w:multiLevelType w:val="hybridMultilevel"/>
    <w:tmpl w:val="753E4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31900E7"/>
    <w:multiLevelType w:val="hybridMultilevel"/>
    <w:tmpl w:val="BCB04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51C424E"/>
    <w:multiLevelType w:val="hybridMultilevel"/>
    <w:tmpl w:val="DE781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53D13DD"/>
    <w:multiLevelType w:val="hybridMultilevel"/>
    <w:tmpl w:val="9802F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71736B9"/>
    <w:multiLevelType w:val="hybridMultilevel"/>
    <w:tmpl w:val="2E5CCE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4A0721F"/>
    <w:multiLevelType w:val="hybridMultilevel"/>
    <w:tmpl w:val="C1C08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58A0872"/>
    <w:multiLevelType w:val="hybridMultilevel"/>
    <w:tmpl w:val="36CED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A63170"/>
    <w:multiLevelType w:val="hybridMultilevel"/>
    <w:tmpl w:val="A3F810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626501D8"/>
    <w:multiLevelType w:val="hybridMultilevel"/>
    <w:tmpl w:val="9F3C70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62B3286D"/>
    <w:multiLevelType w:val="hybridMultilevel"/>
    <w:tmpl w:val="20D6FE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814472"/>
    <w:multiLevelType w:val="hybridMultilevel"/>
    <w:tmpl w:val="1ED668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nsid w:val="6F5851A9"/>
    <w:multiLevelType w:val="hybridMultilevel"/>
    <w:tmpl w:val="7B669CB2"/>
    <w:lvl w:ilvl="0" w:tplc="00226A24">
      <w:start w:val="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45D86"/>
    <w:multiLevelType w:val="hybridMultilevel"/>
    <w:tmpl w:val="61380A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AD16810"/>
    <w:multiLevelType w:val="hybridMultilevel"/>
    <w:tmpl w:val="F9168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7EDA4E62"/>
    <w:multiLevelType w:val="hybridMultilevel"/>
    <w:tmpl w:val="D4F40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5"/>
  </w:num>
  <w:num w:numId="3">
    <w:abstractNumId w:val="34"/>
  </w:num>
  <w:num w:numId="4">
    <w:abstractNumId w:val="17"/>
  </w:num>
  <w:num w:numId="5">
    <w:abstractNumId w:val="30"/>
  </w:num>
  <w:num w:numId="6">
    <w:abstractNumId w:val="32"/>
  </w:num>
  <w:num w:numId="7">
    <w:abstractNumId w:val="10"/>
  </w:num>
  <w:num w:numId="8">
    <w:abstractNumId w:val="27"/>
  </w:num>
  <w:num w:numId="9">
    <w:abstractNumId w:val="0"/>
  </w:num>
  <w:num w:numId="10">
    <w:abstractNumId w:val="1"/>
  </w:num>
  <w:num w:numId="11">
    <w:abstractNumId w:val="6"/>
  </w:num>
  <w:num w:numId="12">
    <w:abstractNumId w:val="7"/>
  </w:num>
  <w:num w:numId="13">
    <w:abstractNumId w:val="5"/>
  </w:num>
  <w:num w:numId="14">
    <w:abstractNumId w:val="37"/>
  </w:num>
  <w:num w:numId="15">
    <w:abstractNumId w:val="21"/>
  </w:num>
  <w:num w:numId="16">
    <w:abstractNumId w:val="20"/>
  </w:num>
  <w:num w:numId="17">
    <w:abstractNumId w:val="24"/>
  </w:num>
  <w:num w:numId="18">
    <w:abstractNumId w:val="35"/>
  </w:num>
  <w:num w:numId="19">
    <w:abstractNumId w:val="12"/>
  </w:num>
  <w:num w:numId="20">
    <w:abstractNumId w:val="4"/>
  </w:num>
  <w:num w:numId="21">
    <w:abstractNumId w:val="11"/>
  </w:num>
  <w:num w:numId="22">
    <w:abstractNumId w:val="14"/>
  </w:num>
  <w:num w:numId="23">
    <w:abstractNumId w:val="26"/>
  </w:num>
  <w:num w:numId="24">
    <w:abstractNumId w:val="9"/>
  </w:num>
  <w:num w:numId="25">
    <w:abstractNumId w:val="38"/>
  </w:num>
  <w:num w:numId="26">
    <w:abstractNumId w:val="18"/>
  </w:num>
  <w:num w:numId="27">
    <w:abstractNumId w:val="36"/>
  </w:num>
  <w:num w:numId="28">
    <w:abstractNumId w:val="31"/>
  </w:num>
  <w:num w:numId="29">
    <w:abstractNumId w:val="15"/>
  </w:num>
  <w:num w:numId="30">
    <w:abstractNumId w:val="16"/>
  </w:num>
  <w:num w:numId="31">
    <w:abstractNumId w:val="2"/>
  </w:num>
  <w:num w:numId="32">
    <w:abstractNumId w:val="29"/>
  </w:num>
  <w:num w:numId="33">
    <w:abstractNumId w:val="13"/>
  </w:num>
  <w:num w:numId="34">
    <w:abstractNumId w:val="28"/>
  </w:num>
  <w:num w:numId="35">
    <w:abstractNumId w:val="23"/>
  </w:num>
  <w:num w:numId="36">
    <w:abstractNumId w:val="19"/>
  </w:num>
  <w:num w:numId="37">
    <w:abstractNumId w:val="22"/>
  </w:num>
  <w:num w:numId="38">
    <w:abstractNumId w:val="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8"/>
  <w:doNotDisplayPageBoundaries/>
  <w:proofState w:spelling="clean" w:grammar="clean"/>
  <w:defaultTabStop w:val="720"/>
  <w:characterSpacingControl w:val="doNotCompress"/>
  <w:compat>
    <w:useFELayout/>
    <w:compatSetting w:name="compatibilityMode" w:uri="http://schemas.microsoft.com/office/word" w:val="12"/>
  </w:compat>
  <w:rsids>
    <w:rsidRoot w:val="00055D84"/>
    <w:rsid w:val="00010559"/>
    <w:rsid w:val="00011515"/>
    <w:rsid w:val="000152A9"/>
    <w:rsid w:val="00021F26"/>
    <w:rsid w:val="00055D84"/>
    <w:rsid w:val="000C40DF"/>
    <w:rsid w:val="00101E05"/>
    <w:rsid w:val="001256F1"/>
    <w:rsid w:val="00167A7A"/>
    <w:rsid w:val="001E12F2"/>
    <w:rsid w:val="002028F0"/>
    <w:rsid w:val="002140E4"/>
    <w:rsid w:val="00223C1A"/>
    <w:rsid w:val="00227954"/>
    <w:rsid w:val="0023455A"/>
    <w:rsid w:val="002866D5"/>
    <w:rsid w:val="00292EE7"/>
    <w:rsid w:val="00296CCD"/>
    <w:rsid w:val="002B5F6B"/>
    <w:rsid w:val="002E7D49"/>
    <w:rsid w:val="002F4D8E"/>
    <w:rsid w:val="00317837"/>
    <w:rsid w:val="003224E4"/>
    <w:rsid w:val="00326EF5"/>
    <w:rsid w:val="00330C12"/>
    <w:rsid w:val="003472A4"/>
    <w:rsid w:val="003534C4"/>
    <w:rsid w:val="00370298"/>
    <w:rsid w:val="003768C8"/>
    <w:rsid w:val="003A6228"/>
    <w:rsid w:val="003B7615"/>
    <w:rsid w:val="003E4D97"/>
    <w:rsid w:val="003F7222"/>
    <w:rsid w:val="00435EF2"/>
    <w:rsid w:val="00436EDE"/>
    <w:rsid w:val="00472A5E"/>
    <w:rsid w:val="00480F78"/>
    <w:rsid w:val="004B4B79"/>
    <w:rsid w:val="004C6348"/>
    <w:rsid w:val="004D6914"/>
    <w:rsid w:val="004E712D"/>
    <w:rsid w:val="004F5D4D"/>
    <w:rsid w:val="00507CEC"/>
    <w:rsid w:val="00540ACE"/>
    <w:rsid w:val="0054639A"/>
    <w:rsid w:val="005570A6"/>
    <w:rsid w:val="0060421D"/>
    <w:rsid w:val="00655890"/>
    <w:rsid w:val="00682ED8"/>
    <w:rsid w:val="006C0A34"/>
    <w:rsid w:val="006F2EA6"/>
    <w:rsid w:val="00706240"/>
    <w:rsid w:val="00714489"/>
    <w:rsid w:val="00731F46"/>
    <w:rsid w:val="007563A9"/>
    <w:rsid w:val="00802820"/>
    <w:rsid w:val="00831F43"/>
    <w:rsid w:val="00831FC0"/>
    <w:rsid w:val="00837DE8"/>
    <w:rsid w:val="00845E33"/>
    <w:rsid w:val="008464C1"/>
    <w:rsid w:val="009537FA"/>
    <w:rsid w:val="00977D1C"/>
    <w:rsid w:val="00984F92"/>
    <w:rsid w:val="00991DC4"/>
    <w:rsid w:val="009A6AB1"/>
    <w:rsid w:val="009E410B"/>
    <w:rsid w:val="00A13845"/>
    <w:rsid w:val="00AB3517"/>
    <w:rsid w:val="00AD5719"/>
    <w:rsid w:val="00AF6475"/>
    <w:rsid w:val="00B36AA2"/>
    <w:rsid w:val="00B65EBF"/>
    <w:rsid w:val="00B81014"/>
    <w:rsid w:val="00B815AA"/>
    <w:rsid w:val="00BA5940"/>
    <w:rsid w:val="00BD6298"/>
    <w:rsid w:val="00BF0BCF"/>
    <w:rsid w:val="00C07D57"/>
    <w:rsid w:val="00C31C4D"/>
    <w:rsid w:val="00C370ED"/>
    <w:rsid w:val="00C64DA1"/>
    <w:rsid w:val="00C70C83"/>
    <w:rsid w:val="00C77AEF"/>
    <w:rsid w:val="00CC77B2"/>
    <w:rsid w:val="00CF5446"/>
    <w:rsid w:val="00D45970"/>
    <w:rsid w:val="00D65636"/>
    <w:rsid w:val="00D761CB"/>
    <w:rsid w:val="00E4263F"/>
    <w:rsid w:val="00E95102"/>
    <w:rsid w:val="00EA000C"/>
    <w:rsid w:val="00EA3747"/>
    <w:rsid w:val="00ED271C"/>
    <w:rsid w:val="00EE22E1"/>
    <w:rsid w:val="00F06ABD"/>
    <w:rsid w:val="00F25A22"/>
    <w:rsid w:val="00F66213"/>
    <w:rsid w:val="00F7505A"/>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3836D-DB25-4B55-863C-F84D4049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CB"/>
  </w:style>
  <w:style w:type="paragraph" w:styleId="Heading2">
    <w:name w:val="heading 2"/>
    <w:basedOn w:val="Normal"/>
    <w:next w:val="Normal"/>
    <w:link w:val="Heading2Char"/>
    <w:uiPriority w:val="9"/>
    <w:unhideWhenUsed/>
    <w:qFormat/>
    <w:rsid w:val="00480F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72A5E"/>
    <w:pPr>
      <w:tabs>
        <w:tab w:val="left" w:pos="709"/>
      </w:tabs>
      <w:suppressAutoHyphens/>
      <w:spacing w:line="276" w:lineRule="atLeast"/>
    </w:pPr>
    <w:rPr>
      <w:rFonts w:ascii="Calibri" w:eastAsia="DejaVu Sans" w:hAnsi="Calibri"/>
    </w:rPr>
  </w:style>
  <w:style w:type="character" w:customStyle="1" w:styleId="InternetLink">
    <w:name w:val="Internet Link"/>
    <w:basedOn w:val="DefaultParagraphFont"/>
    <w:rsid w:val="00472A5E"/>
    <w:rPr>
      <w:color w:val="0000FF"/>
      <w:u w:val="single"/>
      <w:lang w:val="en-US" w:eastAsia="en-US" w:bidi="en-US"/>
    </w:rPr>
  </w:style>
  <w:style w:type="character" w:customStyle="1" w:styleId="StrongEmphasis">
    <w:name w:val="Strong Emphasis"/>
    <w:rsid w:val="00D65636"/>
    <w:rPr>
      <w:b/>
      <w:bCs/>
    </w:rPr>
  </w:style>
  <w:style w:type="character" w:styleId="Emphasis">
    <w:name w:val="Emphasis"/>
    <w:basedOn w:val="DefaultParagraphFont"/>
    <w:qFormat/>
    <w:rsid w:val="00D65636"/>
    <w:rPr>
      <w:i/>
      <w:iCs/>
    </w:rPr>
  </w:style>
  <w:style w:type="character" w:customStyle="1" w:styleId="Heading2Char">
    <w:name w:val="Heading 2 Char"/>
    <w:basedOn w:val="DefaultParagraphFont"/>
    <w:link w:val="Heading2"/>
    <w:uiPriority w:val="9"/>
    <w:rsid w:val="00480F7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57618">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064132178">
      <w:bodyDiv w:val="1"/>
      <w:marLeft w:val="0"/>
      <w:marRight w:val="0"/>
      <w:marTop w:val="0"/>
      <w:marBottom w:val="0"/>
      <w:divBdr>
        <w:top w:val="none" w:sz="0" w:space="0" w:color="auto"/>
        <w:left w:val="none" w:sz="0" w:space="0" w:color="auto"/>
        <w:bottom w:val="none" w:sz="0" w:space="0" w:color="auto"/>
        <w:right w:val="none" w:sz="0" w:space="0" w:color="auto"/>
      </w:divBdr>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nnet.org" TargetMode="External"/><Relationship Id="rId3" Type="http://schemas.openxmlformats.org/officeDocument/2006/relationships/settings" Target="settings.xml"/><Relationship Id="rId7" Type="http://schemas.openxmlformats.org/officeDocument/2006/relationships/hyperlink" Target="http://www.discinn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cinnet.org" TargetMode="External"/><Relationship Id="rId5" Type="http://schemas.openxmlformats.org/officeDocument/2006/relationships/hyperlink" Target="mailto:phjourneau@discinne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899</Words>
  <Characters>5126</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8</cp:revision>
  <dcterms:created xsi:type="dcterms:W3CDTF">2013-08-24T08:31:00Z</dcterms:created>
  <dcterms:modified xsi:type="dcterms:W3CDTF">2013-08-24T11:55:00Z</dcterms:modified>
</cp:coreProperties>
</file>