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A9" w:rsidRDefault="000152A9" w:rsidP="0001055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Current Draft: </w:t>
      </w:r>
    </w:p>
    <w:p w:rsidR="00055D84" w:rsidRDefault="00055D84" w:rsidP="00010559">
      <w:pPr>
        <w:pStyle w:val="NoSpacing"/>
        <w:jc w:val="center"/>
        <w:rPr>
          <w:b/>
          <w:sz w:val="32"/>
          <w:szCs w:val="32"/>
        </w:rPr>
      </w:pPr>
      <w:proofErr w:type="gramStart"/>
      <w:r w:rsidRPr="00991DC4">
        <w:rPr>
          <w:b/>
          <w:sz w:val="24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29"/>
        <w:gridCol w:w="2329"/>
        <w:gridCol w:w="5226"/>
      </w:tblGrid>
      <w:tr w:rsidR="0098113E" w:rsidTr="0098113E"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Intelligence Data Processing and Analysis</w:t>
            </w:r>
          </w:p>
        </w:tc>
      </w:tr>
      <w:tr w:rsidR="0098113E" w:rsidTr="0098113E"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Defense (Intelligence)</w:t>
            </w:r>
          </w:p>
        </w:tc>
      </w:tr>
      <w:tr w:rsidR="0098113E" w:rsidTr="0098113E"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Author/Company/Email</w:t>
            </w:r>
          </w:p>
        </w:tc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D806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 Boyd/Data Tactics/dboyd@data-tactics.com</w:t>
            </w:r>
            <w:bookmarkStart w:id="0" w:name="_GoBack"/>
            <w:bookmarkEnd w:id="0"/>
          </w:p>
        </w:tc>
      </w:tr>
      <w:tr w:rsidR="0098113E" w:rsidTr="0098113E"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Civilian/Military Leadership</w:t>
            </w:r>
          </w:p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 Commanders</w:t>
            </w:r>
          </w:p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Intelligence Analysts</w:t>
            </w:r>
          </w:p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Warfighters </w:t>
            </w:r>
          </w:p>
        </w:tc>
      </w:tr>
      <w:tr w:rsidR="0098113E" w:rsidTr="0098113E"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98113E" w:rsidP="0098113E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Provide automated alerts to Analysts, Warfighters, Commanders, and Leadership based on incoming intelligence data.</w:t>
            </w:r>
            <w:proofErr w:type="gramEnd"/>
          </w:p>
          <w:p w:rsidR="0098113E" w:rsidRDefault="0098113E" w:rsidP="0098113E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 Intelligence Analysts to identify in Intelligence data</w:t>
            </w:r>
          </w:p>
          <w:p w:rsidR="0098113E" w:rsidRDefault="0098113E" w:rsidP="0098113E">
            <w:pPr>
              <w:pStyle w:val="NoSpacing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Relationships between entities (people, organizations, places, equipment)</w:t>
            </w:r>
          </w:p>
          <w:p w:rsidR="0098113E" w:rsidRDefault="0098113E" w:rsidP="0098113E">
            <w:pPr>
              <w:pStyle w:val="NoSpacing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Trends in sentiment or intent for either general population or </w:t>
            </w:r>
            <w:r w:rsidR="00AA38F8">
              <w:rPr>
                <w:rFonts w:ascii="Arial" w:hAnsi="Arial" w:cs="Arial"/>
                <w:sz w:val="20"/>
                <w:szCs w:val="20"/>
              </w:rPr>
              <w:t xml:space="preserve">leadership </w:t>
            </w:r>
            <w:r>
              <w:rPr>
                <w:rFonts w:ascii="Arial" w:hAnsi="Arial" w:cs="Arial"/>
                <w:sz w:val="20"/>
                <w:szCs w:val="20"/>
              </w:rPr>
              <w:t>group (state, non-state actors).</w:t>
            </w:r>
            <w:proofErr w:type="gramEnd"/>
          </w:p>
          <w:p w:rsidR="0098113E" w:rsidRDefault="0098113E" w:rsidP="0098113E">
            <w:pPr>
              <w:pStyle w:val="NoSpacing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Location of and possibly timing of hostile actions (including implantation of IEDs).</w:t>
            </w:r>
            <w:proofErr w:type="gramEnd"/>
          </w:p>
          <w:p w:rsidR="0098113E" w:rsidRDefault="0098113E" w:rsidP="0098113E">
            <w:pPr>
              <w:pStyle w:val="NoSpacing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 the location and actions of (potentially) hostile actors</w:t>
            </w:r>
          </w:p>
          <w:p w:rsidR="00AA38F8" w:rsidRDefault="00AA38F8" w:rsidP="00AA38F8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Ability to reason against and derive knowledge from diverse, disconnected, and frequently unstructured (e.g. text) data sources.</w:t>
            </w:r>
            <w:proofErr w:type="gramEnd"/>
          </w:p>
          <w:p w:rsidR="00896370" w:rsidRDefault="00896370" w:rsidP="00AA38F8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Ability to process data close to the point of collection and allow data to be shared easily to/from individual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soldiers,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forward deployed units, and senior leadership in garrison.</w:t>
            </w:r>
          </w:p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113E" w:rsidTr="0098113E"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AA38F8" w:rsidP="00AA38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Ingest/accept data from a wide range of sensors and sources across intelligence disciplines (IMINT, MASINT, GEOINT, HUMINT, SIGINT, OSINT, etc.)</w:t>
            </w:r>
          </w:p>
          <w:p w:rsidR="00AA38F8" w:rsidRDefault="00AA38F8" w:rsidP="00AA38F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Process, transform, or align date from disparate sources in disparate formats </w:t>
            </w:r>
            <w:r w:rsidR="00896370">
              <w:rPr>
                <w:rFonts w:ascii="Arial" w:hAnsi="Arial" w:cs="Arial"/>
                <w:sz w:val="20"/>
                <w:szCs w:val="20"/>
              </w:rPr>
              <w:t xml:space="preserve">into a unified data space </w:t>
            </w:r>
            <w:r>
              <w:rPr>
                <w:rFonts w:ascii="Arial" w:hAnsi="Arial" w:cs="Arial"/>
                <w:sz w:val="20"/>
                <w:szCs w:val="20"/>
              </w:rPr>
              <w:t>to permit:</w:t>
            </w:r>
          </w:p>
          <w:p w:rsidR="00AA38F8" w:rsidRDefault="00896370" w:rsidP="00896370">
            <w:pPr>
              <w:pStyle w:val="NoSpacing"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</w:t>
            </w:r>
          </w:p>
          <w:p w:rsidR="00896370" w:rsidRDefault="00896370" w:rsidP="00896370">
            <w:pPr>
              <w:pStyle w:val="NoSpacing"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Reasoning</w:t>
            </w:r>
          </w:p>
          <w:p w:rsidR="00896370" w:rsidRDefault="00896370" w:rsidP="00896370">
            <w:pPr>
              <w:pStyle w:val="NoSpacing"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Comparison</w:t>
            </w:r>
          </w:p>
          <w:p w:rsidR="0098113E" w:rsidRDefault="00896370" w:rsidP="0089637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alerts to users of significant changes in the state of monitored entities or significant activity within an area.</w:t>
            </w:r>
          </w:p>
          <w:p w:rsidR="00896370" w:rsidRDefault="00896370" w:rsidP="0089637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connectivity to the edge for the Warfighter (in this case the edge would go as far as a single soldier on dismounted patrol)</w:t>
            </w:r>
          </w:p>
          <w:p w:rsidR="00896370" w:rsidRPr="00896370" w:rsidRDefault="00896370" w:rsidP="008963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113E" w:rsidTr="0098113E">
        <w:trPr>
          <w:trHeight w:val="350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89637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Fixed and deployed computing clusters ranging from 1000s of nodes to 10s of nodes.</w:t>
            </w:r>
          </w:p>
        </w:tc>
      </w:tr>
      <w:tr w:rsidR="0098113E" w:rsidTr="0098113E">
        <w:trPr>
          <w:trHeight w:val="3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13E" w:rsidRDefault="009811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89637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10s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Terrabytes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100s of Petabytes</w:t>
            </w:r>
            <w:r w:rsidR="001B2B50">
              <w:rPr>
                <w:rFonts w:ascii="Arial" w:hAnsi="Arial" w:cs="Arial"/>
                <w:sz w:val="20"/>
                <w:szCs w:val="20"/>
              </w:rPr>
              <w:t xml:space="preserve"> for edge and fixed site clusters.  Dismounted soldiers would have at most 1-100s of Gigabytes (mostly single digit handheld data storage sizes).</w:t>
            </w:r>
          </w:p>
        </w:tc>
      </w:tr>
      <w:tr w:rsidR="0098113E" w:rsidTr="0098113E">
        <w:trPr>
          <w:trHeight w:val="3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13E" w:rsidRDefault="009811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1B2B5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Networking with-in and between in garrison fixed sites is robust.  Connectivity to forward edge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is limited and often characterized by high latency and packet loss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.  Remote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might be Satellite based (high latency) or even limited to RF Line of sight radio.</w:t>
            </w:r>
          </w:p>
        </w:tc>
      </w:tr>
      <w:tr w:rsidR="0098113E" w:rsidTr="0098113E">
        <w:trPr>
          <w:trHeight w:val="3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13E" w:rsidRDefault="009811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1B2B5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baseline leverages:</w:t>
            </w:r>
          </w:p>
          <w:p w:rsidR="001B2B50" w:rsidRDefault="001B2B50" w:rsidP="001B2B5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Hadoop</w:t>
            </w:r>
          </w:p>
          <w:p w:rsidR="001B2B50" w:rsidRDefault="001B2B50" w:rsidP="001B2B5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Accumulo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(Big Table)</w:t>
            </w:r>
          </w:p>
          <w:p w:rsidR="001B2B50" w:rsidRDefault="001B2B50" w:rsidP="001B2B5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Solr</w:t>
            </w:r>
            <w:proofErr w:type="spellEnd"/>
          </w:p>
          <w:p w:rsidR="001B2B50" w:rsidRDefault="001B2B50" w:rsidP="001B2B5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NLP (several variants)</w:t>
            </w:r>
          </w:p>
          <w:p w:rsidR="001B2B50" w:rsidRDefault="001B2B50" w:rsidP="001B2B5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Puppet (for deployment and security)</w:t>
            </w:r>
          </w:p>
          <w:p w:rsidR="001B2B50" w:rsidRDefault="001B2B50" w:rsidP="001B2B5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Storm </w:t>
            </w:r>
          </w:p>
          <w:p w:rsidR="001B2B50" w:rsidRDefault="001B2B50" w:rsidP="001B2B50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 applications and visualization tools </w:t>
            </w:r>
          </w:p>
        </w:tc>
      </w:tr>
      <w:tr w:rsidR="0098113E" w:rsidTr="0098113E">
        <w:trPr>
          <w:trHeight w:val="350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Big Data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113E" w:rsidRDefault="001B2B5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distributed</w:t>
            </w:r>
          </w:p>
        </w:tc>
      </w:tr>
      <w:tr w:rsidR="0098113E" w:rsidTr="0098113E">
        <w:trPr>
          <w:trHeight w:val="2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13E" w:rsidRDefault="009811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113E" w:rsidRDefault="001B2B5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IMINT sensors can produce over a petabyte of data in the space of hours.    Other data is as small as infrequent sensor activations or text messages.</w:t>
            </w:r>
          </w:p>
        </w:tc>
      </w:tr>
      <w:tr w:rsidR="0098113E" w:rsidTr="0098113E">
        <w:trPr>
          <w:trHeight w:val="2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13E" w:rsidRDefault="009811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Velocity </w:t>
            </w:r>
          </w:p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113E" w:rsidRDefault="001B2B5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 sensor data is real time (Full motion video, SIGINT) other is less real time.   The critical aspect is to be able ingest, process, and disseminate alerts in NRT.</w:t>
            </w:r>
          </w:p>
        </w:tc>
      </w:tr>
      <w:tr w:rsidR="0098113E" w:rsidTr="0098113E">
        <w:trPr>
          <w:trHeight w:val="2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13E" w:rsidRDefault="009811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Variety </w:t>
            </w:r>
          </w:p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(multiple datasets,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mashup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113E" w:rsidRDefault="00720FF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Everything from text files, raw media, imagery, video, audio, electronic data, human generated data.</w:t>
            </w:r>
            <w:proofErr w:type="gramEnd"/>
          </w:p>
        </w:tc>
      </w:tr>
      <w:tr w:rsidR="0098113E" w:rsidTr="0098113E">
        <w:trPr>
          <w:trHeight w:val="2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13E" w:rsidRDefault="009811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8113E" w:rsidRDefault="00720FF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sensor interface formats tend to be stable, most other data is uncontrolled and may be in any format.  Much of the data is unstructured.</w:t>
            </w:r>
          </w:p>
        </w:tc>
      </w:tr>
      <w:tr w:rsidR="0098113E" w:rsidTr="0098113E">
        <w:trPr>
          <w:trHeight w:val="267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curation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</w:p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Veracity (Robustness Issues, semantics)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98113E" w:rsidRDefault="00720FF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provenance (e.g. tracking of all transfers and transformations)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must be tracked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over the life of the data.  </w:t>
            </w:r>
          </w:p>
          <w:p w:rsidR="00720FFC" w:rsidRDefault="00720FFC" w:rsidP="00720FF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Determining the veracity of “soft” data sources (generally human generated) is a critical requirement.</w:t>
            </w:r>
          </w:p>
        </w:tc>
      </w:tr>
      <w:tr w:rsidR="0098113E" w:rsidTr="0098113E">
        <w:trPr>
          <w:trHeight w:val="2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13E" w:rsidRDefault="009811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98113E" w:rsidRDefault="00720FF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visualizations will be Geospatial overlays and network diagrams.  Volume amounts might be millions of points on the map and thousands of nodes in the network diagram.  </w:t>
            </w:r>
          </w:p>
        </w:tc>
      </w:tr>
      <w:tr w:rsidR="0098113E" w:rsidTr="0098113E">
        <w:trPr>
          <w:trHeight w:val="2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13E" w:rsidRDefault="009811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Quality (syntax)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720FFC" w:rsidRDefault="00720FFC" w:rsidP="00720FF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Quality for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sensor generated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data is generally known (image quality, sig/noise) and good.  </w:t>
            </w:r>
          </w:p>
          <w:p w:rsidR="00720FFC" w:rsidRDefault="00720FFC" w:rsidP="00720FF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Unstructured or “capture</w:t>
            </w:r>
            <w:r w:rsidR="00472E25">
              <w:rPr>
                <w:rFonts w:ascii="Arial" w:hAnsi="Arial" w:cs="Arial"/>
                <w:sz w:val="20"/>
                <w:szCs w:val="20"/>
              </w:rPr>
              <w:t>d” data quality</w:t>
            </w:r>
            <w:r>
              <w:rPr>
                <w:rFonts w:ascii="Arial" w:hAnsi="Arial" w:cs="Arial"/>
                <w:sz w:val="20"/>
                <w:szCs w:val="20"/>
              </w:rPr>
              <w:t xml:space="preserve"> varies significantly</w:t>
            </w:r>
            <w:r w:rsidR="00472E25">
              <w:rPr>
                <w:rFonts w:ascii="Arial" w:hAnsi="Arial" w:cs="Arial"/>
                <w:sz w:val="20"/>
                <w:szCs w:val="20"/>
              </w:rPr>
              <w:t xml:space="preserve"> and frequently </w:t>
            </w:r>
            <w:proofErr w:type="gramStart"/>
            <w:r w:rsidR="00472E25">
              <w:rPr>
                <w:rFonts w:ascii="Arial" w:hAnsi="Arial" w:cs="Arial"/>
                <w:sz w:val="20"/>
                <w:szCs w:val="20"/>
              </w:rPr>
              <w:t>cannot be controlled</w:t>
            </w:r>
            <w:proofErr w:type="gramEnd"/>
            <w:r w:rsidR="00472E2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113E" w:rsidTr="0098113E">
        <w:trPr>
          <w:trHeight w:val="2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13E" w:rsidRDefault="009811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98113E" w:rsidRDefault="00472E2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Imagery, Video, Text, Digital documents of all types, Audio, Digital signal data.</w:t>
            </w:r>
          </w:p>
        </w:tc>
      </w:tr>
      <w:tr w:rsidR="0098113E" w:rsidTr="0098113E">
        <w:trPr>
          <w:trHeight w:val="2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13E" w:rsidRDefault="009811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98113E" w:rsidRDefault="00472E25" w:rsidP="00472E25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NRT Alerts based on patterns and baseline changes.</w:t>
            </w:r>
          </w:p>
          <w:p w:rsidR="00472E25" w:rsidRDefault="00472E25" w:rsidP="00472E25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 Analysis</w:t>
            </w:r>
          </w:p>
          <w:p w:rsidR="00472E25" w:rsidRDefault="00472E25" w:rsidP="00472E25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Geospatial Analysis</w:t>
            </w:r>
          </w:p>
          <w:p w:rsidR="00472E25" w:rsidRDefault="00472E25" w:rsidP="00472E25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Text Analytics (sentiment, entity extraction, etc.)</w:t>
            </w:r>
            <w:proofErr w:type="gramEnd"/>
          </w:p>
        </w:tc>
      </w:tr>
      <w:tr w:rsidR="0098113E" w:rsidTr="0098113E">
        <w:trPr>
          <w:trHeight w:val="593"/>
        </w:trPr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472E25" w:rsidP="00472E25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 (or even moderate size data) over tactical networks</w:t>
            </w:r>
          </w:p>
          <w:p w:rsidR="00472E25" w:rsidRDefault="00472E25" w:rsidP="00472E25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currently exists in disparate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silos which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must be accessible through a semantically integrated data space.</w:t>
            </w:r>
          </w:p>
          <w:p w:rsidR="00472E25" w:rsidRDefault="00472E25" w:rsidP="00472E25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 critical data is either unstructured or imagery/video which requires significant processing to extract entities and information.</w:t>
            </w:r>
          </w:p>
        </w:tc>
      </w:tr>
      <w:tr w:rsidR="0098113E" w:rsidTr="0098113E"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472E2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The  outputs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of this analysis and information must be transmitted to or accessed by the dismounted forward soldier.</w:t>
            </w:r>
          </w:p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113E" w:rsidTr="0098113E"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8113E" w:rsidRDefault="00472E2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Foremost.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Data must be protected against:</w:t>
            </w:r>
          </w:p>
          <w:p w:rsidR="00472E25" w:rsidRDefault="00472E25" w:rsidP="00472E25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Unauthorized access or disclosure</w:t>
            </w:r>
          </w:p>
          <w:p w:rsidR="00472E25" w:rsidRDefault="00472E25" w:rsidP="00472E25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Tampering</w:t>
            </w:r>
          </w:p>
        </w:tc>
      </w:tr>
      <w:tr w:rsidR="0098113E" w:rsidTr="0098113E"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</w:t>
            </w: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for ref. architecture) </w:t>
            </w:r>
          </w:p>
        </w:tc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0C1279" w:rsidP="000C127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Wide variety of data types, sources, structures,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quality which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will span domains and requires integrated search and reasoning.</w:t>
            </w:r>
          </w:p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113E" w:rsidTr="0098113E"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More Information (URLs)</w:t>
            </w:r>
          </w:p>
        </w:tc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13E" w:rsidRDefault="00D8068B">
            <w:pPr>
              <w:pStyle w:val="NoSpacing"/>
            </w:pPr>
            <w:hyperlink r:id="rId6" w:history="1">
              <w:r w:rsidR="000C1279">
                <w:rPr>
                  <w:rStyle w:val="Hyperlink"/>
                </w:rPr>
                <w:t>http://www.afcea-aberdeen.org/files/presentations/AFCEAAberdeen_DCGSA_COLWells_PS.pdf</w:t>
              </w:r>
            </w:hyperlink>
          </w:p>
          <w:p w:rsidR="000C1279" w:rsidRDefault="000C1279">
            <w:pPr>
              <w:pStyle w:val="NoSpacing"/>
            </w:pPr>
          </w:p>
          <w:p w:rsidR="000C1279" w:rsidRDefault="000C127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C1279">
              <w:rPr>
                <w:rFonts w:ascii="Arial" w:hAnsi="Arial" w:cs="Arial"/>
                <w:sz w:val="20"/>
                <w:szCs w:val="20"/>
              </w:rPr>
              <w:t>http://stids.c4i.gmu.edu/papers/STIDSPapers/STIDS2012_T14_SmithEtAl_HorizontalIntegrationOfWarfighterIntel.pdf</w:t>
            </w:r>
          </w:p>
          <w:p w:rsidR="0098113E" w:rsidRDefault="009811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8113E" w:rsidRDefault="00D806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0C1279" w:rsidRPr="00FD14B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http://stids.c4i.gmu.edu/STIDS2011/papers/STIDS2011_CR_T1_SalmenEtAl.pdf</w:t>
              </w:r>
            </w:hyperlink>
          </w:p>
          <w:p w:rsidR="000C1279" w:rsidRDefault="000C127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C1279" w:rsidRDefault="00D8068B">
            <w:pPr>
              <w:pStyle w:val="NoSpacing"/>
            </w:pPr>
            <w:hyperlink r:id="rId8" w:history="1">
              <w:r w:rsidR="000C1279">
                <w:rPr>
                  <w:rStyle w:val="Hyperlink"/>
                </w:rPr>
                <w:t>http://www.youtube.com/watch?v=l4Qii7T8zeg</w:t>
              </w:r>
            </w:hyperlink>
          </w:p>
          <w:p w:rsidR="000C1279" w:rsidRDefault="000C1279">
            <w:pPr>
              <w:pStyle w:val="NoSpacing"/>
            </w:pPr>
          </w:p>
          <w:p w:rsidR="000C1279" w:rsidRDefault="00D806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0C1279">
                <w:rPr>
                  <w:rStyle w:val="Hyperlink"/>
                </w:rPr>
                <w:t>http://dcgsa.apg.army.mil/</w:t>
              </w:r>
            </w:hyperlink>
          </w:p>
        </w:tc>
      </w:tr>
      <w:tr w:rsidR="0098113E" w:rsidTr="0098113E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13E" w:rsidRDefault="009811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:rsidR="0098113E" w:rsidRDefault="0098113E" w:rsidP="00010559">
      <w:pPr>
        <w:pStyle w:val="NoSpacing"/>
        <w:jc w:val="center"/>
        <w:rPr>
          <w:b/>
          <w:sz w:val="32"/>
          <w:szCs w:val="32"/>
        </w:rPr>
      </w:pPr>
    </w:p>
    <w:p w:rsidR="002140E4" w:rsidRPr="00010559" w:rsidRDefault="002140E4" w:rsidP="00010559">
      <w:pPr>
        <w:tabs>
          <w:tab w:val="left" w:pos="7695"/>
        </w:tabs>
      </w:pPr>
    </w:p>
    <w:sectPr w:rsidR="002140E4" w:rsidRPr="0001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DEF"/>
    <w:multiLevelType w:val="hybridMultilevel"/>
    <w:tmpl w:val="036A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1615A"/>
    <w:multiLevelType w:val="hybridMultilevel"/>
    <w:tmpl w:val="320668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7915B1"/>
    <w:multiLevelType w:val="hybridMultilevel"/>
    <w:tmpl w:val="B5D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B173D"/>
    <w:multiLevelType w:val="hybridMultilevel"/>
    <w:tmpl w:val="BDB08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DE55FC"/>
    <w:multiLevelType w:val="hybridMultilevel"/>
    <w:tmpl w:val="FC0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E64EB"/>
    <w:multiLevelType w:val="hybridMultilevel"/>
    <w:tmpl w:val="FDA682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707AB3"/>
    <w:multiLevelType w:val="hybridMultilevel"/>
    <w:tmpl w:val="95F42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80E47"/>
    <w:multiLevelType w:val="hybridMultilevel"/>
    <w:tmpl w:val="9FECB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66EB2"/>
    <w:multiLevelType w:val="hybridMultilevel"/>
    <w:tmpl w:val="A64C5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8F6D4E"/>
    <w:multiLevelType w:val="hybridMultilevel"/>
    <w:tmpl w:val="5B24D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26576"/>
    <w:multiLevelType w:val="hybridMultilevel"/>
    <w:tmpl w:val="EE86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84"/>
    <w:rsid w:val="00010559"/>
    <w:rsid w:val="000152A9"/>
    <w:rsid w:val="00021F26"/>
    <w:rsid w:val="00055D84"/>
    <w:rsid w:val="000C1279"/>
    <w:rsid w:val="00167A7A"/>
    <w:rsid w:val="001B2B50"/>
    <w:rsid w:val="001E12F2"/>
    <w:rsid w:val="001F578B"/>
    <w:rsid w:val="002140E4"/>
    <w:rsid w:val="00223C1A"/>
    <w:rsid w:val="00227954"/>
    <w:rsid w:val="002E7D49"/>
    <w:rsid w:val="00326EF5"/>
    <w:rsid w:val="003472A4"/>
    <w:rsid w:val="003534C4"/>
    <w:rsid w:val="003A6228"/>
    <w:rsid w:val="003B7615"/>
    <w:rsid w:val="00472E25"/>
    <w:rsid w:val="004D6914"/>
    <w:rsid w:val="00507CEC"/>
    <w:rsid w:val="00706240"/>
    <w:rsid w:val="00714489"/>
    <w:rsid w:val="00720FFC"/>
    <w:rsid w:val="007563A9"/>
    <w:rsid w:val="00802820"/>
    <w:rsid w:val="00837DE8"/>
    <w:rsid w:val="008464C1"/>
    <w:rsid w:val="00896370"/>
    <w:rsid w:val="008A0018"/>
    <w:rsid w:val="0098113E"/>
    <w:rsid w:val="00984F92"/>
    <w:rsid w:val="00991DC4"/>
    <w:rsid w:val="009E410B"/>
    <w:rsid w:val="00A81C06"/>
    <w:rsid w:val="00AA38F8"/>
    <w:rsid w:val="00AD5719"/>
    <w:rsid w:val="00B36AA2"/>
    <w:rsid w:val="00B815AA"/>
    <w:rsid w:val="00C07D57"/>
    <w:rsid w:val="00C77AEF"/>
    <w:rsid w:val="00CF5446"/>
    <w:rsid w:val="00D45970"/>
    <w:rsid w:val="00D8068B"/>
    <w:rsid w:val="00E4263F"/>
    <w:rsid w:val="00E95102"/>
    <w:rsid w:val="00F06ABD"/>
    <w:rsid w:val="00F66213"/>
    <w:rsid w:val="00F8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l4Qii7T8ze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ids.c4i.gmu.edu/STIDS2011/papers/STIDS2011_CR_T1_SalmenEt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fcea-aberdeen.org/files/presentations/AFCEAAberdeen_DCGSA_COLWells_PS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cgsa.apg.army.m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Qiu</dc:creator>
  <cp:lastModifiedBy>David Boyd</cp:lastModifiedBy>
  <cp:revision>3</cp:revision>
  <dcterms:created xsi:type="dcterms:W3CDTF">2013-09-04T18:53:00Z</dcterms:created>
  <dcterms:modified xsi:type="dcterms:W3CDTF">2013-09-04T19:44:00Z</dcterms:modified>
</cp:coreProperties>
</file>