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A2" w:rsidRPr="00010559" w:rsidRDefault="00010BA2" w:rsidP="00010BA2">
      <w:pPr>
        <w:pStyle w:val="NoSpacing"/>
        <w:rPr>
          <w:b/>
          <w:sz w:val="32"/>
          <w:szCs w:val="32"/>
        </w:rPr>
      </w:pPr>
      <w:proofErr w:type="gramStart"/>
      <w:r w:rsidRPr="00991DC4">
        <w:rPr>
          <w:b/>
          <w:sz w:val="24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  <w:r>
        <w:rPr>
          <w:b/>
          <w:sz w:val="32"/>
          <w:szCs w:val="32"/>
        </w:rPr>
        <w:t xml:space="preserve"> Aug 11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4839"/>
      </w:tblGrid>
      <w:tr w:rsidR="00010BA2" w:rsidRPr="00C77AEF" w:rsidTr="00160192"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</w:tcPr>
          <w:p w:rsidR="00010BA2" w:rsidRPr="00C77AEF" w:rsidRDefault="00010BA2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Consumption forecasting in Smart Grids</w:t>
            </w:r>
          </w:p>
        </w:tc>
      </w:tr>
      <w:tr w:rsidR="00010BA2" w:rsidRPr="00C77AEF" w:rsidTr="00160192"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</w:tcPr>
          <w:p w:rsidR="00010BA2" w:rsidRPr="00C77AEF" w:rsidRDefault="00010BA2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Informatics</w:t>
            </w:r>
          </w:p>
        </w:tc>
      </w:tr>
      <w:tr w:rsidR="00010BA2" w:rsidRPr="00C77AEF" w:rsidTr="00160192"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198" w:type="dxa"/>
            <w:gridSpan w:val="2"/>
          </w:tcPr>
          <w:p w:rsidR="00010BA2" w:rsidRPr="00C77AEF" w:rsidRDefault="00522984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Yogesh Simmhan, </w:t>
            </w:r>
            <w:bookmarkStart w:id="0" w:name="_GoBack"/>
            <w:bookmarkEnd w:id="0"/>
            <w:r w:rsidR="00010BA2">
              <w:rPr>
                <w:rFonts w:ascii="Arial" w:hAnsi="Arial" w:cs="Arial"/>
                <w:sz w:val="20"/>
                <w:szCs w:val="20"/>
              </w:rPr>
              <w:t xml:space="preserve">University of Southern </w:t>
            </w:r>
            <w:r>
              <w:rPr>
                <w:rFonts w:ascii="Arial" w:hAnsi="Arial" w:cs="Arial"/>
                <w:sz w:val="20"/>
                <w:szCs w:val="20"/>
              </w:rPr>
              <w:t xml:space="preserve">California, </w:t>
            </w:r>
            <w:r w:rsidR="00010BA2" w:rsidRPr="00522984">
              <w:rPr>
                <w:rFonts w:ascii="Arial" w:hAnsi="Arial" w:cs="Arial"/>
                <w:sz w:val="20"/>
                <w:szCs w:val="20"/>
              </w:rPr>
              <w:t>simmhan@usc.edu</w:t>
            </w:r>
          </w:p>
        </w:tc>
      </w:tr>
      <w:tr w:rsidR="00010BA2" w:rsidRPr="00C77AEF" w:rsidTr="00160192"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</w:tcPr>
          <w:p w:rsidR="00010BA2" w:rsidRPr="00C77AEF" w:rsidRDefault="00010BA2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Electric Utilities, Campus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MicroGrids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Building Managers, Power Consumers</w:t>
            </w:r>
            <w:r>
              <w:rPr>
                <w:rFonts w:ascii="Arial" w:hAnsi="Arial" w:cs="Arial"/>
                <w:sz w:val="20"/>
                <w:szCs w:val="20"/>
              </w:rPr>
              <w:t>, Energy Markets</w:t>
            </w:r>
          </w:p>
        </w:tc>
      </w:tr>
      <w:tr w:rsidR="00010BA2" w:rsidRPr="00C77AEF" w:rsidTr="00160192"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</w:tcPr>
          <w:p w:rsidR="00010BA2" w:rsidRPr="00C77AEF" w:rsidRDefault="00010BA2" w:rsidP="00010B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scalable and accurate forecasting models to predict the energy consumption (kWh) within the utility service area under different spatial and temporal granularities to help improve grid reliability and efficiency.</w:t>
            </w:r>
          </w:p>
        </w:tc>
      </w:tr>
      <w:tr w:rsidR="00010BA2" w:rsidRPr="00C77AEF" w:rsidTr="00160192"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</w:tcPr>
          <w:p w:rsidR="00010BA2" w:rsidRDefault="00010BA2" w:rsidP="00F1727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 of smart meters are making available near-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energy usage data (kWh) every 15-mins at the granularity individual </w:t>
            </w:r>
            <w:r>
              <w:rPr>
                <w:rFonts w:ascii="Arial" w:hAnsi="Arial" w:cs="Arial"/>
                <w:sz w:val="20"/>
                <w:szCs w:val="20"/>
              </w:rPr>
              <w:t>consumers</w:t>
            </w:r>
            <w:r>
              <w:rPr>
                <w:rFonts w:ascii="Arial" w:hAnsi="Arial" w:cs="Arial"/>
                <w:sz w:val="20"/>
                <w:szCs w:val="20"/>
              </w:rPr>
              <w:t xml:space="preserve"> within the service area of smart power utilities. This unprecedented and growing access to fine-grained energy consumption information allows novel analytics capabilities to be developed for predicting energy consumption for customers</w:t>
            </w:r>
            <w:r>
              <w:rPr>
                <w:rFonts w:ascii="Arial" w:hAnsi="Arial" w:cs="Arial"/>
                <w:sz w:val="20"/>
                <w:szCs w:val="20"/>
              </w:rPr>
              <w:t xml:space="preserve">, transformers, sub-stations and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utility </w:t>
            </w:r>
            <w:r>
              <w:rPr>
                <w:rFonts w:ascii="Arial" w:hAnsi="Arial" w:cs="Arial"/>
                <w:sz w:val="20"/>
                <w:szCs w:val="20"/>
              </w:rPr>
              <w:t xml:space="preserve">service area. </w:t>
            </w:r>
            <w:r w:rsidR="00F1727E">
              <w:rPr>
                <w:rFonts w:ascii="Arial" w:hAnsi="Arial" w:cs="Arial"/>
                <w:sz w:val="20"/>
                <w:szCs w:val="20"/>
              </w:rPr>
              <w:t>Near-term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727E">
              <w:rPr>
                <w:rFonts w:ascii="Arial" w:hAnsi="Arial" w:cs="Arial"/>
                <w:sz w:val="20"/>
                <w:szCs w:val="20"/>
              </w:rPr>
              <w:t xml:space="preserve">forecast </w:t>
            </w:r>
            <w:r>
              <w:rPr>
                <w:rFonts w:ascii="Arial" w:hAnsi="Arial" w:cs="Arial"/>
                <w:sz w:val="20"/>
                <w:szCs w:val="20"/>
              </w:rPr>
              <w:t xml:space="preserve">can be used </w:t>
            </w:r>
            <w:r w:rsidR="0087280E">
              <w:rPr>
                <w:rFonts w:ascii="Arial" w:hAnsi="Arial" w:cs="Arial"/>
                <w:sz w:val="20"/>
                <w:szCs w:val="20"/>
              </w:rPr>
              <w:t xml:space="preserve">by utilities and </w:t>
            </w:r>
            <w:proofErr w:type="spellStart"/>
            <w:r w:rsidR="0087280E">
              <w:rPr>
                <w:rFonts w:ascii="Arial" w:hAnsi="Arial" w:cs="Arial"/>
                <w:sz w:val="20"/>
                <w:szCs w:val="20"/>
              </w:rPr>
              <w:t>microgrid</w:t>
            </w:r>
            <w:proofErr w:type="spellEnd"/>
            <w:r w:rsidR="0087280E">
              <w:rPr>
                <w:rFonts w:ascii="Arial" w:hAnsi="Arial" w:cs="Arial"/>
                <w:sz w:val="20"/>
                <w:szCs w:val="20"/>
              </w:rPr>
              <w:t xml:space="preserve"> managers </w:t>
            </w:r>
            <w:r>
              <w:rPr>
                <w:rFonts w:ascii="Arial" w:hAnsi="Arial" w:cs="Arial"/>
                <w:sz w:val="20"/>
                <w:szCs w:val="20"/>
              </w:rPr>
              <w:t>to take preventive action before consumption spikes cause brown/blackouts through demand-response optimization</w:t>
            </w:r>
            <w:r w:rsidR="003276B6">
              <w:rPr>
                <w:rFonts w:ascii="Arial" w:hAnsi="Arial" w:cs="Arial"/>
                <w:sz w:val="20"/>
                <w:szCs w:val="20"/>
              </w:rPr>
              <w:t xml:space="preserve"> by engaging consumers</w:t>
            </w:r>
            <w:r>
              <w:rPr>
                <w:rFonts w:ascii="Arial" w:hAnsi="Arial" w:cs="Arial"/>
                <w:sz w:val="20"/>
                <w:szCs w:val="20"/>
              </w:rPr>
              <w:t xml:space="preserve">, bringing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peaker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units online, or purchasing power from the energy markets. </w:t>
            </w:r>
            <w:r w:rsidR="005B0FCF">
              <w:rPr>
                <w:rFonts w:ascii="Arial" w:hAnsi="Arial" w:cs="Arial"/>
                <w:sz w:val="20"/>
                <w:szCs w:val="20"/>
              </w:rPr>
              <w:t>These form an OODA feedback loop.</w:t>
            </w:r>
            <w:r w:rsidR="005B0F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381C">
              <w:rPr>
                <w:rFonts w:ascii="Arial" w:hAnsi="Arial" w:cs="Arial"/>
                <w:sz w:val="20"/>
                <w:szCs w:val="20"/>
              </w:rPr>
              <w:t xml:space="preserve">Customers can also use them for energy use planning and budgeting. </w:t>
            </w:r>
            <w:r w:rsidR="00F1727E">
              <w:rPr>
                <w:rFonts w:ascii="Arial" w:hAnsi="Arial" w:cs="Arial"/>
                <w:sz w:val="20"/>
                <w:szCs w:val="20"/>
              </w:rPr>
              <w:t xml:space="preserve">Medium- to long-term predictions can help </w:t>
            </w:r>
            <w:r w:rsidR="00CE381C">
              <w:rPr>
                <w:rFonts w:ascii="Arial" w:hAnsi="Arial" w:cs="Arial"/>
                <w:sz w:val="20"/>
                <w:szCs w:val="20"/>
              </w:rPr>
              <w:t xml:space="preserve">utilities and building managers </w:t>
            </w:r>
            <w:r w:rsidR="00F1727E">
              <w:rPr>
                <w:rFonts w:ascii="Arial" w:hAnsi="Arial" w:cs="Arial"/>
                <w:sz w:val="20"/>
                <w:szCs w:val="20"/>
              </w:rPr>
              <w:t>plan generation capacity, renewable portfolio, energy purchasing contracts and sustainable building improvements.</w:t>
            </w:r>
            <w:r w:rsidR="002F77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16D50" w:rsidRDefault="00216D50" w:rsidP="00216D5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276B6" w:rsidRPr="00C77AEF" w:rsidRDefault="00216D50" w:rsidP="00B80D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Steps involved include </w:t>
            </w:r>
            <w:r w:rsidRPr="008535BD">
              <w:rPr>
                <w:rFonts w:ascii="Arial" w:hAnsi="Arial" w:cs="Arial"/>
                <w:i/>
                <w:sz w:val="20"/>
                <w:szCs w:val="20"/>
              </w:rPr>
              <w:t xml:space="preserve">1) Data Collection &amp; </w:t>
            </w:r>
            <w:r w:rsidR="008535BD">
              <w:rPr>
                <w:rFonts w:ascii="Arial" w:hAnsi="Arial" w:cs="Arial"/>
                <w:i/>
                <w:sz w:val="20"/>
                <w:szCs w:val="20"/>
              </w:rPr>
              <w:t>Storage</w:t>
            </w:r>
            <w:r>
              <w:rPr>
                <w:rFonts w:ascii="Arial" w:hAnsi="Arial" w:cs="Arial"/>
                <w:sz w:val="20"/>
                <w:szCs w:val="20"/>
              </w:rPr>
              <w:t>: time-series data from (potentially) millions of smart meters in near-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features on consumers, facilities and regions, weather forecasts, archival of data for training, testing and validating models; </w:t>
            </w:r>
            <w:r w:rsidRPr="008535BD">
              <w:rPr>
                <w:rFonts w:ascii="Arial" w:hAnsi="Arial" w:cs="Arial"/>
                <w:i/>
                <w:sz w:val="20"/>
                <w:szCs w:val="20"/>
              </w:rPr>
              <w:t>2) Data Cleaning &amp; Normalization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Spatio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-temporal normalization, g</w:t>
            </w:r>
            <w:r>
              <w:rPr>
                <w:rFonts w:ascii="Arial" w:hAnsi="Arial" w:cs="Arial"/>
                <w:sz w:val="20"/>
                <w:szCs w:val="20"/>
              </w:rPr>
              <w:t>ap filling</w:t>
            </w:r>
            <w:r>
              <w:rPr>
                <w:rFonts w:ascii="Arial" w:hAnsi="Arial" w:cs="Arial"/>
                <w:sz w:val="20"/>
                <w:szCs w:val="20"/>
              </w:rPr>
              <w:t xml:space="preserve">/Interpolation, outlier detection, semantic annotation; </w:t>
            </w:r>
            <w:r w:rsidRPr="008535BD">
              <w:rPr>
                <w:rFonts w:ascii="Arial" w:hAnsi="Arial" w:cs="Arial"/>
                <w:i/>
                <w:sz w:val="20"/>
                <w:szCs w:val="20"/>
              </w:rPr>
              <w:t>3) Training Forecast Models</w:t>
            </w:r>
            <w:r>
              <w:rPr>
                <w:rFonts w:ascii="Arial" w:hAnsi="Arial" w:cs="Arial"/>
                <w:sz w:val="20"/>
                <w:szCs w:val="20"/>
              </w:rPr>
              <w:t xml:space="preserve">: 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univariate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timeseries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models like ARIMA, </w:t>
            </w:r>
            <w:r w:rsidR="008535BD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</w:rPr>
              <w:t>data-driven machine learning models like regression tree, ANN</w:t>
            </w:r>
            <w:r w:rsidR="008535BD">
              <w:rPr>
                <w:rFonts w:ascii="Arial" w:hAnsi="Arial" w:cs="Arial"/>
                <w:sz w:val="20"/>
                <w:szCs w:val="20"/>
              </w:rPr>
              <w:t>, for different spatial (consumer, transformer)</w:t>
            </w:r>
            <w:r w:rsidR="005901CB">
              <w:rPr>
                <w:rFonts w:ascii="Arial" w:hAnsi="Arial" w:cs="Arial"/>
                <w:sz w:val="20"/>
                <w:szCs w:val="20"/>
              </w:rPr>
              <w:t xml:space="preserve"> and temporal (15-min, 24-hour) granularities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8535BD">
              <w:rPr>
                <w:rFonts w:ascii="Arial" w:hAnsi="Arial" w:cs="Arial"/>
                <w:i/>
                <w:sz w:val="20"/>
                <w:szCs w:val="20"/>
              </w:rPr>
              <w:t>4) Prediction</w:t>
            </w:r>
            <w:r w:rsidR="005901CB">
              <w:rPr>
                <w:rFonts w:ascii="Arial" w:hAnsi="Arial" w:cs="Arial"/>
                <w:sz w:val="20"/>
                <w:szCs w:val="20"/>
              </w:rPr>
              <w:t>: Predict</w:t>
            </w:r>
            <w:r>
              <w:rPr>
                <w:rFonts w:ascii="Arial" w:hAnsi="Arial" w:cs="Arial"/>
                <w:sz w:val="20"/>
                <w:szCs w:val="20"/>
              </w:rPr>
              <w:t xml:space="preserve"> consumption </w:t>
            </w:r>
            <w:r w:rsidR="005901CB">
              <w:rPr>
                <w:rFonts w:ascii="Arial" w:hAnsi="Arial" w:cs="Arial"/>
                <w:sz w:val="20"/>
                <w:szCs w:val="20"/>
              </w:rPr>
              <w:t xml:space="preserve">for different </w:t>
            </w:r>
            <w:proofErr w:type="spellStart"/>
            <w:r w:rsidR="005901CB">
              <w:rPr>
                <w:rFonts w:ascii="Arial" w:hAnsi="Arial" w:cs="Arial"/>
                <w:sz w:val="20"/>
                <w:szCs w:val="20"/>
              </w:rPr>
              <w:t>spatio</w:t>
            </w:r>
            <w:proofErr w:type="spellEnd"/>
            <w:r w:rsidR="005901CB">
              <w:rPr>
                <w:rFonts w:ascii="Arial" w:hAnsi="Arial" w:cs="Arial"/>
                <w:sz w:val="20"/>
                <w:szCs w:val="20"/>
              </w:rPr>
              <w:t xml:space="preserve">-temporal granularities and prediction horizons </w:t>
            </w:r>
            <w:r>
              <w:rPr>
                <w:rFonts w:ascii="Arial" w:hAnsi="Arial" w:cs="Arial"/>
                <w:sz w:val="20"/>
                <w:szCs w:val="20"/>
              </w:rPr>
              <w:t>using near-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historic </w:t>
            </w:r>
            <w:r w:rsidR="008535BD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5901CB">
              <w:rPr>
                <w:rFonts w:ascii="Arial" w:hAnsi="Arial" w:cs="Arial"/>
                <w:sz w:val="20"/>
                <w:szCs w:val="20"/>
              </w:rPr>
              <w:t>fed to the forecast model</w:t>
            </w:r>
            <w:r w:rsidR="00B80DE4">
              <w:rPr>
                <w:rFonts w:ascii="Arial" w:hAnsi="Arial" w:cs="Arial"/>
                <w:sz w:val="20"/>
                <w:szCs w:val="20"/>
              </w:rPr>
              <w:t xml:space="preserve"> with thresholds on prediction latencies</w:t>
            </w:r>
            <w:r w:rsidR="005901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0BA2" w:rsidRPr="00C77AEF" w:rsidTr="00160192">
        <w:trPr>
          <w:trHeight w:val="350"/>
        </w:trPr>
        <w:tc>
          <w:tcPr>
            <w:tcW w:w="1717" w:type="dxa"/>
            <w:vMerge w:val="restart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</w:tcPr>
          <w:p w:rsidR="00010BA2" w:rsidRPr="00C77AEF" w:rsidRDefault="00AB2951" w:rsidP="00AB295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Many-core servers, </w:t>
            </w:r>
            <w:r w:rsidR="00423F83">
              <w:rPr>
                <w:rFonts w:ascii="Arial" w:hAnsi="Arial" w:cs="Arial"/>
                <w:sz w:val="20"/>
                <w:szCs w:val="20"/>
              </w:rPr>
              <w:t>Commodity Cluster, Workstations</w:t>
            </w:r>
          </w:p>
        </w:tc>
      </w:tr>
      <w:tr w:rsidR="00010BA2" w:rsidRPr="00C77AEF" w:rsidTr="00160192">
        <w:trPr>
          <w:trHeight w:val="350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</w:tcPr>
          <w:p w:rsidR="00010BA2" w:rsidRPr="00C77AEF" w:rsidRDefault="00AB2951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SQL Databases, CSV Files, HDFS</w:t>
            </w:r>
            <w:r w:rsidR="00B905F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905FF">
              <w:rPr>
                <w:rFonts w:ascii="Arial" w:hAnsi="Arial" w:cs="Arial"/>
                <w:sz w:val="20"/>
                <w:szCs w:val="20"/>
              </w:rPr>
              <w:t>Meter Data Management</w:t>
            </w:r>
          </w:p>
        </w:tc>
      </w:tr>
      <w:tr w:rsidR="00010BA2" w:rsidRPr="00C77AEF" w:rsidTr="00160192">
        <w:trPr>
          <w:trHeight w:val="350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</w:tcPr>
          <w:p w:rsidR="00010BA2" w:rsidRPr="00C77AEF" w:rsidRDefault="00251B4C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Gigabit Ethernet</w:t>
            </w:r>
          </w:p>
        </w:tc>
      </w:tr>
      <w:tr w:rsidR="00010BA2" w:rsidRPr="00C77AEF" w:rsidTr="00160192">
        <w:trPr>
          <w:trHeight w:val="350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:rsidR="00010BA2" w:rsidRPr="00C77AEF" w:rsidRDefault="00251B4C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Matlab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Hadoop</w:t>
            </w:r>
            <w:proofErr w:type="spellEnd"/>
          </w:p>
        </w:tc>
      </w:tr>
      <w:tr w:rsidR="00010BA2" w:rsidRPr="00C77AEF" w:rsidTr="00160192">
        <w:trPr>
          <w:trHeight w:val="350"/>
        </w:trPr>
        <w:tc>
          <w:tcPr>
            <w:tcW w:w="1717" w:type="dxa"/>
            <w:vMerge w:val="restart"/>
          </w:tcPr>
          <w:p w:rsidR="00010BA2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DEDED" w:themeFill="accent3" w:themeFillTint="33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376" w:type="dxa"/>
            <w:shd w:val="clear" w:color="auto" w:fill="EDEDED" w:themeFill="accent3" w:themeFillTint="33"/>
          </w:tcPr>
          <w:p w:rsidR="00010BA2" w:rsidRPr="00C77AEF" w:rsidRDefault="00B905FF" w:rsidP="00B151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Head-end of smart meters</w:t>
            </w:r>
            <w:r w:rsidR="00B151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13B">
              <w:rPr>
                <w:rFonts w:ascii="Arial" w:hAnsi="Arial" w:cs="Arial"/>
                <w:sz w:val="20"/>
                <w:szCs w:val="20"/>
              </w:rPr>
              <w:t>(distributed)</w:t>
            </w:r>
            <w:r>
              <w:rPr>
                <w:rFonts w:ascii="Arial" w:hAnsi="Arial" w:cs="Arial"/>
                <w:sz w:val="20"/>
                <w:szCs w:val="20"/>
              </w:rPr>
              <w:t>, Utility databases (Customer Information, Network topology</w:t>
            </w:r>
            <w:r w:rsidR="00B1513B">
              <w:rPr>
                <w:rFonts w:ascii="Arial" w:hAnsi="Arial" w:cs="Arial"/>
                <w:sz w:val="20"/>
                <w:szCs w:val="20"/>
              </w:rPr>
              <w:t>; centralized</w:t>
            </w:r>
            <w:r>
              <w:rPr>
                <w:rFonts w:ascii="Arial" w:hAnsi="Arial" w:cs="Arial"/>
                <w:sz w:val="20"/>
                <w:szCs w:val="20"/>
              </w:rPr>
              <w:t>), US Census data</w:t>
            </w:r>
            <w:r w:rsidR="00B151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13B">
              <w:rPr>
                <w:rFonts w:ascii="Arial" w:hAnsi="Arial" w:cs="Arial"/>
                <w:sz w:val="20"/>
                <w:szCs w:val="20"/>
              </w:rPr>
              <w:t>(distributed)</w:t>
            </w:r>
            <w:r>
              <w:rPr>
                <w:rFonts w:ascii="Arial" w:hAnsi="Arial" w:cs="Arial"/>
                <w:sz w:val="20"/>
                <w:szCs w:val="20"/>
              </w:rPr>
              <w:t>, NOAA weather data</w:t>
            </w:r>
            <w:r w:rsidR="00B151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13B">
              <w:rPr>
                <w:rFonts w:ascii="Arial" w:hAnsi="Arial" w:cs="Arial"/>
                <w:sz w:val="20"/>
                <w:szCs w:val="20"/>
              </w:rPr>
              <w:t>(distributed)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1513B">
              <w:rPr>
                <w:rFonts w:ascii="Arial" w:hAnsi="Arial" w:cs="Arial"/>
                <w:sz w:val="20"/>
                <w:szCs w:val="20"/>
              </w:rPr>
              <w:t>Microgrid</w:t>
            </w:r>
            <w:proofErr w:type="spellEnd"/>
            <w:r w:rsidR="00B1513B">
              <w:rPr>
                <w:rFonts w:ascii="Arial" w:hAnsi="Arial" w:cs="Arial"/>
                <w:sz w:val="20"/>
                <w:szCs w:val="20"/>
              </w:rPr>
              <w:t xml:space="preserve"> building information system </w:t>
            </w:r>
            <w:r w:rsidR="00B1513B">
              <w:rPr>
                <w:rFonts w:ascii="Arial" w:hAnsi="Arial" w:cs="Arial"/>
                <w:sz w:val="20"/>
                <w:szCs w:val="20"/>
              </w:rPr>
              <w:t>(</w:t>
            </w:r>
            <w:r w:rsidR="00B1513B">
              <w:rPr>
                <w:rFonts w:ascii="Arial" w:hAnsi="Arial" w:cs="Arial"/>
                <w:sz w:val="20"/>
                <w:szCs w:val="20"/>
              </w:rPr>
              <w:t>centralized</w:t>
            </w:r>
            <w:r w:rsidR="00B1513B">
              <w:rPr>
                <w:rFonts w:ascii="Arial" w:hAnsi="Arial" w:cs="Arial"/>
                <w:sz w:val="20"/>
                <w:szCs w:val="20"/>
              </w:rPr>
              <w:t>)</w:t>
            </w:r>
            <w:r w:rsidR="00B1513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1513B">
              <w:rPr>
                <w:rFonts w:ascii="Arial" w:hAnsi="Arial" w:cs="Arial"/>
                <w:sz w:val="20"/>
                <w:szCs w:val="20"/>
              </w:rPr>
              <w:t>Microgrid</w:t>
            </w:r>
            <w:proofErr w:type="spellEnd"/>
            <w:r w:rsidR="00B1513B">
              <w:rPr>
                <w:rFonts w:ascii="Arial" w:hAnsi="Arial" w:cs="Arial"/>
                <w:sz w:val="20"/>
                <w:szCs w:val="20"/>
              </w:rPr>
              <w:t xml:space="preserve"> sensor network (distributed)</w:t>
            </w:r>
          </w:p>
        </w:tc>
      </w:tr>
      <w:tr w:rsidR="00010BA2" w:rsidRPr="00C77AEF" w:rsidTr="00160192">
        <w:trPr>
          <w:trHeight w:val="267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DEDED" w:themeFill="accent3" w:themeFillTint="33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shd w:val="clear" w:color="auto" w:fill="EDEDED" w:themeFill="accent3" w:themeFillTint="33"/>
          </w:tcPr>
          <w:p w:rsidR="00010BA2" w:rsidRPr="00C64DA1" w:rsidRDefault="00957230" w:rsidP="004672D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GB/day; </w:t>
            </w:r>
            <w:r w:rsidR="004672D1">
              <w:rPr>
                <w:rFonts w:ascii="Arial" w:hAnsi="Arial" w:cs="Arial"/>
                <w:sz w:val="20"/>
                <w:szCs w:val="20"/>
              </w:rPr>
              <w:t xml:space="preserve">4 TB/year </w:t>
            </w:r>
            <w:r w:rsidR="004672D1" w:rsidRPr="004672D1">
              <w:rPr>
                <w:rFonts w:ascii="Arial" w:hAnsi="Arial" w:cs="Arial"/>
                <w:i/>
                <w:sz w:val="20"/>
                <w:szCs w:val="20"/>
              </w:rPr>
              <w:t>(City scale)</w:t>
            </w:r>
          </w:p>
        </w:tc>
      </w:tr>
      <w:tr w:rsidR="00010BA2" w:rsidRPr="00C77AEF" w:rsidTr="00160192">
        <w:trPr>
          <w:trHeight w:val="267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010BA2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010BA2" w:rsidRPr="00C64DA1" w:rsidRDefault="00A41449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every 15-mins (~100k streams); Once every 8-hours (~1M streams)</w:t>
            </w:r>
          </w:p>
        </w:tc>
      </w:tr>
      <w:tr w:rsidR="00010BA2" w:rsidRPr="00C77AEF" w:rsidTr="00160192">
        <w:trPr>
          <w:trHeight w:val="267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010BA2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(multiple datasets,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mashup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010BA2" w:rsidRPr="00C64DA1" w:rsidRDefault="00F61A0A" w:rsidP="00F61A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Tuple-based: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Timeseries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database rows; Graph-based: N</w:t>
            </w:r>
            <w:r>
              <w:rPr>
                <w:rFonts w:ascii="Arial" w:hAnsi="Arial" w:cs="Arial"/>
                <w:sz w:val="20"/>
                <w:szCs w:val="20"/>
              </w:rPr>
              <w:t>etwork topology,</w:t>
            </w:r>
            <w:r>
              <w:rPr>
                <w:rFonts w:ascii="Arial" w:hAnsi="Arial" w:cs="Arial"/>
                <w:sz w:val="20"/>
                <w:szCs w:val="20"/>
              </w:rPr>
              <w:t xml:space="preserve"> customer connectivity; Some semantic data for normalization.</w:t>
            </w:r>
          </w:p>
        </w:tc>
      </w:tr>
      <w:tr w:rsidR="00010BA2" w:rsidRPr="00C77AEF" w:rsidTr="00160192">
        <w:trPr>
          <w:trHeight w:val="267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010BA2" w:rsidRPr="00C64DA1" w:rsidRDefault="00301BA8" w:rsidP="00301B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Meter and weather data change, and are collected/used, on hourly basis. Customer/building/grid topology information is slow changing on a weekly basis</w:t>
            </w:r>
          </w:p>
        </w:tc>
      </w:tr>
      <w:tr w:rsidR="00010BA2" w:rsidRPr="00C77AEF" w:rsidTr="00160192">
        <w:trPr>
          <w:trHeight w:val="267"/>
        </w:trPr>
        <w:tc>
          <w:tcPr>
            <w:tcW w:w="1717" w:type="dxa"/>
            <w:vMerge w:val="restart"/>
          </w:tcPr>
          <w:p w:rsidR="00010BA2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curation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</w:p>
          <w:p w:rsidR="00010BA2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BE4D5" w:themeFill="accent2" w:themeFillTint="33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</w:t>
            </w:r>
            <w:r>
              <w:rPr>
                <w:rFonts w:ascii="Arial" w:hAnsi="Arial" w:cs="Arial"/>
                <w:b/>
                <w:sz w:val="20"/>
                <w:szCs w:val="20"/>
              </w:rPr>
              <w:t>, semantics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376" w:type="dxa"/>
            <w:shd w:val="clear" w:color="auto" w:fill="FBE4D5" w:themeFill="accent2" w:themeFillTint="33"/>
          </w:tcPr>
          <w:p w:rsidR="00010BA2" w:rsidRPr="00C64DA1" w:rsidRDefault="00A13337" w:rsidP="00684A0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Versioning and reproducibility is necessary to validate/compare past and current models.</w:t>
            </w:r>
            <w:r w:rsidR="00684A04">
              <w:rPr>
                <w:rFonts w:ascii="Arial" w:hAnsi="Arial" w:cs="Arial"/>
                <w:sz w:val="20"/>
                <w:szCs w:val="20"/>
              </w:rPr>
              <w:t xml:space="preserve"> Resilience of storage and analytics is important for operational needs. Semantic normalization can help with inter-disciplinary analysis (e.g. utility operators, building managers, power engineers, behavioral scientists)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10BA2" w:rsidRPr="00C77AEF" w:rsidTr="00160192">
        <w:trPr>
          <w:trHeight w:val="267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BE4D5" w:themeFill="accent2" w:themeFillTint="33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shd w:val="clear" w:color="auto" w:fill="FBE4D5" w:themeFill="accent2" w:themeFillTint="33"/>
          </w:tcPr>
          <w:p w:rsidR="00010BA2" w:rsidRPr="00C64DA1" w:rsidRDefault="00617737" w:rsidP="006177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Map-based visualization of grid service topology, stress; Energy heat-maps; Plots of demand forecasts vs. capacity, what-if analysis;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information display; Apps with push notification of alerts</w:t>
            </w:r>
          </w:p>
        </w:tc>
      </w:tr>
      <w:tr w:rsidR="00010BA2" w:rsidRPr="00C77AEF" w:rsidTr="00160192">
        <w:trPr>
          <w:trHeight w:val="267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BE4D5" w:themeFill="accent2" w:themeFillTint="33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(syntax)</w:t>
            </w:r>
          </w:p>
        </w:tc>
        <w:tc>
          <w:tcPr>
            <w:tcW w:w="5376" w:type="dxa"/>
            <w:shd w:val="clear" w:color="auto" w:fill="FBE4D5" w:themeFill="accent2" w:themeFillTint="33"/>
          </w:tcPr>
          <w:p w:rsidR="00010BA2" w:rsidRPr="00C64DA1" w:rsidRDefault="00E1003D" w:rsidP="00AC6E5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Gaps in smart meters and weather data; </w:t>
            </w:r>
            <w:r w:rsidR="00217E19">
              <w:rPr>
                <w:rFonts w:ascii="Arial" w:hAnsi="Arial" w:cs="Arial"/>
                <w:sz w:val="20"/>
                <w:szCs w:val="20"/>
              </w:rPr>
              <w:t xml:space="preserve">Quality </w:t>
            </w:r>
            <w:r w:rsidR="00AC6E5B">
              <w:rPr>
                <w:rFonts w:ascii="Arial" w:hAnsi="Arial" w:cs="Arial"/>
                <w:sz w:val="20"/>
                <w:szCs w:val="20"/>
              </w:rPr>
              <w:t>issues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7E19">
              <w:rPr>
                <w:rFonts w:ascii="Arial" w:hAnsi="Arial" w:cs="Arial"/>
                <w:sz w:val="20"/>
                <w:szCs w:val="20"/>
              </w:rPr>
              <w:t xml:space="preserve">sensor data; Rigorous checks done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“billing quality” meter data; </w:t>
            </w:r>
          </w:p>
        </w:tc>
      </w:tr>
      <w:tr w:rsidR="00010BA2" w:rsidRPr="00C77AEF" w:rsidTr="00160192">
        <w:trPr>
          <w:trHeight w:val="267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BE4D5" w:themeFill="accent2" w:themeFillTint="33"/>
          </w:tcPr>
          <w:p w:rsidR="00010BA2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shd w:val="clear" w:color="auto" w:fill="FBE4D5" w:themeFill="accent2" w:themeFillTint="33"/>
          </w:tcPr>
          <w:p w:rsidR="00010BA2" w:rsidRPr="00C64DA1" w:rsidRDefault="00B830E2" w:rsidP="00B830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Timeseries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04339C">
              <w:rPr>
                <w:rFonts w:ascii="Arial" w:hAnsi="Arial" w:cs="Arial"/>
                <w:sz w:val="20"/>
                <w:szCs w:val="20"/>
              </w:rPr>
              <w:t xml:space="preserve">CSV, </w:t>
            </w:r>
            <w:r w:rsidR="00773720">
              <w:rPr>
                <w:rFonts w:ascii="Arial" w:hAnsi="Arial" w:cs="Arial"/>
                <w:sz w:val="20"/>
                <w:szCs w:val="20"/>
              </w:rPr>
              <w:t>SQL tuples</w:t>
            </w:r>
            <w:r>
              <w:rPr>
                <w:rFonts w:ascii="Arial" w:hAnsi="Arial" w:cs="Arial"/>
                <w:sz w:val="20"/>
                <w:szCs w:val="20"/>
              </w:rPr>
              <w:t>), Static information (</w:t>
            </w:r>
            <w:r>
              <w:rPr>
                <w:rFonts w:ascii="Arial" w:hAnsi="Arial" w:cs="Arial"/>
                <w:sz w:val="20"/>
                <w:szCs w:val="20"/>
              </w:rPr>
              <w:t xml:space="preserve">RDF, </w:t>
            </w:r>
            <w:r>
              <w:rPr>
                <w:rFonts w:ascii="Arial" w:hAnsi="Arial" w:cs="Arial"/>
                <w:sz w:val="20"/>
                <w:szCs w:val="20"/>
              </w:rPr>
              <w:t>XML), topology (shape files)</w:t>
            </w:r>
          </w:p>
        </w:tc>
      </w:tr>
      <w:tr w:rsidR="00010BA2" w:rsidRPr="00C77AEF" w:rsidTr="00160192">
        <w:trPr>
          <w:trHeight w:val="267"/>
        </w:trPr>
        <w:tc>
          <w:tcPr>
            <w:tcW w:w="1717" w:type="dxa"/>
            <w:vMerge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BE4D5" w:themeFill="accent2" w:themeFillTint="33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shd w:val="clear" w:color="auto" w:fill="FBE4D5" w:themeFill="accent2" w:themeFillTint="33"/>
          </w:tcPr>
          <w:p w:rsidR="00010BA2" w:rsidRPr="00C64DA1" w:rsidRDefault="00B830E2" w:rsidP="00B830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Forecasting models, machine learning models, time series analysis, clustering, motif detection, </w:t>
            </w:r>
            <w:r w:rsidR="00FD4580">
              <w:rPr>
                <w:rFonts w:ascii="Arial" w:hAnsi="Arial" w:cs="Arial"/>
                <w:sz w:val="20"/>
                <w:szCs w:val="20"/>
              </w:rPr>
              <w:t xml:space="preserve">complex event processing, </w:t>
            </w:r>
            <w:r>
              <w:rPr>
                <w:rFonts w:ascii="Arial" w:hAnsi="Arial" w:cs="Arial"/>
                <w:sz w:val="20"/>
                <w:szCs w:val="20"/>
              </w:rPr>
              <w:t xml:space="preserve">visual network </w:t>
            </w:r>
            <w:r>
              <w:rPr>
                <w:rFonts w:ascii="Arial" w:hAnsi="Arial" w:cs="Arial"/>
                <w:sz w:val="20"/>
                <w:szCs w:val="20"/>
              </w:rPr>
              <w:t xml:space="preserve">analysis, </w:t>
            </w:r>
          </w:p>
        </w:tc>
      </w:tr>
      <w:tr w:rsidR="00010BA2" w:rsidRPr="00C77AEF" w:rsidTr="00160192">
        <w:trPr>
          <w:trHeight w:val="593"/>
        </w:trPr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</w:tcPr>
          <w:p w:rsidR="00010BA2" w:rsidRDefault="00FD4580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Scalable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analytics over large data streams</w:t>
            </w:r>
          </w:p>
          <w:p w:rsidR="00FD4580" w:rsidRDefault="00822384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Low-latency </w:t>
            </w:r>
            <w:r w:rsidR="00FD4580">
              <w:rPr>
                <w:rFonts w:ascii="Arial" w:hAnsi="Arial" w:cs="Arial"/>
                <w:sz w:val="20"/>
                <w:szCs w:val="20"/>
              </w:rPr>
              <w:t>analytics for operational needs</w:t>
            </w:r>
            <w:r w:rsidR="002F77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D4580" w:rsidRDefault="00FD4580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Federated analytics at utility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microgrid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levels</w:t>
            </w:r>
          </w:p>
          <w:p w:rsidR="00822384" w:rsidRDefault="00822384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Robust time series analytics over millions of customer consumption data</w:t>
            </w:r>
          </w:p>
          <w:p w:rsidR="00822384" w:rsidRPr="00C77AEF" w:rsidRDefault="00822384" w:rsidP="008223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behavior modeling, targeted curtailment requests</w:t>
            </w:r>
          </w:p>
        </w:tc>
      </w:tr>
      <w:tr w:rsidR="00010BA2" w:rsidRPr="00C77AEF" w:rsidTr="00160192"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7198" w:type="dxa"/>
            <w:gridSpan w:val="2"/>
          </w:tcPr>
          <w:p w:rsidR="00010BA2" w:rsidRPr="00C77AEF" w:rsidRDefault="002C0548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Apps for engaging with customers: Data collection from customers/premises for behavior modeling, feature extraction; Notification of curtailment requests by utility/building managers; Suggestions on energy efficiency; Geo-localized display of energy footprint.</w:t>
            </w:r>
          </w:p>
          <w:p w:rsidR="00010BA2" w:rsidRPr="00C77AEF" w:rsidRDefault="00010BA2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0BA2" w:rsidRPr="00C77AEF" w:rsidTr="00160192"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</w:tcPr>
          <w:p w:rsidR="00010BA2" w:rsidRPr="00C77AEF" w:rsidRDefault="0042752F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Personally identifiable customer data requires careful handling. Customer energy usage data can reveal behavior patterns.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Anonymization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information. Data aggregation to avoid customer identification. Data sharing restrictions by federal and state energy regulators.</w:t>
            </w:r>
            <w:r w:rsidR="003C5811">
              <w:rPr>
                <w:rFonts w:ascii="Arial" w:hAnsi="Arial" w:cs="Arial"/>
                <w:sz w:val="20"/>
                <w:szCs w:val="20"/>
              </w:rPr>
              <w:t xml:space="preserve"> Surveys by behavioral scientists may have IRB restrictions.</w:t>
            </w:r>
          </w:p>
        </w:tc>
      </w:tr>
      <w:tr w:rsidR="00010BA2" w:rsidRPr="00C77AEF" w:rsidTr="00160192"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7198" w:type="dxa"/>
            <w:gridSpan w:val="2"/>
          </w:tcPr>
          <w:p w:rsidR="00010BA2" w:rsidRPr="00C77AEF" w:rsidRDefault="00142B02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data-driven analytics for cyber physical systems</w:t>
            </w:r>
          </w:p>
          <w:p w:rsidR="00010BA2" w:rsidRPr="00C77AEF" w:rsidRDefault="00010BA2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10BA2" w:rsidRPr="00C77AEF" w:rsidRDefault="00010BA2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0BA2" w:rsidRPr="00C77AEF" w:rsidTr="00160192">
        <w:tc>
          <w:tcPr>
            <w:tcW w:w="2378" w:type="dxa"/>
            <w:gridSpan w:val="2"/>
          </w:tcPr>
          <w:p w:rsidR="00010BA2" w:rsidRPr="00C77AEF" w:rsidRDefault="00010BA2" w:rsidP="001601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198" w:type="dxa"/>
            <w:gridSpan w:val="2"/>
          </w:tcPr>
          <w:p w:rsidR="005C3D23" w:rsidRDefault="00FC1F4E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4" w:history="1">
              <w:r w:rsidRPr="009475C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http://smartgrid.usc.edu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10BA2" w:rsidRDefault="005C3D23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9475C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http://ganges.usc.edu/wiki/Smart_Grid</w:t>
              </w:r>
            </w:hyperlink>
          </w:p>
          <w:p w:rsidR="005C3D23" w:rsidRDefault="005C3D23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9475C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https://www.ladwp.com/ladwp/faces/ladwp/aboutus/a-power/a-p-smartgridla</w:t>
              </w:r>
            </w:hyperlink>
          </w:p>
          <w:p w:rsidR="00010BA2" w:rsidRPr="00C77AEF" w:rsidRDefault="00FC1F4E" w:rsidP="001601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9475C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http://ieeexplore.ieee.org/xpl/articleDetails.jsp?arnumber=6475927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10BA2" w:rsidRPr="00C77AEF" w:rsidTr="00160192">
        <w:tc>
          <w:tcPr>
            <w:tcW w:w="9576" w:type="dxa"/>
            <w:gridSpan w:val="4"/>
          </w:tcPr>
          <w:p w:rsidR="00010BA2" w:rsidRPr="00C77AEF" w:rsidRDefault="00010BA2" w:rsidP="0016019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010BA2" w:rsidRDefault="00010BA2" w:rsidP="00010B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A564C" w:rsidRPr="00645284" w:rsidRDefault="00010BA2" w:rsidP="00645284">
      <w:pPr>
        <w:pStyle w:val="NoSpacing"/>
        <w:rPr>
          <w:b/>
          <w:sz w:val="24"/>
          <w:szCs w:val="32"/>
        </w:rPr>
      </w:pPr>
      <w:r w:rsidRPr="00F86589">
        <w:rPr>
          <w:rFonts w:eastAsia="Times New Roman"/>
          <w:b/>
        </w:rPr>
        <w:t>Note: No proprietary or confidential information should be included</w:t>
      </w:r>
      <w:r w:rsidRPr="00352EB2">
        <w:rPr>
          <w:b/>
          <w:sz w:val="24"/>
          <w:szCs w:val="32"/>
        </w:rPr>
        <w:t xml:space="preserve"> </w:t>
      </w:r>
    </w:p>
    <w:sectPr w:rsidR="00EA564C" w:rsidRPr="0064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A2"/>
    <w:rsid w:val="00010BA2"/>
    <w:rsid w:val="0004339C"/>
    <w:rsid w:val="00142B02"/>
    <w:rsid w:val="0018515D"/>
    <w:rsid w:val="00216D50"/>
    <w:rsid w:val="00217E19"/>
    <w:rsid w:val="00251B4C"/>
    <w:rsid w:val="0028477B"/>
    <w:rsid w:val="002C0548"/>
    <w:rsid w:val="002F77BD"/>
    <w:rsid w:val="00301BA8"/>
    <w:rsid w:val="003276B6"/>
    <w:rsid w:val="003C5811"/>
    <w:rsid w:val="00423F83"/>
    <w:rsid w:val="0042752F"/>
    <w:rsid w:val="004672D1"/>
    <w:rsid w:val="005031B3"/>
    <w:rsid w:val="00522984"/>
    <w:rsid w:val="005901CB"/>
    <w:rsid w:val="005927C7"/>
    <w:rsid w:val="005B0FCF"/>
    <w:rsid w:val="005C3D23"/>
    <w:rsid w:val="00617737"/>
    <w:rsid w:val="00645284"/>
    <w:rsid w:val="00684A04"/>
    <w:rsid w:val="00773720"/>
    <w:rsid w:val="00822384"/>
    <w:rsid w:val="008535BD"/>
    <w:rsid w:val="0087280E"/>
    <w:rsid w:val="00957230"/>
    <w:rsid w:val="00A13337"/>
    <w:rsid w:val="00A41449"/>
    <w:rsid w:val="00AA4CFD"/>
    <w:rsid w:val="00AB2951"/>
    <w:rsid w:val="00AC6E5B"/>
    <w:rsid w:val="00B1513B"/>
    <w:rsid w:val="00B80DE4"/>
    <w:rsid w:val="00B830E2"/>
    <w:rsid w:val="00B905FF"/>
    <w:rsid w:val="00CE381C"/>
    <w:rsid w:val="00E1003D"/>
    <w:rsid w:val="00EA564C"/>
    <w:rsid w:val="00F1727E"/>
    <w:rsid w:val="00F61A0A"/>
    <w:rsid w:val="00FC1F4E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22250-5B1F-4826-A8FA-1CE31EAC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A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0BA2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010BA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0BA2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10BA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eeexplore.ieee.org/xpl/articleDetails.jsp?arnumber=64759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dwp.com/ladwp/faces/ladwp/aboutus/a-power/a-p-smartgridla" TargetMode="External"/><Relationship Id="rId5" Type="http://schemas.openxmlformats.org/officeDocument/2006/relationships/hyperlink" Target="http://ganges.usc.edu/wiki/Smart_Grid" TargetMode="External"/><Relationship Id="rId4" Type="http://schemas.openxmlformats.org/officeDocument/2006/relationships/hyperlink" Target="http://smartgrid.usc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Simmhan</dc:creator>
  <cp:keywords/>
  <dc:description/>
  <cp:lastModifiedBy>Yogesh Simmhan</cp:lastModifiedBy>
  <cp:revision>41</cp:revision>
  <dcterms:created xsi:type="dcterms:W3CDTF">2013-09-07T12:49:00Z</dcterms:created>
  <dcterms:modified xsi:type="dcterms:W3CDTF">2013-09-07T14:48:00Z</dcterms:modified>
</cp:coreProperties>
</file>