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  <w:bookmarkStart w:id="0" w:name="_GoBack"/>
      <w:bookmarkEnd w:id="0"/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E3127C">
        <w:rPr>
          <w:b/>
          <w:color w:val="FF0000"/>
          <w:sz w:val="44"/>
          <w:szCs w:val="44"/>
        </w:rPr>
        <w:t>M0240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&lt;</w:t>
      </w:r>
      <w:r w:rsidR="003D5D8B">
        <w:rPr>
          <w:b/>
        </w:rPr>
        <w:t xml:space="preserve">NBD-WG | </w:t>
      </w:r>
      <w:r w:rsidR="00E258CA">
        <w:rPr>
          <w:b/>
        </w:rPr>
        <w:t>Security and Privacy</w:t>
      </w:r>
      <w:r>
        <w:rPr>
          <w:b/>
        </w:rPr>
        <w:t>&gt;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>
        <w:rPr>
          <w:b/>
        </w:rPr>
        <w:tab/>
        <w:t>&lt;Proposal&gt;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E258CA">
        <w:rPr>
          <w:b/>
        </w:rPr>
        <w:t>[New Section] Roles and Methods for BG Security Assurance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</w:rPr>
      </w:pPr>
      <w:r>
        <w:rPr>
          <w:b/>
        </w:rPr>
        <w:t>Author:</w:t>
      </w:r>
      <w:r>
        <w:rPr>
          <w:b/>
        </w:rPr>
        <w:tab/>
      </w:r>
      <w:r w:rsidR="00E258CA">
        <w:rPr>
          <w:b/>
        </w:rPr>
        <w:t>Mark Underwood, Krypton Brothers LLC</w:t>
      </w:r>
    </w:p>
    <w:p w:rsidR="00E258CA" w:rsidRPr="00AC36F3" w:rsidRDefault="00E258CA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</w:p>
    <w:p w:rsidR="00C858F8" w:rsidRPr="00C82EF3" w:rsidRDefault="00C82EF3" w:rsidP="00C858F8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  <w:r w:rsidRPr="00C82EF3">
        <w:rPr>
          <w:rFonts w:ascii="Times New Roman" w:hAnsi="Times New Roman" w:cs="Times New Roman"/>
          <w:b/>
          <w:i/>
          <w:sz w:val="28"/>
          <w:szCs w:val="28"/>
        </w:rPr>
        <w:t>Abstract</w:t>
      </w:r>
    </w:p>
    <w:p w:rsidR="00E258CA" w:rsidRDefault="00E258CA" w:rsidP="00E258CA">
      <w:pPr>
        <w:jc w:val="both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I suggested after applying the template to our use cases that perhaps we had not provided adequately for specific types of metadata that are particular to </w:t>
      </w:r>
      <w:proofErr w:type="spellStart"/>
      <w:r w:rsidRPr="00B65172">
        <w:rPr>
          <w:rFonts w:ascii="Georgia" w:hAnsi="Georgia"/>
          <w:color w:val="000000"/>
        </w:rPr>
        <w:t>bigdata</w:t>
      </w:r>
      <w:proofErr w:type="spellEnd"/>
      <w:r w:rsidRPr="00B65172">
        <w:rPr>
          <w:rFonts w:ascii="Georgia" w:hAnsi="Georgia"/>
          <w:color w:val="000000"/>
        </w:rPr>
        <w:t xml:space="preserve">: (1) temporal (point in time); (2) transformational ("fusion" in </w:t>
      </w:r>
      <w:proofErr w:type="spellStart"/>
      <w:r w:rsidRPr="00B65172">
        <w:rPr>
          <w:rFonts w:ascii="Georgia" w:hAnsi="Georgia"/>
          <w:color w:val="000000"/>
        </w:rPr>
        <w:t>DoD</w:t>
      </w:r>
      <w:proofErr w:type="spellEnd"/>
      <w:r w:rsidRPr="00B65172">
        <w:rPr>
          <w:rFonts w:ascii="Georgia" w:hAnsi="Georgia"/>
          <w:color w:val="000000"/>
        </w:rPr>
        <w:t xml:space="preserve"> parlance). Anything suggested that would add to the existing diagrams (except the first one) would add complexity, and </w:t>
      </w:r>
      <w:proofErr w:type="gramStart"/>
      <w:r w:rsidRPr="00B65172">
        <w:rPr>
          <w:rFonts w:ascii="Georgia" w:hAnsi="Georgia"/>
          <w:color w:val="000000"/>
        </w:rPr>
        <w:t>there's</w:t>
      </w:r>
      <w:proofErr w:type="gramEnd"/>
      <w:r w:rsidRPr="00B65172">
        <w:rPr>
          <w:rFonts w:ascii="Georgia" w:hAnsi="Georgia"/>
          <w:color w:val="000000"/>
        </w:rPr>
        <w:t xml:space="preserve"> plenty of that in merging the ideas across the subgroups. Perhaps we could add a separate slide and label it "S&amp;P Assurance Best Practices", and include a list of recommended practices that apply to big data -- rather than trying to work it into the existing diagram. E.g., maybe </w:t>
      </w:r>
      <w:proofErr w:type="gramStart"/>
      <w:r w:rsidRPr="00B65172">
        <w:rPr>
          <w:rFonts w:ascii="Georgia" w:hAnsi="Georgia"/>
          <w:color w:val="000000"/>
        </w:rPr>
        <w:t>a checklist like</w:t>
      </w:r>
      <w:proofErr w:type="gramEnd"/>
      <w:r w:rsidRPr="00B65172">
        <w:rPr>
          <w:rFonts w:ascii="Georgia" w:hAnsi="Georgia"/>
          <w:color w:val="000000"/>
        </w:rPr>
        <w:t xml:space="preserve"> this:</w:t>
      </w:r>
    </w:p>
    <w:p w:rsidR="00C858F8" w:rsidRPr="00C82EF3" w:rsidRDefault="00C858F8" w:rsidP="00C858F8">
      <w:pPr>
        <w:pStyle w:val="Default"/>
        <w:rPr>
          <w:rFonts w:ascii="Times New Roman" w:hAnsi="Times New Roman" w:cs="Times New Roman"/>
        </w:rPr>
      </w:pP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>Provide system auditors with forward and backward provenance traceability from Data Provider to Data Consumer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>For each Transformation Provider, identify lost provenance or degraded privacy. Further, build verifiability for provenance and privacy transformations with elective audit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Data Providers should provide configuration metadata &amp; temporal markings so that long timeframe analytics across devices and platforms </w:t>
      </w:r>
      <w:proofErr w:type="gramStart"/>
      <w:r w:rsidRPr="00B65172">
        <w:rPr>
          <w:rFonts w:ascii="Georgia" w:hAnsi="Georgia"/>
          <w:color w:val="000000"/>
        </w:rPr>
        <w:t>can be supported</w:t>
      </w:r>
      <w:proofErr w:type="gramEnd"/>
      <w:r w:rsidRPr="00B65172">
        <w:rPr>
          <w:rFonts w:ascii="Georgia" w:hAnsi="Georgia"/>
          <w:color w:val="000000"/>
        </w:rPr>
        <w:t>. Metadata is also needed for Transformation Providers, since they must also be identified by configuration at the time of transformation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Transformation Provider metadata should include point in time dimension constraints, such as sampling rate, aggregation algorithm, </w:t>
      </w:r>
      <w:proofErr w:type="spellStart"/>
      <w:r w:rsidRPr="00B65172">
        <w:rPr>
          <w:rFonts w:ascii="Georgia" w:hAnsi="Georgia"/>
          <w:color w:val="000000"/>
        </w:rPr>
        <w:t>anonymization</w:t>
      </w:r>
      <w:proofErr w:type="spellEnd"/>
      <w:r w:rsidRPr="00B65172">
        <w:rPr>
          <w:rFonts w:ascii="Georgia" w:hAnsi="Georgia"/>
          <w:color w:val="000000"/>
        </w:rPr>
        <w:t>, and throttling (or, e.g., compression) required to accommodate velocity, volume or other dimension-specific measurements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Provider configuration metadata identifies constraints associated with velocity, volume and other instrumentation-specific dimensions. </w:t>
      </w:r>
      <w:proofErr w:type="gramStart"/>
      <w:r w:rsidRPr="00B65172">
        <w:rPr>
          <w:rFonts w:ascii="Georgia" w:hAnsi="Georgia"/>
          <w:color w:val="000000"/>
        </w:rPr>
        <w:t>E.g., sampling frequency for audio, image resolution, camera type, FFT, etc.</w:t>
      </w:r>
      <w:proofErr w:type="gramEnd"/>
      <w:r>
        <w:rPr>
          <w:rFonts w:ascii="Georgia" w:hAnsi="Georgia"/>
          <w:color w:val="000000"/>
        </w:rPr>
        <w:t xml:space="preserve"> Out-of-bounds values and other error mitigation algorithms </w:t>
      </w:r>
      <w:proofErr w:type="gramStart"/>
      <w:r>
        <w:rPr>
          <w:rFonts w:ascii="Georgia" w:hAnsi="Georgia"/>
          <w:color w:val="000000"/>
        </w:rPr>
        <w:t>could be provided</w:t>
      </w:r>
      <w:proofErr w:type="gramEnd"/>
      <w:r>
        <w:rPr>
          <w:rFonts w:ascii="Georgia" w:hAnsi="Georgia"/>
          <w:color w:val="000000"/>
        </w:rPr>
        <w:t xml:space="preserve"> as metadata rather than remediation.</w:t>
      </w:r>
      <w:r w:rsidRPr="00B65172">
        <w:rPr>
          <w:rFonts w:ascii="Georgia" w:hAnsi="Georgia"/>
          <w:color w:val="000000"/>
        </w:rPr>
        <w:t xml:space="preserve"> 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A Big Data system designed to include a temporal dimension along with configuration metadata will support more uses over a longer </w:t>
      </w:r>
      <w:proofErr w:type="gramStart"/>
      <w:r w:rsidRPr="00B65172">
        <w:rPr>
          <w:rFonts w:ascii="Georgia" w:hAnsi="Georgia"/>
          <w:color w:val="000000"/>
        </w:rPr>
        <w:t>period of time</w:t>
      </w:r>
      <w:proofErr w:type="gramEnd"/>
      <w:r w:rsidRPr="00B65172">
        <w:rPr>
          <w:rFonts w:ascii="Georgia" w:hAnsi="Georgia"/>
          <w:color w:val="000000"/>
        </w:rPr>
        <w:t>.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Transformation Provider metadata discloses </w:t>
      </w:r>
      <w:proofErr w:type="gramStart"/>
      <w:r w:rsidRPr="00B65172">
        <w:rPr>
          <w:rFonts w:ascii="Georgia" w:hAnsi="Georgia"/>
          <w:color w:val="000000"/>
        </w:rPr>
        <w:t>its</w:t>
      </w:r>
      <w:proofErr w:type="gramEnd"/>
      <w:r w:rsidRPr="00B65172">
        <w:rPr>
          <w:rFonts w:ascii="Georgia" w:hAnsi="Georgia"/>
          <w:color w:val="000000"/>
        </w:rPr>
        <w:t xml:space="preserve"> pre- and post-effect on privacy and provenance.</w:t>
      </w:r>
    </w:p>
    <w:p w:rsidR="00E258CA" w:rsidRPr="00B65172" w:rsidRDefault="00E258CA" w:rsidP="00E258CA">
      <w:pPr>
        <w:numPr>
          <w:ilvl w:val="0"/>
          <w:numId w:val="5"/>
        </w:numPr>
        <w:textAlignment w:val="baseline"/>
        <w:rPr>
          <w:rFonts w:ascii="Georgia" w:hAnsi="Georgia"/>
          <w:color w:val="000000"/>
        </w:rPr>
      </w:pPr>
      <w:r w:rsidRPr="00B65172">
        <w:rPr>
          <w:rFonts w:ascii="Georgia" w:hAnsi="Georgia"/>
          <w:color w:val="000000"/>
        </w:rPr>
        <w:t xml:space="preserve">Transformation Providers that perform fusion across multiple Data Providers, such as for enhanced situation awareness or complex event processing should </w:t>
      </w:r>
      <w:r w:rsidRPr="00B65172">
        <w:rPr>
          <w:rFonts w:ascii="Georgia" w:hAnsi="Georgia"/>
          <w:color w:val="000000"/>
        </w:rPr>
        <w:lastRenderedPageBreak/>
        <w:t>provide adequate metadata for Data Consumers to query reliability and verifiability, as well as to reproduce TP behavior in standalone test environments.</w:t>
      </w:r>
    </w:p>
    <w:p w:rsidR="00E258CA" w:rsidRDefault="00E258CA" w:rsidP="00E258CA">
      <w:pPr>
        <w:rPr>
          <w:rFonts w:ascii="Georgia" w:hAnsi="Georgia"/>
          <w:color w:val="000000"/>
        </w:rPr>
      </w:pPr>
    </w:p>
    <w:p w:rsidR="00E258CA" w:rsidRPr="00B65172" w:rsidRDefault="00E258CA" w:rsidP="00E258CA">
      <w:r w:rsidRPr="00B65172">
        <w:rPr>
          <w:rFonts w:ascii="Georgia" w:hAnsi="Georgia"/>
          <w:color w:val="000000"/>
        </w:rPr>
        <w:t>Re the provenance issue, we are approach-neutral of course, but I found this discussion of</w:t>
      </w:r>
      <w:hyperlink r:id="rId6" w:history="1">
        <w:r w:rsidRPr="00B65172">
          <w:rPr>
            <w:rFonts w:ascii="Georgia" w:hAnsi="Georgia"/>
            <w:color w:val="000000"/>
          </w:rPr>
          <w:t xml:space="preserve"> </w:t>
        </w:r>
        <w:r w:rsidRPr="00B65172">
          <w:rPr>
            <w:rFonts w:ascii="Georgia" w:hAnsi="Georgia"/>
            <w:color w:val="0000FF"/>
            <w:u w:val="single"/>
          </w:rPr>
          <w:t>Spade</w:t>
        </w:r>
      </w:hyperlink>
      <w:r w:rsidRPr="00B65172">
        <w:rPr>
          <w:rFonts w:ascii="Georgia" w:hAnsi="Georgia"/>
          <w:color w:val="000000"/>
        </w:rPr>
        <w:t xml:space="preserve"> at SRI useful. I attached one of their notional diagrams</w:t>
      </w:r>
      <w:r>
        <w:rPr>
          <w:rFonts w:ascii="Georgia" w:hAnsi="Georgia"/>
          <w:color w:val="000000"/>
        </w:rPr>
        <w:t xml:space="preserve"> below</w:t>
      </w:r>
      <w:r w:rsidRPr="00B65172">
        <w:rPr>
          <w:rFonts w:ascii="Georgia" w:hAnsi="Georgia"/>
          <w:color w:val="000000"/>
        </w:rPr>
        <w:t>.</w:t>
      </w:r>
    </w:p>
    <w:p w:rsidR="00E258CA" w:rsidRDefault="00E258CA" w:rsidP="00E258CA">
      <w:pPr>
        <w:rPr>
          <w:rFonts w:ascii="Georgia" w:hAnsi="Georgia"/>
          <w:color w:val="000000"/>
        </w:rPr>
      </w:pPr>
    </w:p>
    <w:p w:rsidR="00E258CA" w:rsidRPr="00B65172" w:rsidRDefault="00E258CA" w:rsidP="00E258CA">
      <w:proofErr w:type="spellStart"/>
      <w:r w:rsidRPr="00B65172">
        <w:rPr>
          <w:rFonts w:ascii="Georgia" w:hAnsi="Georgia"/>
          <w:color w:val="000000"/>
        </w:rPr>
        <w:t>Ashish</w:t>
      </w:r>
      <w:proofErr w:type="spellEnd"/>
      <w:r w:rsidRPr="00B65172">
        <w:rPr>
          <w:rFonts w:ascii="Georgia" w:hAnsi="Georgia"/>
          <w:color w:val="000000"/>
        </w:rPr>
        <w:t xml:space="preserve"> </w:t>
      </w:r>
      <w:proofErr w:type="spellStart"/>
      <w:r w:rsidRPr="00B65172">
        <w:rPr>
          <w:rFonts w:ascii="Georgia" w:hAnsi="Georgia"/>
          <w:color w:val="000000"/>
        </w:rPr>
        <w:t>Gehani</w:t>
      </w:r>
      <w:proofErr w:type="spellEnd"/>
      <w:r w:rsidRPr="00B65172">
        <w:rPr>
          <w:rFonts w:ascii="Georgia" w:hAnsi="Georgia"/>
          <w:color w:val="000000"/>
        </w:rPr>
        <w:t xml:space="preserve"> and </w:t>
      </w:r>
      <w:proofErr w:type="spellStart"/>
      <w:r w:rsidRPr="00B65172">
        <w:rPr>
          <w:rFonts w:ascii="Georgia" w:hAnsi="Georgia"/>
          <w:color w:val="000000"/>
        </w:rPr>
        <w:t>Dawood</w:t>
      </w:r>
      <w:proofErr w:type="spellEnd"/>
      <w:r w:rsidRPr="00B65172">
        <w:rPr>
          <w:rFonts w:ascii="Georgia" w:hAnsi="Georgia"/>
          <w:color w:val="000000"/>
        </w:rPr>
        <w:t xml:space="preserve"> Tariq, SPADE: Support for Provenance Auditing in Distributed Environments, 13th</w:t>
      </w:r>
    </w:p>
    <w:p w:rsidR="00E258CA" w:rsidRPr="00B65172" w:rsidRDefault="00E258CA" w:rsidP="00E258CA">
      <w:r w:rsidRPr="00B65172">
        <w:rPr>
          <w:rFonts w:ascii="Georgia" w:hAnsi="Georgia"/>
          <w:color w:val="000000"/>
        </w:rPr>
        <w:t>ACM/IFIP/USENIX International Conference on Middleware, 2012</w:t>
      </w:r>
    </w:p>
    <w:p w:rsidR="00E258CA" w:rsidRDefault="00E258CA" w:rsidP="00E258CA"/>
    <w:p w:rsidR="00E258CA" w:rsidRDefault="00E258CA" w:rsidP="00E258CA">
      <w:r>
        <w:rPr>
          <w:noProof/>
        </w:rPr>
        <w:drawing>
          <wp:inline distT="0" distB="0" distL="0" distR="0" wp14:anchorId="4F72B8ED" wp14:editId="7F2D4212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DE-provenance-droppedImage-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172">
        <w:br/>
      </w:r>
    </w:p>
    <w:p w:rsidR="00C82EF3" w:rsidRPr="00C82EF3" w:rsidRDefault="00C82EF3" w:rsidP="00E258CA">
      <w:pPr>
        <w:pStyle w:val="Default"/>
        <w:rPr>
          <w:rFonts w:ascii="Times New Roman" w:hAnsi="Times New Roman" w:cs="Times New Roman"/>
        </w:rPr>
      </w:pPr>
    </w:p>
    <w:sectPr w:rsidR="00C82EF3" w:rsidRPr="00C82EF3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D3BA3"/>
    <w:multiLevelType w:val="multilevel"/>
    <w:tmpl w:val="314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1B7AB8"/>
    <w:rsid w:val="002F2660"/>
    <w:rsid w:val="003C4F3D"/>
    <w:rsid w:val="003D5D8B"/>
    <w:rsid w:val="003D6D1A"/>
    <w:rsid w:val="00426CF5"/>
    <w:rsid w:val="00436E37"/>
    <w:rsid w:val="006C15B6"/>
    <w:rsid w:val="007C1582"/>
    <w:rsid w:val="008026A1"/>
    <w:rsid w:val="00842F9A"/>
    <w:rsid w:val="00873A9A"/>
    <w:rsid w:val="008B39D2"/>
    <w:rsid w:val="008D7C89"/>
    <w:rsid w:val="008E7F64"/>
    <w:rsid w:val="008F2C75"/>
    <w:rsid w:val="00950AFA"/>
    <w:rsid w:val="00A42E76"/>
    <w:rsid w:val="00AC062B"/>
    <w:rsid w:val="00C82EF3"/>
    <w:rsid w:val="00C858F8"/>
    <w:rsid w:val="00CE6815"/>
    <w:rsid w:val="00D52F34"/>
    <w:rsid w:val="00D63393"/>
    <w:rsid w:val="00DC06E3"/>
    <w:rsid w:val="00E146D4"/>
    <w:rsid w:val="00E258CA"/>
    <w:rsid w:val="00E26F0D"/>
    <w:rsid w:val="00E3127C"/>
    <w:rsid w:val="00EB7F12"/>
    <w:rsid w:val="00EE7C6D"/>
    <w:rsid w:val="00F16336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de.csl.sri.com/SPADE/Papers/Pap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Mark Underwood</cp:lastModifiedBy>
  <cp:revision>2</cp:revision>
  <dcterms:created xsi:type="dcterms:W3CDTF">2013-09-18T16:22:00Z</dcterms:created>
  <dcterms:modified xsi:type="dcterms:W3CDTF">2013-09-18T16:22:00Z</dcterms:modified>
</cp:coreProperties>
</file>