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286" w:rsidRPr="004F2286" w:rsidRDefault="004F2286" w:rsidP="004F2286">
      <w:pPr>
        <w:pStyle w:val="Heading1"/>
        <w:rPr>
          <w:sz w:val="22"/>
          <w:u w:val="single"/>
        </w:rPr>
      </w:pPr>
      <w:r w:rsidRPr="004F2286">
        <w:rPr>
          <w:sz w:val="22"/>
          <w:u w:val="single"/>
        </w:rPr>
        <w:t>Relation of the Big Data Security Operational Taxonomy to the Reference Architecture</w:t>
      </w:r>
    </w:p>
    <w:p w:rsidR="004F2286" w:rsidRDefault="004F2286"/>
    <w:p w:rsidR="00B7126D" w:rsidRDefault="00006B2E">
      <w:r>
        <w:t>System Orchestrator:</w:t>
      </w:r>
    </w:p>
    <w:tbl>
      <w:tblPr>
        <w:tblW w:w="9390"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00"/>
        <w:gridCol w:w="4590"/>
      </w:tblGrid>
      <w:tr w:rsidR="00834DF7" w:rsidTr="004F2286">
        <w:tblPrEx>
          <w:tblCellMar>
            <w:top w:w="0" w:type="dxa"/>
            <w:bottom w:w="0" w:type="dxa"/>
          </w:tblCellMar>
        </w:tblPrEx>
        <w:trPr>
          <w:trHeight w:val="4256"/>
        </w:trPr>
        <w:tc>
          <w:tcPr>
            <w:tcW w:w="4800" w:type="dxa"/>
          </w:tcPr>
          <w:p w:rsidR="00834DF7" w:rsidRDefault="00834DF7" w:rsidP="00834DF7">
            <w:pPr>
              <w:pStyle w:val="ListParagraph"/>
              <w:numPr>
                <w:ilvl w:val="0"/>
                <w:numId w:val="1"/>
              </w:numPr>
              <w:ind w:left="660"/>
            </w:pPr>
            <w:r>
              <w:t>Policy Enforcement</w:t>
            </w:r>
          </w:p>
          <w:p w:rsidR="00834DF7" w:rsidRDefault="00834DF7" w:rsidP="00834DF7">
            <w:pPr>
              <w:pStyle w:val="ListParagraph"/>
              <w:numPr>
                <w:ilvl w:val="0"/>
                <w:numId w:val="1"/>
              </w:numPr>
              <w:ind w:left="660"/>
            </w:pPr>
            <w:r>
              <w:t>Security Metadata Model</w:t>
            </w:r>
          </w:p>
          <w:p w:rsidR="00834DF7" w:rsidRDefault="00834DF7" w:rsidP="00834DF7">
            <w:pPr>
              <w:pStyle w:val="ListParagraph"/>
              <w:numPr>
                <w:ilvl w:val="0"/>
                <w:numId w:val="1"/>
              </w:numPr>
              <w:ind w:left="660"/>
            </w:pPr>
            <w:r>
              <w:t>Data Loss Prevention, Detection</w:t>
            </w:r>
          </w:p>
          <w:p w:rsidR="00834DF7" w:rsidRDefault="00834DF7" w:rsidP="00834DF7">
            <w:pPr>
              <w:pStyle w:val="ListParagraph"/>
              <w:numPr>
                <w:ilvl w:val="0"/>
                <w:numId w:val="1"/>
              </w:numPr>
              <w:ind w:left="660"/>
            </w:pPr>
            <w:r>
              <w:t>Data Lifecycle Management</w:t>
            </w:r>
          </w:p>
          <w:p w:rsidR="00834DF7" w:rsidRDefault="00834DF7" w:rsidP="00834DF7">
            <w:pPr>
              <w:pStyle w:val="ListParagraph"/>
              <w:numPr>
                <w:ilvl w:val="0"/>
                <w:numId w:val="1"/>
              </w:numPr>
              <w:ind w:left="660"/>
            </w:pPr>
            <w:r>
              <w:t>Threat and Vulnerability Management</w:t>
            </w:r>
          </w:p>
          <w:p w:rsidR="00834DF7" w:rsidRDefault="00834DF7" w:rsidP="00834DF7">
            <w:pPr>
              <w:pStyle w:val="ListParagraph"/>
              <w:numPr>
                <w:ilvl w:val="0"/>
                <w:numId w:val="1"/>
              </w:numPr>
              <w:ind w:left="660"/>
            </w:pPr>
            <w:r>
              <w:t>Mitigation</w:t>
            </w:r>
          </w:p>
          <w:p w:rsidR="00834DF7" w:rsidRDefault="00834DF7" w:rsidP="00834DF7">
            <w:pPr>
              <w:pStyle w:val="ListParagraph"/>
              <w:numPr>
                <w:ilvl w:val="0"/>
                <w:numId w:val="1"/>
              </w:numPr>
              <w:ind w:left="660"/>
            </w:pPr>
            <w:r>
              <w:t>Configuration Management</w:t>
            </w:r>
          </w:p>
          <w:p w:rsidR="00834DF7" w:rsidRDefault="00834DF7" w:rsidP="00834DF7">
            <w:pPr>
              <w:pStyle w:val="ListParagraph"/>
              <w:numPr>
                <w:ilvl w:val="0"/>
                <w:numId w:val="1"/>
              </w:numPr>
              <w:ind w:left="660"/>
            </w:pPr>
            <w:r>
              <w:t>Logging</w:t>
            </w:r>
          </w:p>
          <w:p w:rsidR="00834DF7" w:rsidRDefault="00834DF7" w:rsidP="00834DF7">
            <w:pPr>
              <w:pStyle w:val="ListParagraph"/>
              <w:numPr>
                <w:ilvl w:val="0"/>
                <w:numId w:val="1"/>
              </w:numPr>
              <w:ind w:left="660"/>
            </w:pPr>
            <w:r>
              <w:t>Malware Surveillance and Remediation</w:t>
            </w:r>
          </w:p>
          <w:p w:rsidR="00834DF7" w:rsidRDefault="00834DF7" w:rsidP="00834DF7">
            <w:pPr>
              <w:pStyle w:val="ListParagraph"/>
              <w:numPr>
                <w:ilvl w:val="0"/>
                <w:numId w:val="1"/>
              </w:numPr>
              <w:ind w:left="660"/>
            </w:pPr>
            <w:r>
              <w:t>Resiliency, Redundancy and Recovery</w:t>
            </w:r>
          </w:p>
          <w:p w:rsidR="00834DF7" w:rsidRDefault="00834DF7" w:rsidP="00834DF7">
            <w:pPr>
              <w:pStyle w:val="ListParagraph"/>
              <w:numPr>
                <w:ilvl w:val="0"/>
                <w:numId w:val="1"/>
              </w:numPr>
              <w:ind w:left="660"/>
            </w:pPr>
            <w:r>
              <w:t>Accountability</w:t>
            </w:r>
          </w:p>
          <w:p w:rsidR="00834DF7" w:rsidRDefault="00834DF7" w:rsidP="00834DF7">
            <w:pPr>
              <w:pStyle w:val="ListParagraph"/>
              <w:numPr>
                <w:ilvl w:val="0"/>
                <w:numId w:val="1"/>
              </w:numPr>
              <w:ind w:left="660"/>
            </w:pPr>
            <w:r>
              <w:t>Compliance</w:t>
            </w:r>
          </w:p>
          <w:p w:rsidR="00834DF7" w:rsidRDefault="00834DF7" w:rsidP="00834DF7">
            <w:pPr>
              <w:pStyle w:val="ListParagraph"/>
              <w:numPr>
                <w:ilvl w:val="0"/>
                <w:numId w:val="1"/>
              </w:numPr>
              <w:ind w:left="660"/>
            </w:pPr>
            <w:r>
              <w:t>Forensics</w:t>
            </w:r>
          </w:p>
          <w:p w:rsidR="00834DF7" w:rsidRDefault="00834DF7" w:rsidP="00834DF7">
            <w:pPr>
              <w:pStyle w:val="ListParagraph"/>
              <w:numPr>
                <w:ilvl w:val="0"/>
                <w:numId w:val="1"/>
              </w:numPr>
              <w:ind w:left="660"/>
            </w:pPr>
            <w:r>
              <w:t>Business Risk Model</w:t>
            </w:r>
          </w:p>
        </w:tc>
        <w:tc>
          <w:tcPr>
            <w:tcW w:w="4590" w:type="dxa"/>
            <w:shd w:val="clear" w:color="auto" w:fill="auto"/>
          </w:tcPr>
          <w:p w:rsidR="00834DF7" w:rsidRDefault="004F2286" w:rsidP="004F2286">
            <w:r>
              <w:t xml:space="preserve">Several security functions have been mapped to the System Orchestrator Block as they require architectural level decisions and awareness. Aspects of these functionalities are strongly related to the Security Fabric and thus touch the entire architecture at various points in different forms of operational details. </w:t>
            </w:r>
          </w:p>
          <w:p w:rsidR="008C1E4D" w:rsidRDefault="008C1E4D" w:rsidP="008C1E4D">
            <w:r>
              <w:t xml:space="preserve">Such security functions include </w:t>
            </w:r>
            <w:r w:rsidRPr="008C1E4D">
              <w:t>nation-specific compliance</w:t>
            </w:r>
            <w:r>
              <w:t xml:space="preserve"> requirements</w:t>
            </w:r>
            <w:r w:rsidRPr="008C1E4D">
              <w:t>, vastly expanded demand for forensics, and domain-specific, privacy-aware business risk models.</w:t>
            </w:r>
          </w:p>
        </w:tc>
      </w:tr>
    </w:tbl>
    <w:p w:rsidR="00257999" w:rsidRDefault="00257999" w:rsidP="00257999"/>
    <w:p w:rsidR="00257999" w:rsidRDefault="00257999" w:rsidP="00257999">
      <w:r>
        <w:t>Data Provider</w:t>
      </w:r>
      <w:r w:rsidR="004F2286">
        <w:t>:</w:t>
      </w:r>
    </w:p>
    <w:tbl>
      <w:tblPr>
        <w:tblW w:w="0" w:type="auto"/>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4"/>
        <w:gridCol w:w="4572"/>
      </w:tblGrid>
      <w:tr w:rsidR="00834DF7" w:rsidTr="004F2286">
        <w:tblPrEx>
          <w:tblCellMar>
            <w:top w:w="0" w:type="dxa"/>
            <w:bottom w:w="0" w:type="dxa"/>
          </w:tblCellMar>
        </w:tblPrEx>
        <w:trPr>
          <w:trHeight w:val="1908"/>
        </w:trPr>
        <w:tc>
          <w:tcPr>
            <w:tcW w:w="4644" w:type="dxa"/>
          </w:tcPr>
          <w:p w:rsidR="00834DF7" w:rsidRDefault="00834DF7" w:rsidP="00834DF7">
            <w:pPr>
              <w:pStyle w:val="ListParagraph"/>
              <w:numPr>
                <w:ilvl w:val="0"/>
                <w:numId w:val="2"/>
              </w:numPr>
              <w:ind w:left="504"/>
            </w:pPr>
            <w:r>
              <w:t>Device, User, Asset, Services, Applications Registration</w:t>
            </w:r>
          </w:p>
          <w:p w:rsidR="00834DF7" w:rsidRDefault="00834DF7" w:rsidP="00834DF7">
            <w:pPr>
              <w:pStyle w:val="ListParagraph"/>
              <w:numPr>
                <w:ilvl w:val="0"/>
                <w:numId w:val="2"/>
              </w:numPr>
              <w:ind w:left="504"/>
            </w:pPr>
            <w:r>
              <w:t>Application Layer Identity</w:t>
            </w:r>
          </w:p>
          <w:p w:rsidR="00834DF7" w:rsidRDefault="00834DF7" w:rsidP="00834DF7">
            <w:pPr>
              <w:pStyle w:val="ListParagraph"/>
              <w:numPr>
                <w:ilvl w:val="0"/>
                <w:numId w:val="2"/>
              </w:numPr>
              <w:ind w:left="504"/>
            </w:pPr>
            <w:r>
              <w:t>End User Layer Identity Management</w:t>
            </w:r>
          </w:p>
          <w:p w:rsidR="00834DF7" w:rsidRDefault="00834DF7" w:rsidP="00834DF7">
            <w:pPr>
              <w:pStyle w:val="ListParagraph"/>
              <w:numPr>
                <w:ilvl w:val="0"/>
                <w:numId w:val="2"/>
              </w:numPr>
              <w:ind w:left="504"/>
            </w:pPr>
            <w:r>
              <w:t>End Point Input Validation</w:t>
            </w:r>
          </w:p>
          <w:p w:rsidR="00834DF7" w:rsidRDefault="00834DF7" w:rsidP="00834DF7">
            <w:pPr>
              <w:pStyle w:val="ListParagraph"/>
              <w:numPr>
                <w:ilvl w:val="0"/>
                <w:numId w:val="2"/>
              </w:numPr>
              <w:ind w:left="504"/>
            </w:pPr>
            <w:r>
              <w:t>Digital Rights Management</w:t>
            </w:r>
          </w:p>
          <w:p w:rsidR="00834DF7" w:rsidRDefault="00834DF7" w:rsidP="00834DF7">
            <w:pPr>
              <w:pStyle w:val="ListParagraph"/>
              <w:numPr>
                <w:ilvl w:val="0"/>
                <w:numId w:val="2"/>
              </w:numPr>
              <w:ind w:left="504"/>
            </w:pPr>
            <w:r>
              <w:t>Monitoring, Alerting</w:t>
            </w:r>
          </w:p>
        </w:tc>
        <w:tc>
          <w:tcPr>
            <w:tcW w:w="4572" w:type="dxa"/>
            <w:shd w:val="clear" w:color="auto" w:fill="auto"/>
          </w:tcPr>
          <w:p w:rsidR="00834DF7" w:rsidRDefault="00323CCC" w:rsidP="00323CCC">
            <w:r>
              <w:t>Data Providers are subject to guaranteeing authenticity of data and in turn require that sensitive/copyrighted/valuable data is adequately protected. This leads to operational aspects of entity registration and identity ecosystems.</w:t>
            </w:r>
          </w:p>
        </w:tc>
      </w:tr>
    </w:tbl>
    <w:p w:rsidR="00257999" w:rsidRDefault="00257999" w:rsidP="00257999"/>
    <w:p w:rsidR="00257999" w:rsidRDefault="00257999" w:rsidP="00257999">
      <w:r>
        <w:t>Data Consumer</w:t>
      </w:r>
      <w:r w:rsidR="004F2286">
        <w:t>:</w:t>
      </w:r>
    </w:p>
    <w:tbl>
      <w:tblPr>
        <w:tblW w:w="919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590"/>
      </w:tblGrid>
      <w:tr w:rsidR="00834DF7" w:rsidTr="004F2286">
        <w:tblPrEx>
          <w:tblCellMar>
            <w:top w:w="0" w:type="dxa"/>
            <w:bottom w:w="0" w:type="dxa"/>
          </w:tblCellMar>
        </w:tblPrEx>
        <w:trPr>
          <w:trHeight w:val="1416"/>
        </w:trPr>
        <w:tc>
          <w:tcPr>
            <w:tcW w:w="4608" w:type="dxa"/>
          </w:tcPr>
          <w:p w:rsidR="00834DF7" w:rsidRDefault="00834DF7" w:rsidP="00834DF7">
            <w:pPr>
              <w:pStyle w:val="ListParagraph"/>
              <w:numPr>
                <w:ilvl w:val="0"/>
                <w:numId w:val="2"/>
              </w:numPr>
              <w:ind w:left="468"/>
            </w:pPr>
            <w:r>
              <w:t>Application Layer Identity</w:t>
            </w:r>
          </w:p>
          <w:p w:rsidR="00834DF7" w:rsidRDefault="00834DF7" w:rsidP="00834DF7">
            <w:pPr>
              <w:pStyle w:val="ListParagraph"/>
              <w:numPr>
                <w:ilvl w:val="0"/>
                <w:numId w:val="2"/>
              </w:numPr>
              <w:ind w:left="468"/>
            </w:pPr>
            <w:r>
              <w:t>End User Layer Identity Management</w:t>
            </w:r>
          </w:p>
          <w:p w:rsidR="00834DF7" w:rsidRDefault="00834DF7" w:rsidP="00834DF7">
            <w:pPr>
              <w:pStyle w:val="ListParagraph"/>
              <w:numPr>
                <w:ilvl w:val="0"/>
                <w:numId w:val="3"/>
              </w:numPr>
              <w:ind w:left="468"/>
            </w:pPr>
            <w:r>
              <w:t>Web Services Gateway</w:t>
            </w:r>
          </w:p>
          <w:p w:rsidR="00834DF7" w:rsidRDefault="00834DF7" w:rsidP="00834DF7">
            <w:pPr>
              <w:pStyle w:val="ListParagraph"/>
              <w:numPr>
                <w:ilvl w:val="0"/>
                <w:numId w:val="3"/>
              </w:numPr>
              <w:ind w:left="468"/>
            </w:pPr>
            <w:r>
              <w:t>Digital Rights Management</w:t>
            </w:r>
          </w:p>
        </w:tc>
        <w:tc>
          <w:tcPr>
            <w:tcW w:w="4590" w:type="dxa"/>
            <w:shd w:val="clear" w:color="auto" w:fill="auto"/>
          </w:tcPr>
          <w:p w:rsidR="00834DF7" w:rsidRDefault="00323CCC" w:rsidP="00323CCC">
            <w:r>
              <w:t>Data Consumers exhibit a duality with Data Providers</w:t>
            </w:r>
            <w:r w:rsidR="001A3D6F">
              <w:t xml:space="preserve"> in terms of </w:t>
            </w:r>
            <w:r w:rsidR="00A8204F">
              <w:t>obligations and requirements – only they face the access/visualization aspects of the Application Provider.</w:t>
            </w:r>
          </w:p>
        </w:tc>
      </w:tr>
    </w:tbl>
    <w:p w:rsidR="00834DF7" w:rsidRDefault="00834DF7" w:rsidP="00233C80"/>
    <w:p w:rsidR="00233C80" w:rsidRDefault="00834DF7" w:rsidP="00233C80">
      <w:r>
        <w:br w:type="page"/>
      </w:r>
      <w:r w:rsidR="00233C80">
        <w:lastRenderedPageBreak/>
        <w:t>Application Provider</w:t>
      </w:r>
      <w:r w:rsidR="004F2286">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453"/>
      </w:tblGrid>
      <w:tr w:rsidR="004F2286" w:rsidTr="004F2286">
        <w:tblPrEx>
          <w:tblCellMar>
            <w:top w:w="0" w:type="dxa"/>
            <w:bottom w:w="0" w:type="dxa"/>
          </w:tblCellMar>
        </w:tblPrEx>
        <w:trPr>
          <w:trHeight w:val="1788"/>
        </w:trPr>
        <w:tc>
          <w:tcPr>
            <w:tcW w:w="4608" w:type="dxa"/>
          </w:tcPr>
          <w:p w:rsidR="004F2286" w:rsidRDefault="004F2286" w:rsidP="004F2286">
            <w:pPr>
              <w:pStyle w:val="ListParagraph"/>
              <w:numPr>
                <w:ilvl w:val="0"/>
                <w:numId w:val="4"/>
              </w:numPr>
              <w:ind w:left="468"/>
            </w:pPr>
            <w:r>
              <w:t>Application Layer Identity</w:t>
            </w:r>
          </w:p>
          <w:p w:rsidR="004F2286" w:rsidRDefault="004F2286" w:rsidP="004F2286">
            <w:pPr>
              <w:pStyle w:val="ListParagraph"/>
              <w:numPr>
                <w:ilvl w:val="0"/>
                <w:numId w:val="4"/>
              </w:numPr>
              <w:ind w:left="468"/>
            </w:pPr>
            <w:r>
              <w:t>Web Services Gateway</w:t>
            </w:r>
          </w:p>
          <w:p w:rsidR="004F2286" w:rsidRDefault="004F2286" w:rsidP="004F2286">
            <w:pPr>
              <w:pStyle w:val="ListParagraph"/>
              <w:numPr>
                <w:ilvl w:val="0"/>
                <w:numId w:val="4"/>
              </w:numPr>
              <w:ind w:left="468"/>
            </w:pPr>
            <w:r>
              <w:t>Data Transformation</w:t>
            </w:r>
          </w:p>
          <w:p w:rsidR="004F2286" w:rsidRDefault="004F2286" w:rsidP="004F2286">
            <w:pPr>
              <w:pStyle w:val="ListParagraph"/>
              <w:numPr>
                <w:ilvl w:val="0"/>
                <w:numId w:val="4"/>
              </w:numPr>
              <w:ind w:left="468"/>
            </w:pPr>
            <w:r>
              <w:t>Digital Rights Management</w:t>
            </w:r>
          </w:p>
          <w:p w:rsidR="004F2286" w:rsidRDefault="004F2286" w:rsidP="004F2286">
            <w:pPr>
              <w:pStyle w:val="ListParagraph"/>
              <w:numPr>
                <w:ilvl w:val="0"/>
                <w:numId w:val="4"/>
              </w:numPr>
              <w:ind w:left="468"/>
            </w:pPr>
            <w:r>
              <w:t>Monitoring, Alerting</w:t>
            </w:r>
          </w:p>
        </w:tc>
        <w:tc>
          <w:tcPr>
            <w:tcW w:w="4453" w:type="dxa"/>
            <w:shd w:val="clear" w:color="auto" w:fill="auto"/>
          </w:tcPr>
          <w:p w:rsidR="004F2286" w:rsidRDefault="002177EA" w:rsidP="002177EA">
            <w:r>
              <w:t>Application Provider interfaces between the Data Provider and Data Consumer. It takes part in all the secure interface protocols with these blocks as well as maintains secure interaction with the Framework Provider.</w:t>
            </w:r>
          </w:p>
        </w:tc>
      </w:tr>
    </w:tbl>
    <w:p w:rsidR="00233C80" w:rsidRDefault="00233C80" w:rsidP="00233C80"/>
    <w:p w:rsidR="00233C80" w:rsidRDefault="00233C80" w:rsidP="00233C80">
      <w:r>
        <w:t>Framework Provider</w:t>
      </w:r>
      <w:r w:rsidR="004F2286">
        <w:t>:</w:t>
      </w:r>
    </w:p>
    <w:tbl>
      <w:tblPr>
        <w:tblW w:w="9035" w:type="dxa"/>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6"/>
        <w:gridCol w:w="4439"/>
      </w:tblGrid>
      <w:tr w:rsidR="004F2286" w:rsidTr="004F2286">
        <w:tblPrEx>
          <w:tblCellMar>
            <w:top w:w="0" w:type="dxa"/>
            <w:bottom w:w="0" w:type="dxa"/>
          </w:tblCellMar>
        </w:tblPrEx>
        <w:trPr>
          <w:trHeight w:val="2184"/>
        </w:trPr>
        <w:tc>
          <w:tcPr>
            <w:tcW w:w="4596" w:type="dxa"/>
          </w:tcPr>
          <w:p w:rsidR="004F2286" w:rsidRDefault="004F2286" w:rsidP="004F2286">
            <w:pPr>
              <w:pStyle w:val="ListParagraph"/>
              <w:numPr>
                <w:ilvl w:val="0"/>
                <w:numId w:val="6"/>
              </w:numPr>
              <w:ind w:left="456"/>
            </w:pPr>
            <w:r>
              <w:t>Virtualization Layer Identity</w:t>
            </w:r>
          </w:p>
          <w:p w:rsidR="004F2286" w:rsidRDefault="004F2286" w:rsidP="004F2286">
            <w:pPr>
              <w:pStyle w:val="ListParagraph"/>
              <w:numPr>
                <w:ilvl w:val="0"/>
                <w:numId w:val="6"/>
              </w:numPr>
              <w:ind w:left="456"/>
            </w:pPr>
            <w:r>
              <w:t>Identity Provider</w:t>
            </w:r>
          </w:p>
          <w:p w:rsidR="004F2286" w:rsidRDefault="004F2286" w:rsidP="004F2286">
            <w:pPr>
              <w:pStyle w:val="ListParagraph"/>
              <w:numPr>
                <w:ilvl w:val="0"/>
                <w:numId w:val="6"/>
              </w:numPr>
              <w:ind w:left="456"/>
            </w:pPr>
            <w:r>
              <w:t>Encryption and Key Management</w:t>
            </w:r>
          </w:p>
          <w:p w:rsidR="004F2286" w:rsidRDefault="004F2286" w:rsidP="004F2286">
            <w:pPr>
              <w:pStyle w:val="ListParagraph"/>
              <w:numPr>
                <w:ilvl w:val="0"/>
                <w:numId w:val="6"/>
              </w:numPr>
              <w:ind w:left="456"/>
            </w:pPr>
            <w:r>
              <w:t>Isolation/Containerization</w:t>
            </w:r>
          </w:p>
          <w:p w:rsidR="004F2286" w:rsidRDefault="004F2286" w:rsidP="004F2286">
            <w:pPr>
              <w:pStyle w:val="ListParagraph"/>
              <w:numPr>
                <w:ilvl w:val="0"/>
                <w:numId w:val="6"/>
              </w:numPr>
              <w:ind w:left="456"/>
            </w:pPr>
            <w:r>
              <w:t>Storage Security</w:t>
            </w:r>
          </w:p>
          <w:p w:rsidR="004F2286" w:rsidRDefault="004F2286" w:rsidP="004F2286">
            <w:pPr>
              <w:pStyle w:val="ListParagraph"/>
              <w:numPr>
                <w:ilvl w:val="0"/>
                <w:numId w:val="6"/>
              </w:numPr>
              <w:ind w:left="456"/>
            </w:pPr>
            <w:r>
              <w:t>Network Boundary Control</w:t>
            </w:r>
          </w:p>
        </w:tc>
        <w:tc>
          <w:tcPr>
            <w:tcW w:w="4439" w:type="dxa"/>
            <w:shd w:val="clear" w:color="auto" w:fill="auto"/>
          </w:tcPr>
          <w:p w:rsidR="004F2286" w:rsidRDefault="002177EA" w:rsidP="0047148B">
            <w:r>
              <w:t xml:space="preserve">Framework Provider is responsible for the security of data/computations for a significant portion of the lifecycle of the data. </w:t>
            </w:r>
            <w:r w:rsidR="0047148B">
              <w:t>This includes security of data at rest through encryption and access control; security of computations via isolation/virtualization; and security of communication with the Application Provider.</w:t>
            </w:r>
            <w:bookmarkStart w:id="0" w:name="_GoBack"/>
            <w:bookmarkEnd w:id="0"/>
          </w:p>
        </w:tc>
      </w:tr>
    </w:tbl>
    <w:p w:rsidR="00233C80" w:rsidRDefault="00233C80" w:rsidP="004F2286"/>
    <w:sectPr w:rsidR="0023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27F26"/>
    <w:multiLevelType w:val="hybridMultilevel"/>
    <w:tmpl w:val="5762E452"/>
    <w:lvl w:ilvl="0" w:tplc="E424F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4B51C0"/>
    <w:multiLevelType w:val="hybridMultilevel"/>
    <w:tmpl w:val="F954C918"/>
    <w:lvl w:ilvl="0" w:tplc="E424F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C54969"/>
    <w:multiLevelType w:val="hybridMultilevel"/>
    <w:tmpl w:val="EF08864E"/>
    <w:lvl w:ilvl="0" w:tplc="E424F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1B3200"/>
    <w:multiLevelType w:val="hybridMultilevel"/>
    <w:tmpl w:val="D0666566"/>
    <w:lvl w:ilvl="0" w:tplc="E424F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4B10F2"/>
    <w:multiLevelType w:val="hybridMultilevel"/>
    <w:tmpl w:val="AF38AA18"/>
    <w:lvl w:ilvl="0" w:tplc="E424F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5755B1"/>
    <w:multiLevelType w:val="hybridMultilevel"/>
    <w:tmpl w:val="49A81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21B"/>
    <w:rsid w:val="00006B2E"/>
    <w:rsid w:val="001A3D6F"/>
    <w:rsid w:val="002177EA"/>
    <w:rsid w:val="00233C80"/>
    <w:rsid w:val="00257999"/>
    <w:rsid w:val="0028721B"/>
    <w:rsid w:val="00323CCC"/>
    <w:rsid w:val="0047148B"/>
    <w:rsid w:val="004F2286"/>
    <w:rsid w:val="00834DF7"/>
    <w:rsid w:val="008C1E4D"/>
    <w:rsid w:val="00A8204F"/>
    <w:rsid w:val="00B7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2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B2E"/>
    <w:pPr>
      <w:ind w:left="720"/>
      <w:contextualSpacing/>
    </w:pPr>
  </w:style>
  <w:style w:type="character" w:customStyle="1" w:styleId="Heading1Char">
    <w:name w:val="Heading 1 Char"/>
    <w:basedOn w:val="DefaultParagraphFont"/>
    <w:link w:val="Heading1"/>
    <w:uiPriority w:val="9"/>
    <w:rsid w:val="004F228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2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B2E"/>
    <w:pPr>
      <w:ind w:left="720"/>
      <w:contextualSpacing/>
    </w:pPr>
  </w:style>
  <w:style w:type="character" w:customStyle="1" w:styleId="Heading1Char">
    <w:name w:val="Heading 1 Char"/>
    <w:basedOn w:val="DefaultParagraphFont"/>
    <w:link w:val="Heading1"/>
    <w:uiPriority w:val="9"/>
    <w:rsid w:val="004F228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Arnab Roy</dc:creator>
  <cp:lastModifiedBy>Arnab Roy</cp:lastModifiedBy>
  <cp:revision>6</cp:revision>
  <dcterms:created xsi:type="dcterms:W3CDTF">2015-01-05T21:51:00Z</dcterms:created>
  <dcterms:modified xsi:type="dcterms:W3CDTF">2015-01-06T04:38:00Z</dcterms:modified>
</cp:coreProperties>
</file>