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84" w:rsidRPr="00010559" w:rsidRDefault="00055D84" w:rsidP="00010559">
      <w:pPr>
        <w:pStyle w:val="NoSpacing"/>
        <w:jc w:val="center"/>
        <w:rPr>
          <w:b/>
          <w:sz w:val="32"/>
          <w:szCs w:val="32"/>
        </w:rPr>
      </w:pPr>
      <w:bookmarkStart w:id="0" w:name="_GoBack"/>
      <w:bookmarkEnd w:id="0"/>
      <w:proofErr w:type="gramStart"/>
      <w:r w:rsidRPr="00010559">
        <w:rPr>
          <w:b/>
          <w:sz w:val="32"/>
          <w:szCs w:val="32"/>
        </w:rPr>
        <w:t>NBD(</w:t>
      </w:r>
      <w:proofErr w:type="gramEnd"/>
      <w:r w:rsidRPr="00010559">
        <w:rPr>
          <w:b/>
          <w:sz w:val="32"/>
          <w:szCs w:val="32"/>
        </w:rPr>
        <w:t xml:space="preserve">NIST Big Data) WG Use Case </w:t>
      </w:r>
    </w:p>
    <w:tbl>
      <w:tblPr>
        <w:tblStyle w:val="TableGrid"/>
        <w:tblW w:w="0" w:type="auto"/>
        <w:tblLook w:val="04A0" w:firstRow="1" w:lastRow="0" w:firstColumn="1" w:lastColumn="0" w:noHBand="0" w:noVBand="1"/>
      </w:tblPr>
      <w:tblGrid>
        <w:gridCol w:w="1677"/>
        <w:gridCol w:w="380"/>
        <w:gridCol w:w="1705"/>
        <w:gridCol w:w="552"/>
        <w:gridCol w:w="3792"/>
        <w:gridCol w:w="1470"/>
      </w:tblGrid>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Use Case Title</w:t>
            </w:r>
          </w:p>
        </w:tc>
        <w:tc>
          <w:tcPr>
            <w:tcW w:w="4231" w:type="dxa"/>
            <w:gridSpan w:val="3"/>
          </w:tcPr>
          <w:p w:rsidR="00641BD8" w:rsidRPr="00C77AEF" w:rsidRDefault="003940D0">
            <w:pPr>
              <w:pStyle w:val="NoSpacing"/>
              <w:rPr>
                <w:rFonts w:ascii="Arial" w:hAnsi="Arial" w:cs="Arial"/>
                <w:sz w:val="20"/>
                <w:szCs w:val="20"/>
              </w:rPr>
            </w:pPr>
            <w:r>
              <w:rPr>
                <w:rFonts w:ascii="Arial" w:hAnsi="Arial" w:cs="Arial"/>
                <w:sz w:val="20"/>
                <w:szCs w:val="20"/>
              </w:rPr>
              <w:t>Pharmaceutical and Biomedical Research, Discovery and Diagnostics Systems</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Pr>
                <w:rFonts w:ascii="Arial" w:hAnsi="Arial" w:cs="Arial"/>
                <w:b/>
                <w:sz w:val="20"/>
                <w:szCs w:val="20"/>
              </w:rPr>
              <w:t>Vertical (area)</w:t>
            </w:r>
          </w:p>
        </w:tc>
        <w:tc>
          <w:tcPr>
            <w:tcW w:w="4231" w:type="dxa"/>
            <w:gridSpan w:val="3"/>
          </w:tcPr>
          <w:p w:rsidR="00641BD8" w:rsidRPr="00C77AEF" w:rsidRDefault="00A56BF5">
            <w:pPr>
              <w:pStyle w:val="NoSpacing"/>
              <w:rPr>
                <w:rFonts w:ascii="Arial" w:hAnsi="Arial" w:cs="Arial"/>
                <w:sz w:val="20"/>
                <w:szCs w:val="20"/>
              </w:rPr>
            </w:pPr>
            <w:r>
              <w:rPr>
                <w:rFonts w:ascii="Arial" w:hAnsi="Arial" w:cs="Arial"/>
                <w:sz w:val="20"/>
                <w:szCs w:val="20"/>
              </w:rPr>
              <w:t xml:space="preserve">Pharmaceutical and Biomedical </w:t>
            </w:r>
            <w:r w:rsidR="000C21AB">
              <w:rPr>
                <w:rFonts w:ascii="Arial" w:hAnsi="Arial" w:cs="Arial"/>
                <w:sz w:val="20"/>
                <w:szCs w:val="20"/>
              </w:rPr>
              <w:t>companies</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4231" w:type="dxa"/>
            <w:gridSpan w:val="3"/>
          </w:tcPr>
          <w:p w:rsidR="00641BD8" w:rsidRPr="00C77AEF" w:rsidRDefault="00A56BF5" w:rsidP="00167A7A">
            <w:pPr>
              <w:pStyle w:val="NoSpacing"/>
              <w:rPr>
                <w:rFonts w:ascii="Arial" w:hAnsi="Arial" w:cs="Arial"/>
                <w:sz w:val="20"/>
                <w:szCs w:val="20"/>
              </w:rPr>
            </w:pPr>
            <w:r>
              <w:rPr>
                <w:rFonts w:ascii="Arial" w:hAnsi="Arial" w:cs="Arial"/>
                <w:sz w:val="20"/>
                <w:szCs w:val="20"/>
              </w:rPr>
              <w:t xml:space="preserve">Albert Landeck, </w:t>
            </w:r>
            <w:r w:rsidR="008933E5">
              <w:rPr>
                <w:rFonts w:ascii="Arial" w:hAnsi="Arial" w:cs="Arial"/>
                <w:sz w:val="20"/>
                <w:szCs w:val="20"/>
              </w:rPr>
              <w:t>Perkin Elmer, Inc.</w:t>
            </w:r>
            <w:r w:rsidR="003940D0">
              <w:rPr>
                <w:rFonts w:ascii="Arial" w:hAnsi="Arial" w:cs="Arial"/>
                <w:sz w:val="20"/>
                <w:szCs w:val="20"/>
              </w:rPr>
              <w:t>(PKI)</w:t>
            </w:r>
            <w:r>
              <w:rPr>
                <w:rFonts w:ascii="Arial" w:hAnsi="Arial" w:cs="Arial"/>
                <w:sz w:val="20"/>
                <w:szCs w:val="20"/>
              </w:rPr>
              <w:t xml:space="preserve"> – </w:t>
            </w:r>
            <w:r w:rsidR="003940D0">
              <w:rPr>
                <w:rFonts w:ascii="Arial" w:hAnsi="Arial" w:cs="Arial"/>
                <w:sz w:val="20"/>
                <w:szCs w:val="20"/>
              </w:rPr>
              <w:t xml:space="preserve">Informatics Group - </w:t>
            </w:r>
            <w:r>
              <w:rPr>
                <w:rFonts w:ascii="Arial" w:hAnsi="Arial" w:cs="Arial"/>
                <w:sz w:val="20"/>
                <w:szCs w:val="20"/>
              </w:rPr>
              <w:t>albert.landeck@perkinelmer.com</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4231" w:type="dxa"/>
            <w:gridSpan w:val="3"/>
          </w:tcPr>
          <w:p w:rsidR="00641BD8" w:rsidRPr="00C77AEF" w:rsidRDefault="00A56BF5" w:rsidP="00167A7A">
            <w:pPr>
              <w:pStyle w:val="NoSpacing"/>
              <w:rPr>
                <w:rFonts w:ascii="Arial" w:hAnsi="Arial" w:cs="Arial"/>
                <w:sz w:val="20"/>
                <w:szCs w:val="20"/>
              </w:rPr>
            </w:pPr>
            <w:r>
              <w:rPr>
                <w:rFonts w:ascii="Arial" w:hAnsi="Arial" w:cs="Arial"/>
                <w:sz w:val="20"/>
                <w:szCs w:val="20"/>
              </w:rPr>
              <w:t xml:space="preserve">Pharmaceutical companies (Pharmaceutical chemists, Quality Assurance, Regulators, Manufacturing, </w:t>
            </w:r>
            <w:r w:rsidR="003940D0">
              <w:rPr>
                <w:rFonts w:ascii="Arial" w:hAnsi="Arial" w:cs="Arial"/>
                <w:sz w:val="20"/>
                <w:szCs w:val="20"/>
              </w:rPr>
              <w:t>Intellectual Property/</w:t>
            </w:r>
            <w:r>
              <w:rPr>
                <w:rFonts w:ascii="Arial" w:hAnsi="Arial" w:cs="Arial"/>
                <w:sz w:val="20"/>
                <w:szCs w:val="20"/>
              </w:rPr>
              <w:t>Legal), Government (Certifying bodies</w:t>
            </w:r>
            <w:r w:rsidR="003940D0">
              <w:rPr>
                <w:rFonts w:ascii="Arial" w:hAnsi="Arial" w:cs="Arial"/>
                <w:sz w:val="20"/>
                <w:szCs w:val="20"/>
              </w:rPr>
              <w:t>, Regulators</w:t>
            </w:r>
            <w:r>
              <w:rPr>
                <w:rFonts w:ascii="Arial" w:hAnsi="Arial" w:cs="Arial"/>
                <w:sz w:val="20"/>
                <w:szCs w:val="20"/>
              </w:rPr>
              <w:t xml:space="preserve">), </w:t>
            </w:r>
            <w:proofErr w:type="spellStart"/>
            <w:r>
              <w:rPr>
                <w:rFonts w:ascii="Arial" w:hAnsi="Arial" w:cs="Arial"/>
                <w:sz w:val="20"/>
                <w:szCs w:val="20"/>
              </w:rPr>
              <w:t>BioMedical</w:t>
            </w:r>
            <w:proofErr w:type="spellEnd"/>
            <w:r>
              <w:rPr>
                <w:rFonts w:ascii="Arial" w:hAnsi="Arial" w:cs="Arial"/>
                <w:sz w:val="20"/>
                <w:szCs w:val="20"/>
              </w:rPr>
              <w:t xml:space="preserve"> Research (Geneticists, Molecular Biology, Cell Pathology), Clinical Trials (Subject management)</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Goals</w:t>
            </w:r>
          </w:p>
        </w:tc>
        <w:tc>
          <w:tcPr>
            <w:tcW w:w="4231" w:type="dxa"/>
            <w:gridSpan w:val="3"/>
          </w:tcPr>
          <w:p w:rsidR="00641BD8" w:rsidRPr="00C77AEF" w:rsidRDefault="00F71013" w:rsidP="00167A7A">
            <w:pPr>
              <w:pStyle w:val="NoSpacing"/>
              <w:rPr>
                <w:rFonts w:ascii="Arial" w:hAnsi="Arial" w:cs="Arial"/>
                <w:sz w:val="20"/>
                <w:szCs w:val="20"/>
              </w:rPr>
            </w:pPr>
            <w:r>
              <w:rPr>
                <w:rFonts w:ascii="Arial" w:hAnsi="Arial" w:cs="Arial"/>
                <w:sz w:val="20"/>
                <w:szCs w:val="20"/>
              </w:rPr>
              <w:t>Enabling comprehensive lab discovery analytics for the pharmaceutical and life science industries</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Use Case Description</w:t>
            </w:r>
          </w:p>
        </w:tc>
        <w:tc>
          <w:tcPr>
            <w:tcW w:w="4231" w:type="dxa"/>
            <w:gridSpan w:val="3"/>
          </w:tcPr>
          <w:p w:rsidR="00641BD8" w:rsidRPr="00C77AEF" w:rsidRDefault="00F71013" w:rsidP="00167A7A">
            <w:pPr>
              <w:pStyle w:val="NoSpacing"/>
              <w:rPr>
                <w:rFonts w:ascii="Arial" w:hAnsi="Arial" w:cs="Arial"/>
                <w:sz w:val="20"/>
                <w:szCs w:val="20"/>
              </w:rPr>
            </w:pPr>
            <w:r>
              <w:rPr>
                <w:rFonts w:ascii="Arial" w:hAnsi="Arial" w:cs="Arial"/>
                <w:sz w:val="20"/>
                <w:szCs w:val="20"/>
              </w:rPr>
              <w:t>To tie together data from the drug discovery process, through assay testing, drug trials, analysis of genetic and cellular results</w:t>
            </w:r>
            <w:r w:rsidR="003940D0">
              <w:rPr>
                <w:rFonts w:ascii="Arial" w:hAnsi="Arial" w:cs="Arial"/>
                <w:sz w:val="20"/>
                <w:szCs w:val="20"/>
              </w:rPr>
              <w:t xml:space="preserve"> with biomarkers</w:t>
            </w:r>
            <w:r>
              <w:rPr>
                <w:rFonts w:ascii="Arial" w:hAnsi="Arial" w:cs="Arial"/>
                <w:sz w:val="20"/>
                <w:szCs w:val="20"/>
              </w:rPr>
              <w:t>, as well as manufacturing and chemical registry and inventory management</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9C737E">
        <w:trPr>
          <w:trHeight w:val="350"/>
        </w:trPr>
        <w:tc>
          <w:tcPr>
            <w:tcW w:w="2028" w:type="dxa"/>
            <w:vMerge w:val="restart"/>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 xml:space="preserve">Current </w:t>
            </w:r>
          </w:p>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641BD8" w:rsidRPr="00C77AEF" w:rsidRDefault="00641BD8" w:rsidP="00055D84">
            <w:pPr>
              <w:pStyle w:val="NoSpacing"/>
              <w:jc w:val="right"/>
              <w:rPr>
                <w:rFonts w:ascii="Arial" w:hAnsi="Arial" w:cs="Arial"/>
                <w:b/>
                <w:sz w:val="20"/>
                <w:szCs w:val="20"/>
              </w:rPr>
            </w:pPr>
            <w:r w:rsidRPr="00C77AEF">
              <w:rPr>
                <w:rFonts w:ascii="Arial" w:hAnsi="Arial" w:cs="Arial"/>
                <w:b/>
                <w:sz w:val="20"/>
                <w:szCs w:val="20"/>
              </w:rPr>
              <w:t>Compute(System)</w:t>
            </w:r>
          </w:p>
        </w:tc>
        <w:tc>
          <w:tcPr>
            <w:tcW w:w="2168" w:type="dxa"/>
            <w:gridSpan w:val="2"/>
          </w:tcPr>
          <w:p w:rsidR="00641BD8" w:rsidRPr="00C77AEF" w:rsidRDefault="00F71013">
            <w:pPr>
              <w:pStyle w:val="NoSpacing"/>
              <w:rPr>
                <w:rFonts w:ascii="Arial" w:hAnsi="Arial" w:cs="Arial"/>
                <w:sz w:val="20"/>
                <w:szCs w:val="20"/>
              </w:rPr>
            </w:pPr>
            <w:r>
              <w:rPr>
                <w:rFonts w:ascii="Arial" w:hAnsi="Arial" w:cs="Arial"/>
                <w:sz w:val="20"/>
                <w:szCs w:val="20"/>
              </w:rPr>
              <w:t>Each company has their own cus</w:t>
            </w:r>
            <w:r w:rsidR="00D52D29">
              <w:rPr>
                <w:rFonts w:ascii="Arial" w:hAnsi="Arial" w:cs="Arial"/>
                <w:sz w:val="20"/>
                <w:szCs w:val="20"/>
              </w:rPr>
              <w:t xml:space="preserve">tom </w:t>
            </w:r>
            <w:r w:rsidR="003940D0">
              <w:rPr>
                <w:rFonts w:ascii="Arial" w:hAnsi="Arial" w:cs="Arial"/>
                <w:sz w:val="20"/>
                <w:szCs w:val="20"/>
              </w:rPr>
              <w:t>hardware installation</w:t>
            </w:r>
            <w:r w:rsidR="00D52D29">
              <w:rPr>
                <w:rFonts w:ascii="Arial" w:hAnsi="Arial" w:cs="Arial"/>
                <w:sz w:val="20"/>
                <w:szCs w:val="20"/>
              </w:rPr>
              <w:t xml:space="preserve"> that includes a core Electronic </w:t>
            </w:r>
            <w:r>
              <w:rPr>
                <w:rFonts w:ascii="Arial" w:hAnsi="Arial" w:cs="Arial"/>
                <w:sz w:val="20"/>
                <w:szCs w:val="20"/>
              </w:rPr>
              <w:t>Notebook system either single instance or clustered cloud deployed</w:t>
            </w:r>
            <w:r w:rsidR="007732B9">
              <w:rPr>
                <w:rFonts w:ascii="Arial" w:hAnsi="Arial" w:cs="Arial"/>
                <w:sz w:val="20"/>
                <w:szCs w:val="20"/>
              </w:rPr>
              <w:t xml:space="preserve"> (Amazon AWS or Verizon </w:t>
            </w:r>
            <w:proofErr w:type="spellStart"/>
            <w:r w:rsidR="007732B9">
              <w:rPr>
                <w:rFonts w:ascii="Arial" w:hAnsi="Arial" w:cs="Arial"/>
                <w:sz w:val="20"/>
                <w:szCs w:val="20"/>
              </w:rPr>
              <w:t>Terramark</w:t>
            </w:r>
            <w:proofErr w:type="spellEnd"/>
            <w:r w:rsidR="007732B9">
              <w:rPr>
                <w:rFonts w:ascii="Arial" w:hAnsi="Arial" w:cs="Arial"/>
                <w:sz w:val="20"/>
                <w:szCs w:val="20"/>
              </w:rPr>
              <w:t>)</w:t>
            </w:r>
            <w:r>
              <w:rPr>
                <w:rFonts w:ascii="Arial" w:hAnsi="Arial" w:cs="Arial"/>
                <w:sz w:val="20"/>
                <w:szCs w:val="20"/>
              </w:rPr>
              <w:t xml:space="preserve">, a cluster of middle tier application servers, an ad hoc middle tier layer using </w:t>
            </w:r>
            <w:proofErr w:type="spellStart"/>
            <w:r>
              <w:rPr>
                <w:rFonts w:ascii="Arial" w:hAnsi="Arial" w:cs="Arial"/>
                <w:sz w:val="20"/>
                <w:szCs w:val="20"/>
              </w:rPr>
              <w:t>Spotfire</w:t>
            </w:r>
            <w:proofErr w:type="spellEnd"/>
            <w:r>
              <w:rPr>
                <w:rFonts w:ascii="Arial" w:hAnsi="Arial" w:cs="Arial"/>
                <w:sz w:val="20"/>
                <w:szCs w:val="20"/>
              </w:rPr>
              <w:t>, and numerous external data sources</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9C737E">
        <w:trPr>
          <w:trHeight w:val="350"/>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Pr>
          <w:p w:rsidR="00641BD8" w:rsidRPr="00C77AEF" w:rsidRDefault="00641BD8" w:rsidP="00055D84">
            <w:pPr>
              <w:pStyle w:val="NoSpacing"/>
              <w:jc w:val="right"/>
              <w:rPr>
                <w:rFonts w:ascii="Arial" w:hAnsi="Arial" w:cs="Arial"/>
                <w:b/>
                <w:sz w:val="20"/>
                <w:szCs w:val="20"/>
              </w:rPr>
            </w:pPr>
            <w:r w:rsidRPr="00C77AEF">
              <w:rPr>
                <w:rFonts w:ascii="Arial" w:hAnsi="Arial" w:cs="Arial"/>
                <w:b/>
                <w:sz w:val="20"/>
                <w:szCs w:val="20"/>
              </w:rPr>
              <w:t>Storage</w:t>
            </w:r>
          </w:p>
        </w:tc>
        <w:tc>
          <w:tcPr>
            <w:tcW w:w="2168" w:type="dxa"/>
            <w:gridSpan w:val="2"/>
          </w:tcPr>
          <w:p w:rsidR="00641BD8" w:rsidRPr="00C77AEF" w:rsidRDefault="00F71013" w:rsidP="00167A7A">
            <w:pPr>
              <w:pStyle w:val="NoSpacing"/>
              <w:rPr>
                <w:rFonts w:ascii="Arial" w:hAnsi="Arial" w:cs="Arial"/>
                <w:sz w:val="20"/>
                <w:szCs w:val="20"/>
              </w:rPr>
            </w:pPr>
            <w:r>
              <w:rPr>
                <w:rFonts w:ascii="Arial" w:hAnsi="Arial" w:cs="Arial"/>
                <w:sz w:val="20"/>
                <w:szCs w:val="20"/>
              </w:rPr>
              <w:t>A core set of database file systems</w:t>
            </w:r>
            <w:r w:rsidR="00D52D29">
              <w:rPr>
                <w:rFonts w:ascii="Arial" w:hAnsi="Arial" w:cs="Arial"/>
                <w:sz w:val="20"/>
                <w:szCs w:val="20"/>
              </w:rPr>
              <w:t xml:space="preserve"> and</w:t>
            </w:r>
            <w:r w:rsidR="00C24904">
              <w:rPr>
                <w:rFonts w:ascii="Arial" w:hAnsi="Arial" w:cs="Arial"/>
                <w:sz w:val="20"/>
                <w:szCs w:val="20"/>
              </w:rPr>
              <w:t xml:space="preserve"> a large </w:t>
            </w:r>
            <w:r w:rsidR="00D52D29">
              <w:rPr>
                <w:rFonts w:ascii="Arial" w:hAnsi="Arial" w:cs="Arial"/>
                <w:sz w:val="20"/>
                <w:szCs w:val="20"/>
              </w:rPr>
              <w:t>file store</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9C737E">
        <w:trPr>
          <w:trHeight w:val="350"/>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Pr>
          <w:p w:rsidR="00641BD8" w:rsidRPr="00C77AEF" w:rsidRDefault="00641BD8" w:rsidP="00227954">
            <w:pPr>
              <w:pStyle w:val="NoSpacing"/>
              <w:jc w:val="right"/>
              <w:rPr>
                <w:rFonts w:ascii="Arial" w:hAnsi="Arial" w:cs="Arial"/>
                <w:b/>
                <w:sz w:val="20"/>
                <w:szCs w:val="20"/>
              </w:rPr>
            </w:pPr>
            <w:r>
              <w:rPr>
                <w:rFonts w:ascii="Arial" w:hAnsi="Arial" w:cs="Arial"/>
                <w:b/>
                <w:sz w:val="20"/>
                <w:szCs w:val="20"/>
              </w:rPr>
              <w:t>Networking</w:t>
            </w:r>
          </w:p>
        </w:tc>
        <w:tc>
          <w:tcPr>
            <w:tcW w:w="2168" w:type="dxa"/>
            <w:gridSpan w:val="2"/>
          </w:tcPr>
          <w:p w:rsidR="00641BD8" w:rsidRPr="00C77AEF" w:rsidRDefault="00D52D29" w:rsidP="00167A7A">
            <w:pPr>
              <w:pStyle w:val="NoSpacing"/>
              <w:rPr>
                <w:rFonts w:ascii="Arial" w:hAnsi="Arial" w:cs="Arial"/>
                <w:sz w:val="20"/>
                <w:szCs w:val="20"/>
              </w:rPr>
            </w:pPr>
            <w:r>
              <w:rPr>
                <w:rFonts w:ascii="Arial" w:hAnsi="Arial" w:cs="Arial"/>
                <w:sz w:val="20"/>
                <w:szCs w:val="20"/>
              </w:rPr>
              <w:t>Corporate internet and cloud based VPC</w:t>
            </w: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9C737E">
        <w:trPr>
          <w:trHeight w:val="350"/>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Borders>
              <w:bottom w:val="single" w:sz="4" w:space="0" w:color="auto"/>
            </w:tcBorders>
          </w:tcPr>
          <w:p w:rsidR="00641BD8" w:rsidRPr="00C77AEF" w:rsidRDefault="00641BD8" w:rsidP="00055D84">
            <w:pPr>
              <w:pStyle w:val="NoSpacing"/>
              <w:jc w:val="right"/>
              <w:rPr>
                <w:rFonts w:ascii="Arial" w:hAnsi="Arial" w:cs="Arial"/>
                <w:b/>
                <w:sz w:val="20"/>
                <w:szCs w:val="20"/>
              </w:rPr>
            </w:pPr>
            <w:r>
              <w:rPr>
                <w:rFonts w:ascii="Arial" w:hAnsi="Arial" w:cs="Arial"/>
                <w:b/>
                <w:sz w:val="20"/>
                <w:szCs w:val="20"/>
              </w:rPr>
              <w:t>Software</w:t>
            </w:r>
            <w:r w:rsidR="00B349C4">
              <w:rPr>
                <w:rFonts w:ascii="Arial" w:hAnsi="Arial" w:cs="Arial"/>
                <w:b/>
                <w:sz w:val="20"/>
                <w:szCs w:val="20"/>
              </w:rPr>
              <w:t xml:space="preserve"> (Identify COTS, open source products</w:t>
            </w:r>
          </w:p>
        </w:tc>
        <w:tc>
          <w:tcPr>
            <w:tcW w:w="2168" w:type="dxa"/>
            <w:gridSpan w:val="2"/>
            <w:tcBorders>
              <w:bottom w:val="single" w:sz="4" w:space="0" w:color="auto"/>
            </w:tcBorders>
          </w:tcPr>
          <w:p w:rsidR="00641BD8" w:rsidRPr="00C77AEF" w:rsidRDefault="00D52D29" w:rsidP="00167A7A">
            <w:pPr>
              <w:pStyle w:val="NoSpacing"/>
              <w:rPr>
                <w:rFonts w:ascii="Arial" w:hAnsi="Arial" w:cs="Arial"/>
                <w:sz w:val="20"/>
                <w:szCs w:val="20"/>
              </w:rPr>
            </w:pPr>
            <w:r>
              <w:rPr>
                <w:rFonts w:ascii="Arial" w:hAnsi="Arial" w:cs="Arial"/>
                <w:sz w:val="20"/>
                <w:szCs w:val="20"/>
              </w:rPr>
              <w:t xml:space="preserve">Oracle, </w:t>
            </w:r>
            <w:proofErr w:type="spellStart"/>
            <w:r>
              <w:rPr>
                <w:rFonts w:ascii="Arial" w:hAnsi="Arial" w:cs="Arial"/>
                <w:sz w:val="20"/>
                <w:szCs w:val="20"/>
              </w:rPr>
              <w:t>PostgreSQL</w:t>
            </w:r>
            <w:proofErr w:type="spellEnd"/>
            <w:r>
              <w:rPr>
                <w:rFonts w:ascii="Arial" w:hAnsi="Arial" w:cs="Arial"/>
                <w:sz w:val="20"/>
                <w:szCs w:val="20"/>
              </w:rPr>
              <w:t xml:space="preserve">, </w:t>
            </w:r>
            <w:proofErr w:type="spellStart"/>
            <w:r>
              <w:rPr>
                <w:rFonts w:ascii="Arial" w:hAnsi="Arial" w:cs="Arial"/>
                <w:sz w:val="20"/>
                <w:szCs w:val="20"/>
              </w:rPr>
              <w:t>MongoDB</w:t>
            </w:r>
            <w:proofErr w:type="spellEnd"/>
            <w:r>
              <w:rPr>
                <w:rFonts w:ascii="Arial" w:hAnsi="Arial" w:cs="Arial"/>
                <w:sz w:val="20"/>
                <w:szCs w:val="20"/>
              </w:rPr>
              <w:t xml:space="preserve">, </w:t>
            </w:r>
            <w:proofErr w:type="spellStart"/>
            <w:r>
              <w:rPr>
                <w:rFonts w:ascii="Arial" w:hAnsi="Arial" w:cs="Arial"/>
                <w:sz w:val="20"/>
                <w:szCs w:val="20"/>
              </w:rPr>
              <w:t>SciDB</w:t>
            </w:r>
            <w:proofErr w:type="spellEnd"/>
            <w:r>
              <w:rPr>
                <w:rFonts w:ascii="Arial" w:hAnsi="Arial" w:cs="Arial"/>
                <w:sz w:val="20"/>
                <w:szCs w:val="20"/>
              </w:rPr>
              <w:t xml:space="preserve">, </w:t>
            </w:r>
            <w:r w:rsidR="007732B9">
              <w:rPr>
                <w:rFonts w:ascii="Arial" w:hAnsi="Arial" w:cs="Arial"/>
                <w:sz w:val="20"/>
                <w:szCs w:val="20"/>
              </w:rPr>
              <w:t xml:space="preserve">Cassandra, </w:t>
            </w:r>
            <w:r>
              <w:rPr>
                <w:rFonts w:ascii="Arial" w:hAnsi="Arial" w:cs="Arial"/>
                <w:sz w:val="20"/>
                <w:szCs w:val="20"/>
              </w:rPr>
              <w:t>PKI Chemical Search analytics, Genetic Indexing, Cellular imaging spatial and contrast data</w:t>
            </w:r>
          </w:p>
        </w:tc>
        <w:tc>
          <w:tcPr>
            <w:tcW w:w="2897" w:type="dxa"/>
            <w:tcBorders>
              <w:bottom w:val="single" w:sz="4" w:space="0" w:color="auto"/>
            </w:tcBorders>
          </w:tcPr>
          <w:p w:rsidR="00641BD8" w:rsidRPr="00C77AEF" w:rsidRDefault="00641BD8" w:rsidP="00167A7A">
            <w:pPr>
              <w:pStyle w:val="NoSpacing"/>
              <w:rPr>
                <w:rFonts w:ascii="Arial" w:hAnsi="Arial" w:cs="Arial"/>
                <w:sz w:val="20"/>
                <w:szCs w:val="20"/>
              </w:rPr>
            </w:pPr>
          </w:p>
        </w:tc>
      </w:tr>
      <w:tr w:rsidR="00641BD8" w:rsidRPr="00C77AEF" w:rsidTr="009C737E">
        <w:trPr>
          <w:trHeight w:val="350"/>
        </w:trPr>
        <w:tc>
          <w:tcPr>
            <w:tcW w:w="2028" w:type="dxa"/>
            <w:vMerge w:val="restart"/>
          </w:tcPr>
          <w:p w:rsidR="00641BD8" w:rsidRDefault="00641BD8" w:rsidP="00167A7A">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641BD8" w:rsidRPr="00C77AEF" w:rsidRDefault="00641BD8" w:rsidP="00167A7A">
            <w:pPr>
              <w:pStyle w:val="NoSpacing"/>
              <w:jc w:val="right"/>
              <w:rPr>
                <w:rFonts w:ascii="Arial" w:hAnsi="Arial" w:cs="Arial"/>
                <w:b/>
                <w:sz w:val="20"/>
                <w:szCs w:val="20"/>
              </w:rPr>
            </w:pPr>
          </w:p>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EAF1DD" w:themeFill="accent3" w:themeFillTint="33"/>
          </w:tcPr>
          <w:p w:rsidR="00641BD8" w:rsidRPr="00C77AEF" w:rsidRDefault="00641BD8" w:rsidP="00984F92">
            <w:pPr>
              <w:pStyle w:val="NoSpacing"/>
              <w:jc w:val="right"/>
              <w:rPr>
                <w:rFonts w:ascii="Arial" w:hAnsi="Arial" w:cs="Arial"/>
                <w:b/>
                <w:sz w:val="20"/>
                <w:szCs w:val="20"/>
              </w:rPr>
            </w:pPr>
            <w:r>
              <w:rPr>
                <w:rFonts w:ascii="Arial" w:hAnsi="Arial" w:cs="Arial"/>
                <w:b/>
                <w:sz w:val="20"/>
                <w:szCs w:val="20"/>
              </w:rPr>
              <w:t>Data Source (distributed/centralized)</w:t>
            </w:r>
          </w:p>
        </w:tc>
        <w:tc>
          <w:tcPr>
            <w:tcW w:w="2168" w:type="dxa"/>
            <w:gridSpan w:val="2"/>
            <w:shd w:val="clear" w:color="auto" w:fill="EAF1DD" w:themeFill="accent3" w:themeFillTint="33"/>
          </w:tcPr>
          <w:p w:rsidR="00641BD8" w:rsidRPr="00C77AEF" w:rsidRDefault="00D52D29" w:rsidP="00167A7A">
            <w:pPr>
              <w:pStyle w:val="NoSpacing"/>
              <w:rPr>
                <w:rFonts w:ascii="Arial" w:hAnsi="Arial" w:cs="Arial"/>
                <w:sz w:val="20"/>
                <w:szCs w:val="20"/>
              </w:rPr>
            </w:pPr>
            <w:r>
              <w:rPr>
                <w:rFonts w:ascii="Arial" w:hAnsi="Arial" w:cs="Arial"/>
                <w:sz w:val="20"/>
                <w:szCs w:val="20"/>
              </w:rPr>
              <w:t>A core data set with affiliated distributed data sets (Chemistry, Genetics/Genomic, Imaging, Spectroscopy)</w:t>
            </w:r>
          </w:p>
        </w:tc>
        <w:tc>
          <w:tcPr>
            <w:tcW w:w="2897" w:type="dxa"/>
            <w:shd w:val="clear" w:color="auto" w:fill="EAF1DD" w:themeFill="accent3" w:themeFillTint="33"/>
          </w:tcPr>
          <w:p w:rsidR="00641BD8" w:rsidRPr="00C77AEF" w:rsidRDefault="00641BD8" w:rsidP="00167A7A">
            <w:pPr>
              <w:pStyle w:val="NoSpacing"/>
              <w:rPr>
                <w:rFonts w:ascii="Arial" w:hAnsi="Arial" w:cs="Arial"/>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EAF1DD" w:themeFill="accent3" w:themeFillTint="33"/>
          </w:tcPr>
          <w:p w:rsidR="00641BD8" w:rsidRPr="00C77AEF" w:rsidRDefault="00641BD8" w:rsidP="00984F92">
            <w:pPr>
              <w:pStyle w:val="NoSpacing"/>
              <w:jc w:val="right"/>
              <w:rPr>
                <w:rFonts w:ascii="Arial" w:hAnsi="Arial" w:cs="Arial"/>
                <w:b/>
                <w:sz w:val="20"/>
                <w:szCs w:val="20"/>
              </w:rPr>
            </w:pPr>
            <w:r w:rsidRPr="00C77AEF">
              <w:rPr>
                <w:rFonts w:ascii="Arial" w:hAnsi="Arial" w:cs="Arial"/>
                <w:b/>
                <w:sz w:val="20"/>
                <w:szCs w:val="20"/>
              </w:rPr>
              <w:t>Volume (size)</w:t>
            </w:r>
          </w:p>
        </w:tc>
        <w:tc>
          <w:tcPr>
            <w:tcW w:w="2168" w:type="dxa"/>
            <w:gridSpan w:val="2"/>
            <w:shd w:val="clear" w:color="auto" w:fill="EAF1DD" w:themeFill="accent3" w:themeFillTint="33"/>
          </w:tcPr>
          <w:p w:rsidR="00641BD8" w:rsidRPr="00AC6AC2" w:rsidRDefault="00D52D29" w:rsidP="00AC6AC2">
            <w:pPr>
              <w:pStyle w:val="NoSpacing"/>
              <w:rPr>
                <w:rFonts w:ascii="Arial" w:hAnsi="Arial" w:cs="Arial"/>
                <w:sz w:val="20"/>
                <w:szCs w:val="20"/>
              </w:rPr>
            </w:pPr>
            <w:r w:rsidRPr="00AC6AC2">
              <w:rPr>
                <w:rFonts w:ascii="Arial" w:hAnsi="Arial" w:cs="Arial"/>
                <w:sz w:val="20"/>
                <w:szCs w:val="20"/>
              </w:rPr>
              <w:t xml:space="preserve">Core data set as large as </w:t>
            </w:r>
            <w:r w:rsidR="00866EB4">
              <w:rPr>
                <w:rFonts w:ascii="Arial" w:hAnsi="Arial" w:cs="Arial"/>
                <w:sz w:val="20"/>
                <w:szCs w:val="20"/>
              </w:rPr>
              <w:t xml:space="preserve">10 TB, with federated datasets as large as 100TB </w:t>
            </w:r>
          </w:p>
        </w:tc>
        <w:tc>
          <w:tcPr>
            <w:tcW w:w="2897" w:type="dxa"/>
            <w:shd w:val="clear" w:color="auto" w:fill="EAF1DD" w:themeFill="accent3"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41BD8" w:rsidRDefault="00641BD8" w:rsidP="00984F92">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641BD8" w:rsidRPr="00C77AEF" w:rsidRDefault="00641BD8">
            <w:pPr>
              <w:pStyle w:val="NoSpacing"/>
              <w:jc w:val="right"/>
              <w:rPr>
                <w:rFonts w:ascii="Arial" w:hAnsi="Arial" w:cs="Arial"/>
                <w:b/>
                <w:sz w:val="20"/>
                <w:szCs w:val="20"/>
              </w:rPr>
            </w:pPr>
            <w:r>
              <w:rPr>
                <w:rFonts w:ascii="Arial" w:hAnsi="Arial" w:cs="Arial"/>
                <w:b/>
                <w:sz w:val="20"/>
                <w:szCs w:val="20"/>
              </w:rPr>
              <w:t>(e.g. real time)</w:t>
            </w:r>
          </w:p>
        </w:tc>
        <w:tc>
          <w:tcPr>
            <w:tcW w:w="2168" w:type="dxa"/>
            <w:gridSpan w:val="2"/>
            <w:tcBorders>
              <w:bottom w:val="single" w:sz="4" w:space="0" w:color="auto"/>
            </w:tcBorders>
            <w:shd w:val="clear" w:color="auto" w:fill="EAF1DD" w:themeFill="accent3" w:themeFillTint="33"/>
          </w:tcPr>
          <w:p w:rsidR="00641BD8" w:rsidRPr="00AC6AC2" w:rsidRDefault="00866EB4" w:rsidP="00AC6AC2">
            <w:pPr>
              <w:pStyle w:val="NoSpacing"/>
              <w:rPr>
                <w:rFonts w:ascii="Arial" w:hAnsi="Arial" w:cs="Arial"/>
                <w:sz w:val="20"/>
                <w:szCs w:val="20"/>
              </w:rPr>
            </w:pPr>
            <w:r>
              <w:rPr>
                <w:rFonts w:ascii="Arial" w:hAnsi="Arial" w:cs="Arial"/>
                <w:sz w:val="20"/>
                <w:szCs w:val="20"/>
              </w:rPr>
              <w:t>No special real-time requirements</w:t>
            </w:r>
          </w:p>
        </w:tc>
        <w:tc>
          <w:tcPr>
            <w:tcW w:w="2897" w:type="dxa"/>
            <w:tcBorders>
              <w:bottom w:val="single" w:sz="4" w:space="0" w:color="auto"/>
            </w:tcBorders>
            <w:shd w:val="clear" w:color="auto" w:fill="EAF1DD" w:themeFill="accent3"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41BD8" w:rsidRDefault="00641BD8" w:rsidP="00984F92">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641BD8" w:rsidRPr="00C77AEF" w:rsidRDefault="00641BD8" w:rsidP="00984F92">
            <w:pPr>
              <w:pStyle w:val="NoSpacing"/>
              <w:jc w:val="right"/>
              <w:rPr>
                <w:rFonts w:ascii="Arial" w:hAnsi="Arial" w:cs="Arial"/>
                <w:b/>
                <w:sz w:val="20"/>
                <w:szCs w:val="20"/>
              </w:rPr>
            </w:pPr>
            <w:r>
              <w:rPr>
                <w:rFonts w:ascii="Arial" w:hAnsi="Arial" w:cs="Arial"/>
                <w:b/>
                <w:sz w:val="20"/>
                <w:szCs w:val="20"/>
              </w:rPr>
              <w:t>(multiple datasets, mashup</w:t>
            </w:r>
            <w:r w:rsidR="00B349C4">
              <w:rPr>
                <w:rFonts w:ascii="Arial" w:hAnsi="Arial" w:cs="Arial"/>
                <w:b/>
                <w:sz w:val="20"/>
                <w:szCs w:val="20"/>
              </w:rPr>
              <w:t>, how various</w:t>
            </w:r>
            <w:r>
              <w:rPr>
                <w:rFonts w:ascii="Arial" w:hAnsi="Arial" w:cs="Arial"/>
                <w:b/>
                <w:sz w:val="20"/>
                <w:szCs w:val="20"/>
              </w:rPr>
              <w:t>)</w:t>
            </w:r>
          </w:p>
        </w:tc>
        <w:tc>
          <w:tcPr>
            <w:tcW w:w="2168" w:type="dxa"/>
            <w:gridSpan w:val="2"/>
            <w:tcBorders>
              <w:bottom w:val="single" w:sz="4" w:space="0" w:color="auto"/>
            </w:tcBorders>
            <w:shd w:val="clear" w:color="auto" w:fill="EAF1DD" w:themeFill="accent3" w:themeFillTint="33"/>
          </w:tcPr>
          <w:p w:rsidR="00641BD8" w:rsidRPr="00C77AEF" w:rsidRDefault="00866EB4" w:rsidP="00AC6AC2">
            <w:pPr>
              <w:pStyle w:val="NoSpacing"/>
              <w:rPr>
                <w:rFonts w:ascii="Arial" w:hAnsi="Arial" w:cs="Arial"/>
                <w:b/>
                <w:sz w:val="20"/>
                <w:szCs w:val="20"/>
              </w:rPr>
            </w:pPr>
            <w:r>
              <w:rPr>
                <w:rFonts w:ascii="Arial" w:hAnsi="Arial" w:cs="Arial"/>
                <w:sz w:val="20"/>
                <w:szCs w:val="20"/>
              </w:rPr>
              <w:t xml:space="preserve">Traditional database data as well as analytics for searching of Base64-CDX chemistry, </w:t>
            </w:r>
            <w:r w:rsidR="003940D0">
              <w:rPr>
                <w:rFonts w:ascii="Arial" w:hAnsi="Arial" w:cs="Arial"/>
                <w:sz w:val="20"/>
                <w:szCs w:val="20"/>
              </w:rPr>
              <w:t xml:space="preserve">Genomic data (including biomarker signatures), and </w:t>
            </w:r>
            <w:r>
              <w:rPr>
                <w:rFonts w:ascii="Arial" w:hAnsi="Arial" w:cs="Arial"/>
                <w:sz w:val="20"/>
                <w:szCs w:val="20"/>
              </w:rPr>
              <w:t xml:space="preserve">PAIS (Pathology Imaging) </w:t>
            </w:r>
          </w:p>
        </w:tc>
        <w:tc>
          <w:tcPr>
            <w:tcW w:w="2897" w:type="dxa"/>
            <w:tcBorders>
              <w:bottom w:val="single" w:sz="4" w:space="0" w:color="auto"/>
            </w:tcBorders>
            <w:shd w:val="clear" w:color="auto" w:fill="EAF1DD" w:themeFill="accent3"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641BD8" w:rsidRPr="00C77AEF" w:rsidRDefault="00641BD8" w:rsidP="00055D84">
            <w:pPr>
              <w:pStyle w:val="NoSpacing"/>
              <w:jc w:val="right"/>
              <w:rPr>
                <w:rFonts w:ascii="Arial" w:hAnsi="Arial" w:cs="Arial"/>
                <w:b/>
                <w:sz w:val="20"/>
                <w:szCs w:val="20"/>
              </w:rPr>
            </w:pPr>
            <w:r>
              <w:rPr>
                <w:rFonts w:ascii="Arial" w:hAnsi="Arial" w:cs="Arial"/>
                <w:b/>
                <w:sz w:val="20"/>
                <w:szCs w:val="20"/>
              </w:rPr>
              <w:t>Variability (rate of change)</w:t>
            </w:r>
          </w:p>
        </w:tc>
        <w:tc>
          <w:tcPr>
            <w:tcW w:w="2168" w:type="dxa"/>
            <w:gridSpan w:val="2"/>
            <w:tcBorders>
              <w:bottom w:val="single" w:sz="4" w:space="0" w:color="auto"/>
            </w:tcBorders>
            <w:shd w:val="clear" w:color="auto" w:fill="EAF1DD" w:themeFill="accent3" w:themeFillTint="33"/>
          </w:tcPr>
          <w:p w:rsidR="00641BD8" w:rsidRPr="00AC6AC2" w:rsidRDefault="003940D0" w:rsidP="00AC6AC2">
            <w:pPr>
              <w:pStyle w:val="NoSpacing"/>
              <w:rPr>
                <w:rFonts w:ascii="Arial" w:hAnsi="Arial" w:cs="Arial"/>
                <w:sz w:val="20"/>
                <w:szCs w:val="20"/>
              </w:rPr>
            </w:pPr>
            <w:r>
              <w:rPr>
                <w:rFonts w:ascii="Arial" w:hAnsi="Arial" w:cs="Arial"/>
                <w:sz w:val="20"/>
                <w:szCs w:val="20"/>
              </w:rPr>
              <w:t>No special requirements</w:t>
            </w:r>
          </w:p>
        </w:tc>
        <w:tc>
          <w:tcPr>
            <w:tcW w:w="2897" w:type="dxa"/>
            <w:tcBorders>
              <w:bottom w:val="single" w:sz="4" w:space="0" w:color="auto"/>
            </w:tcBorders>
            <w:shd w:val="clear" w:color="auto" w:fill="EAF1DD" w:themeFill="accent3"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val="restart"/>
          </w:tcPr>
          <w:p w:rsidR="00641BD8" w:rsidRDefault="00641BD8" w:rsidP="00167A7A">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641BD8" w:rsidRDefault="00641BD8" w:rsidP="00167A7A">
            <w:pPr>
              <w:pStyle w:val="NoSpacing"/>
              <w:jc w:val="right"/>
              <w:rPr>
                <w:rFonts w:ascii="Arial" w:hAnsi="Arial" w:cs="Arial"/>
                <w:b/>
                <w:sz w:val="20"/>
                <w:szCs w:val="20"/>
              </w:rPr>
            </w:pPr>
            <w:r>
              <w:rPr>
                <w:rFonts w:ascii="Arial" w:hAnsi="Arial" w:cs="Arial"/>
                <w:b/>
                <w:sz w:val="20"/>
                <w:szCs w:val="20"/>
              </w:rPr>
              <w:t>analysis,</w:t>
            </w:r>
          </w:p>
          <w:p w:rsidR="00641BD8" w:rsidRPr="00C77AEF" w:rsidRDefault="00641BD8" w:rsidP="00167A7A">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641BD8" w:rsidRPr="00C77AEF" w:rsidRDefault="00641BD8" w:rsidP="00055D84">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2168" w:type="dxa"/>
            <w:gridSpan w:val="2"/>
            <w:shd w:val="clear" w:color="auto" w:fill="F2DBDB" w:themeFill="accent2" w:themeFillTint="33"/>
          </w:tcPr>
          <w:p w:rsidR="00641BD8" w:rsidRPr="00AC6AC2" w:rsidRDefault="00BA0AB2" w:rsidP="00AC6AC2">
            <w:pPr>
              <w:pStyle w:val="NoSpacing"/>
              <w:rPr>
                <w:rFonts w:ascii="Arial" w:hAnsi="Arial" w:cs="Arial"/>
                <w:sz w:val="20"/>
                <w:szCs w:val="20"/>
              </w:rPr>
            </w:pPr>
            <w:r>
              <w:rPr>
                <w:rFonts w:ascii="Arial" w:hAnsi="Arial" w:cs="Arial"/>
                <w:sz w:val="20"/>
                <w:szCs w:val="20"/>
              </w:rPr>
              <w:t>Strict control of core data for regulatory compliance reasons.  Federated data sources have variable veracity (from internal controlled data to open source data)</w:t>
            </w:r>
          </w:p>
        </w:tc>
        <w:tc>
          <w:tcPr>
            <w:tcW w:w="2897" w:type="dxa"/>
            <w:shd w:val="clear" w:color="auto" w:fill="F2DBDB" w:themeFill="accent2"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Visualization</w:t>
            </w:r>
          </w:p>
        </w:tc>
        <w:tc>
          <w:tcPr>
            <w:tcW w:w="2168" w:type="dxa"/>
            <w:gridSpan w:val="2"/>
            <w:shd w:val="clear" w:color="auto" w:fill="F2DBDB" w:themeFill="accent2" w:themeFillTint="33"/>
          </w:tcPr>
          <w:p w:rsidR="00641BD8" w:rsidRPr="00AC6AC2" w:rsidRDefault="00BA0AB2" w:rsidP="00AC6AC2">
            <w:pPr>
              <w:pStyle w:val="NoSpacing"/>
              <w:rPr>
                <w:rFonts w:ascii="Arial" w:hAnsi="Arial" w:cs="Arial"/>
                <w:sz w:val="20"/>
                <w:szCs w:val="20"/>
              </w:rPr>
            </w:pPr>
            <w:r>
              <w:rPr>
                <w:rFonts w:ascii="Arial" w:hAnsi="Arial" w:cs="Arial"/>
                <w:sz w:val="20"/>
                <w:szCs w:val="20"/>
              </w:rPr>
              <w:t xml:space="preserve">Representation within an application as well as </w:t>
            </w:r>
            <w:r w:rsidR="003940D0">
              <w:rPr>
                <w:rFonts w:ascii="Arial" w:hAnsi="Arial" w:cs="Arial"/>
                <w:sz w:val="20"/>
                <w:szCs w:val="20"/>
              </w:rPr>
              <w:t xml:space="preserve">3-D </w:t>
            </w:r>
            <w:r>
              <w:rPr>
                <w:rFonts w:ascii="Arial" w:hAnsi="Arial" w:cs="Arial"/>
                <w:sz w:val="20"/>
                <w:szCs w:val="20"/>
              </w:rPr>
              <w:t>molecular model viewing</w:t>
            </w:r>
            <w:r w:rsidR="003940D0">
              <w:rPr>
                <w:rFonts w:ascii="Arial" w:hAnsi="Arial" w:cs="Arial"/>
                <w:sz w:val="20"/>
                <w:szCs w:val="20"/>
              </w:rPr>
              <w:t xml:space="preserve"> or chemical editing</w:t>
            </w:r>
            <w:r>
              <w:rPr>
                <w:rFonts w:ascii="Arial" w:hAnsi="Arial" w:cs="Arial"/>
                <w:sz w:val="20"/>
                <w:szCs w:val="20"/>
              </w:rPr>
              <w:t>, graphs/histograms of assay data, viewing of cellular images with displayed GIS metadata.</w:t>
            </w:r>
          </w:p>
        </w:tc>
        <w:tc>
          <w:tcPr>
            <w:tcW w:w="2897" w:type="dxa"/>
            <w:shd w:val="clear" w:color="auto" w:fill="F2DBDB" w:themeFill="accent2"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Data Quality</w:t>
            </w:r>
          </w:p>
        </w:tc>
        <w:tc>
          <w:tcPr>
            <w:tcW w:w="2168" w:type="dxa"/>
            <w:gridSpan w:val="2"/>
            <w:shd w:val="clear" w:color="auto" w:fill="F2DBDB" w:themeFill="accent2" w:themeFillTint="33"/>
          </w:tcPr>
          <w:p w:rsidR="00641BD8" w:rsidRPr="00AC6AC2" w:rsidRDefault="00BA0AB2" w:rsidP="00AC6AC2">
            <w:pPr>
              <w:pStyle w:val="NoSpacing"/>
              <w:rPr>
                <w:rFonts w:ascii="Arial" w:hAnsi="Arial" w:cs="Arial"/>
                <w:sz w:val="20"/>
                <w:szCs w:val="20"/>
              </w:rPr>
            </w:pPr>
            <w:r>
              <w:rPr>
                <w:rFonts w:ascii="Arial" w:hAnsi="Arial" w:cs="Arial"/>
                <w:sz w:val="20"/>
                <w:szCs w:val="20"/>
              </w:rPr>
              <w:t xml:space="preserve">The purpose of the system is to provide workflows for the </w:t>
            </w:r>
            <w:proofErr w:type="spellStart"/>
            <w:r>
              <w:rPr>
                <w:rFonts w:ascii="Arial" w:hAnsi="Arial" w:cs="Arial"/>
                <w:sz w:val="20"/>
                <w:szCs w:val="20"/>
              </w:rPr>
              <w:t>curation</w:t>
            </w:r>
            <w:proofErr w:type="spellEnd"/>
            <w:r>
              <w:rPr>
                <w:rFonts w:ascii="Arial" w:hAnsi="Arial" w:cs="Arial"/>
                <w:sz w:val="20"/>
                <w:szCs w:val="20"/>
              </w:rPr>
              <w:t xml:space="preserve"> of </w:t>
            </w:r>
            <w:proofErr w:type="spellStart"/>
            <w:r>
              <w:rPr>
                <w:rFonts w:ascii="Arial" w:hAnsi="Arial" w:cs="Arial"/>
                <w:sz w:val="20"/>
                <w:szCs w:val="20"/>
              </w:rPr>
              <w:t>pharma</w:t>
            </w:r>
            <w:proofErr w:type="spellEnd"/>
            <w:r>
              <w:rPr>
                <w:rFonts w:ascii="Arial" w:hAnsi="Arial" w:cs="Arial"/>
                <w:sz w:val="20"/>
                <w:szCs w:val="20"/>
              </w:rPr>
              <w:t xml:space="preserve"> and life sciences data.</w:t>
            </w:r>
          </w:p>
        </w:tc>
        <w:tc>
          <w:tcPr>
            <w:tcW w:w="2897" w:type="dxa"/>
            <w:shd w:val="clear" w:color="auto" w:fill="F2DBDB" w:themeFill="accent2"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641BD8" w:rsidRDefault="00641BD8" w:rsidP="00167A7A">
            <w:pPr>
              <w:pStyle w:val="NoSpacing"/>
              <w:jc w:val="right"/>
              <w:rPr>
                <w:rFonts w:ascii="Arial" w:hAnsi="Arial" w:cs="Arial"/>
                <w:b/>
                <w:sz w:val="20"/>
                <w:szCs w:val="20"/>
              </w:rPr>
            </w:pPr>
            <w:r>
              <w:rPr>
                <w:rFonts w:ascii="Arial" w:hAnsi="Arial" w:cs="Arial"/>
                <w:b/>
                <w:sz w:val="20"/>
                <w:szCs w:val="20"/>
              </w:rPr>
              <w:t>Data Types</w:t>
            </w:r>
          </w:p>
        </w:tc>
        <w:tc>
          <w:tcPr>
            <w:tcW w:w="2168" w:type="dxa"/>
            <w:gridSpan w:val="2"/>
            <w:shd w:val="clear" w:color="auto" w:fill="F2DBDB" w:themeFill="accent2" w:themeFillTint="33"/>
          </w:tcPr>
          <w:p w:rsidR="00641BD8" w:rsidRPr="00AC6AC2" w:rsidRDefault="00BA0AB2" w:rsidP="00AC6AC2">
            <w:pPr>
              <w:pStyle w:val="NoSpacing"/>
              <w:rPr>
                <w:rFonts w:ascii="Arial" w:hAnsi="Arial" w:cs="Arial"/>
                <w:sz w:val="20"/>
                <w:szCs w:val="20"/>
              </w:rPr>
            </w:pPr>
            <w:r>
              <w:rPr>
                <w:rFonts w:ascii="Arial" w:hAnsi="Arial" w:cs="Arial"/>
                <w:sz w:val="20"/>
                <w:szCs w:val="20"/>
              </w:rPr>
              <w:t xml:space="preserve">Base64-CDX chemical formulas, Genome sequences (complete and biomarker), </w:t>
            </w:r>
            <w:r w:rsidR="007732B9">
              <w:rPr>
                <w:rFonts w:ascii="Arial" w:hAnsi="Arial" w:cs="Arial"/>
                <w:sz w:val="20"/>
                <w:szCs w:val="20"/>
              </w:rPr>
              <w:t>TCGA/PAIS Cancer Genomic Sample sets</w:t>
            </w:r>
          </w:p>
        </w:tc>
        <w:tc>
          <w:tcPr>
            <w:tcW w:w="2897" w:type="dxa"/>
            <w:shd w:val="clear" w:color="auto" w:fill="F2DBDB" w:themeFill="accent2" w:themeFillTint="33"/>
          </w:tcPr>
          <w:p w:rsidR="00641BD8" w:rsidRPr="00C77AEF" w:rsidRDefault="00641BD8" w:rsidP="00167A7A">
            <w:pPr>
              <w:pStyle w:val="NoSpacing"/>
              <w:jc w:val="right"/>
              <w:rPr>
                <w:rFonts w:ascii="Arial" w:hAnsi="Arial" w:cs="Arial"/>
                <w:b/>
                <w:sz w:val="20"/>
                <w:szCs w:val="20"/>
              </w:rPr>
            </w:pPr>
          </w:p>
        </w:tc>
      </w:tr>
      <w:tr w:rsidR="00641BD8" w:rsidRPr="00C77AEF" w:rsidTr="009C737E">
        <w:trPr>
          <w:trHeight w:val="267"/>
        </w:trPr>
        <w:tc>
          <w:tcPr>
            <w:tcW w:w="2028" w:type="dxa"/>
            <w:vMerge/>
          </w:tcPr>
          <w:p w:rsidR="00641BD8" w:rsidRPr="00C77AEF" w:rsidRDefault="00641BD8" w:rsidP="00167A7A">
            <w:pPr>
              <w:pStyle w:val="NoSpacing"/>
              <w:jc w:val="right"/>
              <w:rPr>
                <w:rFonts w:ascii="Arial" w:hAnsi="Arial" w:cs="Arial"/>
                <w:b/>
                <w:sz w:val="20"/>
                <w:szCs w:val="20"/>
              </w:rPr>
            </w:pPr>
          </w:p>
        </w:tc>
        <w:tc>
          <w:tcPr>
            <w:tcW w:w="2483" w:type="dxa"/>
            <w:gridSpan w:val="2"/>
            <w:shd w:val="clear" w:color="auto" w:fill="F2DBDB" w:themeFill="accent2" w:themeFillTint="33"/>
          </w:tcPr>
          <w:p w:rsidR="00641BD8" w:rsidRPr="00C77AEF" w:rsidRDefault="00641BD8" w:rsidP="00167A7A">
            <w:pPr>
              <w:pStyle w:val="NoSpacing"/>
              <w:jc w:val="right"/>
              <w:rPr>
                <w:rFonts w:ascii="Arial" w:hAnsi="Arial" w:cs="Arial"/>
                <w:b/>
                <w:sz w:val="20"/>
                <w:szCs w:val="20"/>
              </w:rPr>
            </w:pPr>
            <w:r>
              <w:rPr>
                <w:rFonts w:ascii="Arial" w:hAnsi="Arial" w:cs="Arial"/>
                <w:b/>
                <w:sz w:val="20"/>
                <w:szCs w:val="20"/>
              </w:rPr>
              <w:t>Data Analytics</w:t>
            </w:r>
          </w:p>
        </w:tc>
        <w:tc>
          <w:tcPr>
            <w:tcW w:w="2168" w:type="dxa"/>
            <w:gridSpan w:val="2"/>
            <w:shd w:val="clear" w:color="auto" w:fill="F2DBDB" w:themeFill="accent2" w:themeFillTint="33"/>
          </w:tcPr>
          <w:p w:rsidR="00641BD8" w:rsidRPr="00AC6AC2" w:rsidRDefault="007732B9" w:rsidP="00AC6AC2">
            <w:pPr>
              <w:pStyle w:val="NoSpacing"/>
              <w:rPr>
                <w:rFonts w:ascii="Arial" w:hAnsi="Arial" w:cs="Arial"/>
                <w:sz w:val="20"/>
                <w:szCs w:val="20"/>
              </w:rPr>
            </w:pPr>
            <w:r>
              <w:rPr>
                <w:rFonts w:ascii="Arial" w:hAnsi="Arial" w:cs="Arial"/>
                <w:sz w:val="20"/>
                <w:szCs w:val="20"/>
              </w:rPr>
              <w:t>Chemical search analytics (find a chemical that is like another chemical), Genome matching</w:t>
            </w:r>
          </w:p>
        </w:tc>
        <w:tc>
          <w:tcPr>
            <w:tcW w:w="2897" w:type="dxa"/>
            <w:shd w:val="clear" w:color="auto" w:fill="F2DBDB" w:themeFill="accent2" w:themeFillTint="33"/>
          </w:tcPr>
          <w:p w:rsidR="00641BD8" w:rsidRPr="00C77AEF" w:rsidRDefault="00641BD8" w:rsidP="00167A7A">
            <w:pPr>
              <w:pStyle w:val="NoSpacing"/>
              <w:jc w:val="right"/>
              <w:rPr>
                <w:rFonts w:ascii="Arial" w:hAnsi="Arial" w:cs="Arial"/>
                <w:b/>
                <w:sz w:val="20"/>
                <w:szCs w:val="20"/>
              </w:rPr>
            </w:pPr>
          </w:p>
        </w:tc>
      </w:tr>
      <w:tr w:rsidR="00641BD8" w:rsidRPr="00C77AEF" w:rsidTr="00514259">
        <w:tc>
          <w:tcPr>
            <w:tcW w:w="2448" w:type="dxa"/>
            <w:gridSpan w:val="2"/>
          </w:tcPr>
          <w:p w:rsidR="00641BD8" w:rsidRPr="00C77AEF" w:rsidRDefault="00641BD8" w:rsidP="00167A7A">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4231" w:type="dxa"/>
            <w:gridSpan w:val="3"/>
          </w:tcPr>
          <w:p w:rsidR="003940D0" w:rsidRPr="00C77AEF" w:rsidRDefault="000C21AB" w:rsidP="00167A7A">
            <w:pPr>
              <w:pStyle w:val="NoSpacing"/>
              <w:rPr>
                <w:rFonts w:ascii="Arial" w:hAnsi="Arial" w:cs="Arial"/>
                <w:sz w:val="20"/>
                <w:szCs w:val="20"/>
              </w:rPr>
            </w:pPr>
            <w:r>
              <w:rPr>
                <w:rFonts w:ascii="Arial" w:hAnsi="Arial" w:cs="Arial"/>
                <w:sz w:val="20"/>
                <w:szCs w:val="20"/>
              </w:rPr>
              <w:t xml:space="preserve">The wide open and extensible nature of data including complex binary data with specific database indexing technologies.  </w:t>
            </w:r>
          </w:p>
          <w:p w:rsidR="00641BD8" w:rsidRPr="00C77AEF" w:rsidRDefault="00641BD8" w:rsidP="00167A7A">
            <w:pPr>
              <w:pStyle w:val="NoSpacing"/>
              <w:rPr>
                <w:rFonts w:ascii="Arial" w:hAnsi="Arial" w:cs="Arial"/>
                <w:sz w:val="20"/>
                <w:szCs w:val="20"/>
              </w:rPr>
            </w:pPr>
          </w:p>
          <w:p w:rsidR="00641BD8" w:rsidRPr="00C77AEF" w:rsidRDefault="00641BD8" w:rsidP="00167A7A">
            <w:pPr>
              <w:pStyle w:val="NoSpacing"/>
              <w:rPr>
                <w:rFonts w:ascii="Arial" w:hAnsi="Arial" w:cs="Arial"/>
                <w:sz w:val="20"/>
                <w:szCs w:val="20"/>
              </w:rPr>
            </w:pPr>
          </w:p>
          <w:p w:rsidR="00641BD8" w:rsidRPr="00C77AEF" w:rsidRDefault="00641BD8" w:rsidP="00167A7A">
            <w:pPr>
              <w:pStyle w:val="NoSpacing"/>
              <w:rPr>
                <w:rFonts w:ascii="Arial" w:hAnsi="Arial" w:cs="Arial"/>
                <w:sz w:val="20"/>
                <w:szCs w:val="20"/>
              </w:rPr>
            </w:pPr>
          </w:p>
        </w:tc>
        <w:tc>
          <w:tcPr>
            <w:tcW w:w="2897" w:type="dxa"/>
          </w:tcPr>
          <w:p w:rsidR="00641BD8" w:rsidRPr="00C77AEF" w:rsidRDefault="00641BD8" w:rsidP="00167A7A">
            <w:pPr>
              <w:pStyle w:val="NoSpacing"/>
              <w:rPr>
                <w:rFonts w:ascii="Arial" w:hAnsi="Arial" w:cs="Arial"/>
                <w:sz w:val="20"/>
                <w:szCs w:val="20"/>
              </w:rPr>
            </w:pPr>
          </w:p>
        </w:tc>
      </w:tr>
      <w:tr w:rsidR="00641BD8" w:rsidRPr="00C77AEF" w:rsidTr="00AC6AC2">
        <w:trPr>
          <w:trHeight w:val="737"/>
        </w:trPr>
        <w:tc>
          <w:tcPr>
            <w:tcW w:w="2448" w:type="dxa"/>
            <w:gridSpan w:val="2"/>
          </w:tcPr>
          <w:p w:rsidR="00641BD8" w:rsidRPr="00C77AEF" w:rsidRDefault="00641BD8" w:rsidP="00984F92">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4231" w:type="dxa"/>
            <w:gridSpan w:val="3"/>
          </w:tcPr>
          <w:p w:rsidR="00641BD8" w:rsidRPr="00C77AEF" w:rsidRDefault="00641BD8" w:rsidP="00984F92">
            <w:pPr>
              <w:pStyle w:val="NoSpacing"/>
              <w:rPr>
                <w:rFonts w:ascii="Arial" w:hAnsi="Arial" w:cs="Arial"/>
                <w:sz w:val="20"/>
                <w:szCs w:val="20"/>
              </w:rPr>
            </w:pPr>
          </w:p>
          <w:p w:rsidR="00641BD8" w:rsidRPr="00C77AEF" w:rsidRDefault="00641BD8" w:rsidP="00984F92">
            <w:pPr>
              <w:pStyle w:val="NoSpacing"/>
              <w:rPr>
                <w:rFonts w:ascii="Arial" w:hAnsi="Arial" w:cs="Arial"/>
                <w:sz w:val="20"/>
                <w:szCs w:val="20"/>
              </w:rPr>
            </w:pPr>
          </w:p>
          <w:p w:rsidR="00641BD8" w:rsidRPr="00C77AEF" w:rsidRDefault="00641BD8" w:rsidP="00984F92">
            <w:pPr>
              <w:pStyle w:val="NoSpacing"/>
              <w:rPr>
                <w:rFonts w:ascii="Arial" w:hAnsi="Arial" w:cs="Arial"/>
                <w:sz w:val="20"/>
                <w:szCs w:val="20"/>
              </w:rPr>
            </w:pPr>
          </w:p>
        </w:tc>
        <w:tc>
          <w:tcPr>
            <w:tcW w:w="2897" w:type="dxa"/>
          </w:tcPr>
          <w:p w:rsidR="00641BD8" w:rsidRPr="00C77AEF" w:rsidRDefault="00641BD8" w:rsidP="00984F92">
            <w:pPr>
              <w:pStyle w:val="NoSpacing"/>
              <w:rPr>
                <w:rFonts w:ascii="Arial" w:hAnsi="Arial" w:cs="Arial"/>
                <w:sz w:val="20"/>
                <w:szCs w:val="20"/>
              </w:rPr>
            </w:pPr>
          </w:p>
        </w:tc>
      </w:tr>
      <w:tr w:rsidR="00514259" w:rsidRPr="00C77AEF" w:rsidTr="00514259">
        <w:trPr>
          <w:trHeight w:val="287"/>
        </w:trPr>
        <w:tc>
          <w:tcPr>
            <w:tcW w:w="2448" w:type="dxa"/>
            <w:gridSpan w:val="2"/>
          </w:tcPr>
          <w:p w:rsidR="00514259" w:rsidRPr="00C77AEF" w:rsidRDefault="00514259" w:rsidP="00514259">
            <w:pPr>
              <w:pStyle w:val="NoSpacing"/>
              <w:jc w:val="right"/>
              <w:rPr>
                <w:rFonts w:ascii="Arial" w:hAnsi="Arial" w:cs="Arial"/>
                <w:b/>
                <w:sz w:val="20"/>
                <w:szCs w:val="20"/>
              </w:rPr>
            </w:pPr>
            <w:r w:rsidRPr="00C77AEF">
              <w:rPr>
                <w:rFonts w:ascii="Arial" w:hAnsi="Arial" w:cs="Arial"/>
                <w:b/>
                <w:sz w:val="20"/>
                <w:szCs w:val="20"/>
              </w:rPr>
              <w:t>Security &amp; Privacy</w:t>
            </w:r>
          </w:p>
          <w:p w:rsidR="00514259" w:rsidRPr="00C77AEF" w:rsidRDefault="00514259" w:rsidP="00514259">
            <w:pPr>
              <w:pStyle w:val="NoSpacing"/>
              <w:jc w:val="right"/>
              <w:rPr>
                <w:rFonts w:ascii="Arial" w:hAnsi="Arial" w:cs="Arial"/>
                <w:b/>
                <w:sz w:val="20"/>
                <w:szCs w:val="20"/>
              </w:rPr>
            </w:pPr>
            <w:r w:rsidRPr="00C77AEF">
              <w:rPr>
                <w:rFonts w:ascii="Arial" w:hAnsi="Arial" w:cs="Arial"/>
                <w:b/>
                <w:sz w:val="20"/>
                <w:szCs w:val="20"/>
              </w:rPr>
              <w:t>Requirements</w:t>
            </w:r>
          </w:p>
        </w:tc>
        <w:tc>
          <w:tcPr>
            <w:tcW w:w="2716" w:type="dxa"/>
            <w:gridSpan w:val="2"/>
          </w:tcPr>
          <w:p w:rsidR="00514259" w:rsidRPr="00AC6AC2" w:rsidRDefault="00514259" w:rsidP="00514259">
            <w:pPr>
              <w:pStyle w:val="NoSpacing"/>
              <w:rPr>
                <w:rFonts w:ascii="Arial" w:hAnsi="Arial" w:cs="Arial"/>
                <w:b/>
                <w:sz w:val="20"/>
                <w:szCs w:val="20"/>
              </w:rPr>
            </w:pPr>
            <w:r w:rsidRPr="00AC6AC2">
              <w:rPr>
                <w:rFonts w:ascii="Arial" w:hAnsi="Arial" w:cs="Arial"/>
                <w:b/>
                <w:sz w:val="20"/>
                <w:szCs w:val="20"/>
              </w:rPr>
              <w:t>ITEM</w:t>
            </w:r>
          </w:p>
        </w:tc>
        <w:tc>
          <w:tcPr>
            <w:tcW w:w="1515" w:type="dxa"/>
          </w:tcPr>
          <w:p w:rsidR="00514259" w:rsidRPr="00AC6AC2" w:rsidRDefault="0066552A" w:rsidP="00514259">
            <w:pPr>
              <w:pStyle w:val="NoSpacing"/>
              <w:rPr>
                <w:rFonts w:ascii="Arial" w:hAnsi="Arial" w:cs="Arial"/>
                <w:b/>
                <w:sz w:val="20"/>
                <w:szCs w:val="20"/>
              </w:rPr>
            </w:pPr>
            <w:r>
              <w:rPr>
                <w:rFonts w:ascii="Arial" w:hAnsi="Arial" w:cs="Arial"/>
                <w:b/>
                <w:sz w:val="20"/>
                <w:szCs w:val="20"/>
              </w:rPr>
              <w:t>RESPONSE</w:t>
            </w:r>
          </w:p>
        </w:tc>
        <w:tc>
          <w:tcPr>
            <w:tcW w:w="2897" w:type="dxa"/>
          </w:tcPr>
          <w:p w:rsidR="00514259" w:rsidRPr="00AC6AC2" w:rsidRDefault="0066552A">
            <w:pPr>
              <w:pStyle w:val="NoSpacing"/>
              <w:rPr>
                <w:rFonts w:ascii="Arial" w:hAnsi="Arial" w:cs="Arial"/>
                <w:b/>
                <w:sz w:val="20"/>
                <w:szCs w:val="20"/>
              </w:rPr>
            </w:pPr>
            <w:r>
              <w:rPr>
                <w:rFonts w:ascii="Arial" w:hAnsi="Arial" w:cs="Arial"/>
                <w:b/>
                <w:sz w:val="20"/>
                <w:szCs w:val="20"/>
              </w:rPr>
              <w:t>CLARIFICATION</w:t>
            </w:r>
          </w:p>
        </w:tc>
      </w:tr>
      <w:tr w:rsidR="00514259" w:rsidRPr="00C77AEF" w:rsidTr="00514259">
        <w:trPr>
          <w:trHeight w:val="287"/>
        </w:trPr>
        <w:tc>
          <w:tcPr>
            <w:tcW w:w="2448" w:type="dxa"/>
            <w:gridSpan w:val="2"/>
            <w:vMerge w:val="restart"/>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Investigator</w:t>
            </w:r>
            <w:r w:rsidR="0066552A">
              <w:rPr>
                <w:rFonts w:ascii="Arial" w:hAnsi="Arial" w:cs="Arial"/>
                <w:sz w:val="20"/>
                <w:szCs w:val="20"/>
              </w:rPr>
              <w:t xml:space="preserve"> provenance</w:t>
            </w:r>
          </w:p>
        </w:tc>
        <w:tc>
          <w:tcPr>
            <w:tcW w:w="1515" w:type="dxa"/>
          </w:tcPr>
          <w:p w:rsidR="00514259" w:rsidRPr="00C77AEF" w:rsidRDefault="00613B6F" w:rsidP="00514259">
            <w:pPr>
              <w:pStyle w:val="NoSpacing"/>
              <w:rPr>
                <w:rFonts w:ascii="Arial" w:hAnsi="Arial" w:cs="Arial"/>
                <w:sz w:val="20"/>
                <w:szCs w:val="20"/>
              </w:rPr>
            </w:pPr>
            <w:r>
              <w:rPr>
                <w:rFonts w:ascii="Arial" w:hAnsi="Arial" w:cs="Arial"/>
                <w:sz w:val="20"/>
                <w:szCs w:val="20"/>
              </w:rPr>
              <w:t xml:space="preserve">A complete audit trail is maintained (including read-only access).  A complex ACL and workflow model is also maintained. </w:t>
            </w:r>
          </w:p>
        </w:tc>
        <w:tc>
          <w:tcPr>
            <w:tcW w:w="2897" w:type="dxa"/>
          </w:tcPr>
          <w:p w:rsidR="00514259" w:rsidRPr="00C77AEF" w:rsidRDefault="0066552A">
            <w:pPr>
              <w:pStyle w:val="NoSpacing"/>
              <w:rPr>
                <w:rFonts w:ascii="Arial" w:hAnsi="Arial" w:cs="Arial"/>
                <w:sz w:val="20"/>
                <w:szCs w:val="20"/>
              </w:rPr>
            </w:pPr>
            <w:r>
              <w:rPr>
                <w:rFonts w:ascii="Arial" w:hAnsi="Arial" w:cs="Arial"/>
                <w:sz w:val="20"/>
                <w:szCs w:val="20"/>
              </w:rPr>
              <w:t>Method used to associate researchers to digital artifacts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Sponsor disclosures</w:t>
            </w:r>
          </w:p>
        </w:tc>
        <w:tc>
          <w:tcPr>
            <w:tcW w:w="1515" w:type="dxa"/>
          </w:tcPr>
          <w:p w:rsidR="00514259" w:rsidRPr="00C77AEF" w:rsidRDefault="00613B6F">
            <w:pPr>
              <w:pStyle w:val="NoSpacing"/>
              <w:rPr>
                <w:rFonts w:ascii="Arial" w:hAnsi="Arial" w:cs="Arial"/>
                <w:sz w:val="20"/>
                <w:szCs w:val="20"/>
              </w:rPr>
            </w:pPr>
            <w:r>
              <w:rPr>
                <w:rFonts w:ascii="Arial" w:hAnsi="Arial" w:cs="Arial"/>
                <w:sz w:val="20"/>
                <w:szCs w:val="20"/>
              </w:rPr>
              <w:t>Tunable rules by Group Access (departmental, regulatory, administrative)</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 xml:space="preserve">Method used to associate researchers to digital artifacts; permissions for </w:t>
            </w:r>
            <w:proofErr w:type="spellStart"/>
            <w:r>
              <w:rPr>
                <w:rFonts w:ascii="Arial" w:hAnsi="Arial" w:cs="Arial"/>
                <w:sz w:val="20"/>
                <w:szCs w:val="20"/>
              </w:rPr>
              <w:t>redisclosure</w:t>
            </w:r>
            <w:proofErr w:type="spellEnd"/>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r>
              <w:rPr>
                <w:rFonts w:ascii="Arial" w:hAnsi="Arial" w:cs="Arial"/>
                <w:sz w:val="20"/>
                <w:szCs w:val="20"/>
              </w:rPr>
              <w:t>Investigator interests</w:t>
            </w:r>
          </w:p>
        </w:tc>
        <w:tc>
          <w:tcPr>
            <w:tcW w:w="1515" w:type="dxa"/>
          </w:tcPr>
          <w:p w:rsidR="00514259" w:rsidRPr="00C77AEF" w:rsidRDefault="00613B6F" w:rsidP="00514259">
            <w:pPr>
              <w:pStyle w:val="NoSpacing"/>
              <w:rPr>
                <w:rFonts w:ascii="Arial" w:hAnsi="Arial" w:cs="Arial"/>
                <w:sz w:val="20"/>
                <w:szCs w:val="20"/>
              </w:rPr>
            </w:pPr>
            <w:r>
              <w:rPr>
                <w:rFonts w:ascii="Arial" w:hAnsi="Arial" w:cs="Arial"/>
                <w:sz w:val="20"/>
                <w:szCs w:val="20"/>
              </w:rPr>
              <w:t xml:space="preserve">Application Virtualization for Contract Research Organizations (CRO) </w:t>
            </w:r>
          </w:p>
        </w:tc>
        <w:tc>
          <w:tcPr>
            <w:tcW w:w="2897" w:type="dxa"/>
          </w:tcPr>
          <w:p w:rsidR="00514259" w:rsidRPr="00C77AEF" w:rsidRDefault="00F0346F" w:rsidP="00514259">
            <w:pPr>
              <w:pStyle w:val="NoSpacing"/>
              <w:rPr>
                <w:rFonts w:ascii="Arial" w:hAnsi="Arial" w:cs="Arial"/>
                <w:sz w:val="20"/>
                <w:szCs w:val="20"/>
              </w:rPr>
            </w:pPr>
            <w:r>
              <w:rPr>
                <w:rFonts w:ascii="Arial" w:hAnsi="Arial" w:cs="Arial"/>
                <w:sz w:val="20"/>
                <w:szCs w:val="20"/>
              </w:rPr>
              <w:t>Investigators may be required to disclose potential conflicts of interest</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r>
              <w:rPr>
                <w:rFonts w:ascii="Arial" w:hAnsi="Arial" w:cs="Arial"/>
                <w:sz w:val="20"/>
                <w:szCs w:val="20"/>
              </w:rPr>
              <w:t>Institution where performed</w:t>
            </w:r>
          </w:p>
        </w:tc>
        <w:tc>
          <w:tcPr>
            <w:tcW w:w="1515" w:type="dxa"/>
          </w:tcPr>
          <w:p w:rsidR="00514259" w:rsidRPr="00C77AEF" w:rsidRDefault="00613B6F" w:rsidP="00514259">
            <w:pPr>
              <w:pStyle w:val="NoSpacing"/>
              <w:rPr>
                <w:rFonts w:ascii="Arial" w:hAnsi="Arial" w:cs="Arial"/>
                <w:sz w:val="20"/>
                <w:szCs w:val="20"/>
              </w:rPr>
            </w:pPr>
            <w:r>
              <w:rPr>
                <w:rFonts w:ascii="Arial" w:hAnsi="Arial" w:cs="Arial"/>
                <w:sz w:val="20"/>
                <w:szCs w:val="20"/>
              </w:rPr>
              <w:t>Internal controls strictly maintained to track at departmental and research group levels</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 xml:space="preserve">Method used to associate responsible institution to digital artifacts; </w:t>
            </w:r>
            <w:proofErr w:type="spellStart"/>
            <w:r>
              <w:rPr>
                <w:rFonts w:ascii="Arial" w:hAnsi="Arial" w:cs="Arial"/>
                <w:sz w:val="20"/>
                <w:szCs w:val="20"/>
              </w:rPr>
              <w:t>redisclosure</w:t>
            </w:r>
            <w:proofErr w:type="spellEnd"/>
            <w:r>
              <w:rPr>
                <w:rFonts w:ascii="Arial" w:hAnsi="Arial" w:cs="Arial"/>
                <w:sz w:val="20"/>
                <w:szCs w:val="20"/>
              </w:rPr>
              <w:t xml:space="preserve"> rules; point in time considerations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r>
              <w:rPr>
                <w:rFonts w:ascii="Arial" w:hAnsi="Arial" w:cs="Arial"/>
                <w:sz w:val="20"/>
                <w:szCs w:val="20"/>
              </w:rPr>
              <w:t>Investigator affiliations</w:t>
            </w:r>
          </w:p>
        </w:tc>
        <w:tc>
          <w:tcPr>
            <w:tcW w:w="1515" w:type="dxa"/>
          </w:tcPr>
          <w:p w:rsidR="00514259" w:rsidRPr="00C77AEF" w:rsidRDefault="00613B6F" w:rsidP="00514259">
            <w:pPr>
              <w:pStyle w:val="NoSpacing"/>
              <w:rPr>
                <w:rFonts w:ascii="Arial" w:hAnsi="Arial" w:cs="Arial"/>
                <w:sz w:val="20"/>
                <w:szCs w:val="20"/>
              </w:rPr>
            </w:pPr>
            <w:r>
              <w:rPr>
                <w:rFonts w:ascii="Arial" w:hAnsi="Arial" w:cs="Arial"/>
                <w:sz w:val="20"/>
                <w:szCs w:val="20"/>
              </w:rPr>
              <w:t>Not an issue since the data is all single owner</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 xml:space="preserve">Method for associating digital artifacts with investigator </w:t>
            </w:r>
            <w:r>
              <w:rPr>
                <w:rFonts w:ascii="Arial" w:hAnsi="Arial" w:cs="Arial"/>
                <w:sz w:val="20"/>
                <w:szCs w:val="20"/>
              </w:rPr>
              <w:lastRenderedPageBreak/>
              <w:t>affiliations; one to many; point in time</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Human Subject Data</w:t>
            </w:r>
          </w:p>
        </w:tc>
        <w:tc>
          <w:tcPr>
            <w:tcW w:w="1515" w:type="dxa"/>
          </w:tcPr>
          <w:p w:rsidR="00514259" w:rsidRPr="00C77AEF" w:rsidRDefault="00951066">
            <w:pPr>
              <w:pStyle w:val="NoSpacing"/>
              <w:rPr>
                <w:rFonts w:ascii="Arial" w:hAnsi="Arial" w:cs="Arial"/>
                <w:sz w:val="20"/>
                <w:szCs w:val="20"/>
              </w:rPr>
            </w:pPr>
            <w:r>
              <w:rPr>
                <w:rFonts w:ascii="Arial" w:hAnsi="Arial" w:cs="Arial"/>
                <w:sz w:val="20"/>
                <w:szCs w:val="20"/>
              </w:rPr>
              <w:t>Not in core product.  Limited HIPAA/HL7 data may be present when managing clinical trial data</w:t>
            </w:r>
          </w:p>
        </w:tc>
        <w:tc>
          <w:tcPr>
            <w:tcW w:w="2897" w:type="dxa"/>
          </w:tcPr>
          <w:p w:rsidR="00514259" w:rsidRPr="00C77AEF" w:rsidRDefault="0066552A">
            <w:pPr>
              <w:pStyle w:val="NoSpacing"/>
              <w:rPr>
                <w:rFonts w:ascii="Arial" w:hAnsi="Arial" w:cs="Arial"/>
                <w:sz w:val="20"/>
                <w:szCs w:val="20"/>
              </w:rPr>
            </w:pPr>
            <w:r>
              <w:rPr>
                <w:rFonts w:ascii="Arial" w:hAnsi="Arial" w:cs="Arial"/>
                <w:sz w:val="20"/>
                <w:szCs w:val="20"/>
              </w:rPr>
              <w:t>Yes/No</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IRB traceability</w:t>
            </w:r>
          </w:p>
        </w:tc>
        <w:tc>
          <w:tcPr>
            <w:tcW w:w="1515" w:type="dxa"/>
          </w:tcPr>
          <w:p w:rsidR="00514259" w:rsidRPr="00C77AEF" w:rsidRDefault="00951066" w:rsidP="00514259">
            <w:pPr>
              <w:pStyle w:val="NoSpacing"/>
              <w:rPr>
                <w:rFonts w:ascii="Arial" w:hAnsi="Arial" w:cs="Arial"/>
                <w:sz w:val="20"/>
                <w:szCs w:val="20"/>
              </w:rPr>
            </w:pPr>
            <w:r>
              <w:rPr>
                <w:rFonts w:ascii="Arial" w:hAnsi="Arial" w:cs="Arial"/>
                <w:sz w:val="20"/>
                <w:szCs w:val="20"/>
              </w:rPr>
              <w:t xml:space="preserve">FDA Title 21 regulations.  See </w:t>
            </w:r>
            <w:hyperlink r:id="rId6" w:history="1">
              <w:r w:rsidRPr="00E05519">
                <w:rPr>
                  <w:rStyle w:val="Hyperlink"/>
                  <w:rFonts w:ascii="Arial" w:hAnsi="Arial" w:cs="Arial"/>
                  <w:sz w:val="20"/>
                  <w:szCs w:val="20"/>
                </w:rPr>
                <w:t>http://en.wikipedia.org/wiki/Title_21_CFR_Part_11</w:t>
              </w:r>
            </w:hyperlink>
            <w:r>
              <w:rPr>
                <w:rFonts w:ascii="Arial" w:hAnsi="Arial" w:cs="Arial"/>
                <w:sz w:val="20"/>
                <w:szCs w:val="20"/>
              </w:rPr>
              <w:t xml:space="preserve"> </w:t>
            </w:r>
            <w:r w:rsidR="00E53323">
              <w:rPr>
                <w:rFonts w:ascii="Arial" w:hAnsi="Arial" w:cs="Arial"/>
                <w:sz w:val="20"/>
                <w:szCs w:val="20"/>
              </w:rPr>
              <w:t>, regulations also vary by region and country</w:t>
            </w:r>
          </w:p>
        </w:tc>
        <w:tc>
          <w:tcPr>
            <w:tcW w:w="2897" w:type="dxa"/>
          </w:tcPr>
          <w:p w:rsidR="00514259" w:rsidRPr="00C77AEF" w:rsidRDefault="00514259" w:rsidP="00514259">
            <w:pPr>
              <w:pStyle w:val="NoSpacing"/>
              <w:rPr>
                <w:rFonts w:ascii="Arial" w:hAnsi="Arial" w:cs="Arial"/>
                <w:sz w:val="20"/>
                <w:szCs w:val="20"/>
              </w:rPr>
            </w:pPr>
            <w:r>
              <w:rPr>
                <w:rFonts w:ascii="Arial" w:hAnsi="Arial" w:cs="Arial"/>
                <w:sz w:val="20"/>
                <w:szCs w:val="20"/>
              </w:rPr>
              <w:t>Institution-s</w:t>
            </w:r>
            <w:r w:rsidR="0066552A">
              <w:rPr>
                <w:rFonts w:ascii="Arial" w:hAnsi="Arial" w:cs="Arial"/>
                <w:sz w:val="20"/>
                <w:szCs w:val="20"/>
              </w:rPr>
              <w:t xml:space="preserve">pecific event(s), </w:t>
            </w:r>
            <w:r>
              <w:rPr>
                <w:rFonts w:ascii="Arial" w:hAnsi="Arial" w:cs="Arial"/>
                <w:sz w:val="20"/>
                <w:szCs w:val="20"/>
              </w:rPr>
              <w:t>digital</w:t>
            </w:r>
            <w:r w:rsidR="0066552A">
              <w:rPr>
                <w:rFonts w:ascii="Arial" w:hAnsi="Arial" w:cs="Arial"/>
                <w:sz w:val="20"/>
                <w:szCs w:val="20"/>
              </w:rPr>
              <w:t xml:space="preserve"> records</w:t>
            </w:r>
            <w:r>
              <w:rPr>
                <w:rFonts w:ascii="Arial" w:hAnsi="Arial" w:cs="Arial"/>
                <w:sz w:val="20"/>
                <w:szCs w:val="20"/>
              </w:rPr>
              <w:t>, US-specific regulation</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66552A">
            <w:pPr>
              <w:pStyle w:val="NoSpacing"/>
              <w:rPr>
                <w:rFonts w:ascii="Arial" w:hAnsi="Arial" w:cs="Arial"/>
                <w:sz w:val="20"/>
                <w:szCs w:val="20"/>
              </w:rPr>
            </w:pPr>
            <w:r>
              <w:rPr>
                <w:rFonts w:ascii="Arial" w:hAnsi="Arial" w:cs="Arial"/>
                <w:sz w:val="20"/>
                <w:szCs w:val="20"/>
              </w:rPr>
              <w:t>Data / analytics / meta-result p</w:t>
            </w:r>
            <w:r w:rsidR="00514259">
              <w:rPr>
                <w:rFonts w:ascii="Arial" w:hAnsi="Arial" w:cs="Arial"/>
                <w:sz w:val="20"/>
                <w:szCs w:val="20"/>
              </w:rPr>
              <w:t>ublication rights</w:t>
            </w:r>
          </w:p>
        </w:tc>
        <w:tc>
          <w:tcPr>
            <w:tcW w:w="1515" w:type="dxa"/>
          </w:tcPr>
          <w:p w:rsidR="00514259" w:rsidRPr="00C77AEF" w:rsidRDefault="00951066" w:rsidP="00514259">
            <w:pPr>
              <w:pStyle w:val="NoSpacing"/>
              <w:rPr>
                <w:rFonts w:ascii="Arial" w:hAnsi="Arial" w:cs="Arial"/>
                <w:sz w:val="20"/>
                <w:szCs w:val="20"/>
              </w:rPr>
            </w:pPr>
            <w:r>
              <w:rPr>
                <w:rFonts w:ascii="Arial" w:hAnsi="Arial" w:cs="Arial"/>
                <w:sz w:val="20"/>
                <w:szCs w:val="20"/>
              </w:rPr>
              <w:t>Results are typically corporate proprietary with highest levels of control of all data.</w:t>
            </w:r>
          </w:p>
        </w:tc>
        <w:tc>
          <w:tcPr>
            <w:tcW w:w="2897" w:type="dxa"/>
          </w:tcPr>
          <w:p w:rsidR="00514259" w:rsidRPr="00C77AEF" w:rsidRDefault="00514259" w:rsidP="00514259">
            <w:pPr>
              <w:pStyle w:val="NoSpacing"/>
              <w:rPr>
                <w:rFonts w:ascii="Arial" w:hAnsi="Arial" w:cs="Arial"/>
                <w:sz w:val="20"/>
                <w:szCs w:val="20"/>
              </w:rPr>
            </w:pPr>
            <w:r>
              <w:rPr>
                <w:rFonts w:ascii="Arial" w:hAnsi="Arial" w:cs="Arial"/>
                <w:sz w:val="20"/>
                <w:szCs w:val="20"/>
              </w:rPr>
              <w:t>Open publisher; traditional publisher; white paper; working paper</w:t>
            </w:r>
            <w:r w:rsidR="0066552A">
              <w:rPr>
                <w:rFonts w:ascii="Arial" w:hAnsi="Arial" w:cs="Arial"/>
                <w:sz w:val="20"/>
                <w:szCs w:val="20"/>
              </w:rPr>
              <w:t>; IP issues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r>
              <w:rPr>
                <w:rFonts w:ascii="Arial" w:hAnsi="Arial" w:cs="Arial"/>
                <w:sz w:val="20"/>
                <w:szCs w:val="20"/>
              </w:rPr>
              <w:t>Results repository</w:t>
            </w:r>
          </w:p>
        </w:tc>
        <w:tc>
          <w:tcPr>
            <w:tcW w:w="1515" w:type="dxa"/>
          </w:tcPr>
          <w:p w:rsidR="00514259" w:rsidRPr="00C77AEF" w:rsidRDefault="00951066">
            <w:pPr>
              <w:pStyle w:val="NoSpacing"/>
              <w:rPr>
                <w:rFonts w:ascii="Arial" w:hAnsi="Arial" w:cs="Arial"/>
                <w:sz w:val="20"/>
                <w:szCs w:val="20"/>
              </w:rPr>
            </w:pPr>
            <w:r>
              <w:rPr>
                <w:rFonts w:ascii="Arial" w:hAnsi="Arial" w:cs="Arial"/>
                <w:sz w:val="20"/>
                <w:szCs w:val="20"/>
              </w:rPr>
              <w:t xml:space="preserve">Results are immutable.  </w:t>
            </w:r>
            <w:proofErr w:type="spellStart"/>
            <w:r>
              <w:rPr>
                <w:rFonts w:ascii="Arial" w:hAnsi="Arial" w:cs="Arial"/>
                <w:sz w:val="20"/>
                <w:szCs w:val="20"/>
              </w:rPr>
              <w:t>Multiversioning</w:t>
            </w:r>
            <w:proofErr w:type="spellEnd"/>
            <w:r>
              <w:rPr>
                <w:rFonts w:ascii="Arial" w:hAnsi="Arial" w:cs="Arial"/>
                <w:sz w:val="20"/>
                <w:szCs w:val="20"/>
              </w:rPr>
              <w:t xml:space="preserve"> of datasets is maintained with flashback capability</w:t>
            </w:r>
          </w:p>
        </w:tc>
        <w:tc>
          <w:tcPr>
            <w:tcW w:w="2897" w:type="dxa"/>
          </w:tcPr>
          <w:p w:rsidR="00514259" w:rsidRDefault="0066552A" w:rsidP="00514259">
            <w:pPr>
              <w:pStyle w:val="NoSpacing"/>
              <w:rPr>
                <w:rFonts w:ascii="Arial" w:hAnsi="Arial" w:cs="Arial"/>
                <w:sz w:val="20"/>
                <w:szCs w:val="20"/>
              </w:rPr>
            </w:pPr>
            <w:r>
              <w:rPr>
                <w:rFonts w:ascii="Arial" w:hAnsi="Arial" w:cs="Arial"/>
                <w:sz w:val="20"/>
                <w:szCs w:val="20"/>
              </w:rPr>
              <w:t>Immutable store for data collected, results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 xml:space="preserve">Reference data </w:t>
            </w:r>
          </w:p>
        </w:tc>
        <w:tc>
          <w:tcPr>
            <w:tcW w:w="1515" w:type="dxa"/>
          </w:tcPr>
          <w:p w:rsidR="00514259" w:rsidRPr="00C77AEF" w:rsidRDefault="00951066" w:rsidP="00514259">
            <w:pPr>
              <w:pStyle w:val="NoSpacing"/>
              <w:rPr>
                <w:rFonts w:ascii="Arial" w:hAnsi="Arial" w:cs="Arial"/>
                <w:sz w:val="20"/>
                <w:szCs w:val="20"/>
              </w:rPr>
            </w:pPr>
            <w:r>
              <w:rPr>
                <w:rFonts w:ascii="Arial" w:hAnsi="Arial" w:cs="Arial"/>
                <w:sz w:val="20"/>
                <w:szCs w:val="20"/>
              </w:rPr>
              <w:t>Some use of Chemical Abstract Service data</w:t>
            </w:r>
            <w:r w:rsidR="00C243DD">
              <w:rPr>
                <w:rFonts w:ascii="Arial" w:hAnsi="Arial" w:cs="Arial"/>
                <w:sz w:val="20"/>
                <w:szCs w:val="20"/>
              </w:rPr>
              <w:t xml:space="preserve"> especially with respect to standardization of reagents and solvents</w:t>
            </w:r>
            <w:r>
              <w:rPr>
                <w:rFonts w:ascii="Arial" w:hAnsi="Arial" w:cs="Arial"/>
                <w:sz w:val="20"/>
                <w:szCs w:val="20"/>
              </w:rPr>
              <w:t xml:space="preserve">, NIH Human Genome data, </w:t>
            </w:r>
            <w:r w:rsidR="00E53323">
              <w:rPr>
                <w:rFonts w:ascii="Arial" w:hAnsi="Arial" w:cs="Arial"/>
                <w:sz w:val="20"/>
                <w:szCs w:val="20"/>
              </w:rPr>
              <w:t xml:space="preserve">NIH National Cancer Institute </w:t>
            </w:r>
            <w:r w:rsidR="00C243DD">
              <w:rPr>
                <w:rFonts w:ascii="Arial" w:hAnsi="Arial" w:cs="Arial"/>
                <w:sz w:val="20"/>
                <w:szCs w:val="20"/>
              </w:rPr>
              <w:t>– Cancer Genomic Atlas</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 xml:space="preserve">Third party dependency for ref - </w:t>
            </w:r>
            <w:r w:rsidR="00F0346F">
              <w:rPr>
                <w:rFonts w:ascii="Arial" w:hAnsi="Arial" w:cs="Arial"/>
                <w:sz w:val="20"/>
                <w:szCs w:val="20"/>
              </w:rPr>
              <w:t xml:space="preserve">Census or geospatial data could be basis for independent variables </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Delegated rights</w:t>
            </w:r>
          </w:p>
        </w:tc>
        <w:tc>
          <w:tcPr>
            <w:tcW w:w="1515" w:type="dxa"/>
          </w:tcPr>
          <w:p w:rsidR="00514259" w:rsidRPr="00C77AEF" w:rsidRDefault="006E4E9D" w:rsidP="00514259">
            <w:pPr>
              <w:pStyle w:val="NoSpacing"/>
              <w:rPr>
                <w:rFonts w:ascii="Arial" w:hAnsi="Arial" w:cs="Arial"/>
                <w:sz w:val="20"/>
                <w:szCs w:val="20"/>
              </w:rPr>
            </w:pPr>
            <w:r>
              <w:rPr>
                <w:rFonts w:ascii="Arial" w:hAnsi="Arial" w:cs="Arial"/>
                <w:sz w:val="20"/>
                <w:szCs w:val="20"/>
              </w:rPr>
              <w:t>Since this is an internal proprietary data source, there are no delegated rights issues to be solved</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Distributed delegation:: legal, governance, provenance covenants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Intellectual property</w:t>
            </w:r>
          </w:p>
        </w:tc>
        <w:tc>
          <w:tcPr>
            <w:tcW w:w="1515" w:type="dxa"/>
          </w:tcPr>
          <w:p w:rsidR="00514259" w:rsidRPr="00C77AEF" w:rsidRDefault="00C243DD" w:rsidP="00514259">
            <w:pPr>
              <w:pStyle w:val="NoSpacing"/>
              <w:rPr>
                <w:rFonts w:ascii="Arial" w:hAnsi="Arial" w:cs="Arial"/>
                <w:sz w:val="20"/>
                <w:szCs w:val="20"/>
              </w:rPr>
            </w:pPr>
            <w:r>
              <w:rPr>
                <w:rFonts w:ascii="Arial" w:hAnsi="Arial" w:cs="Arial"/>
                <w:sz w:val="20"/>
                <w:szCs w:val="20"/>
              </w:rPr>
              <w:t>All results generated within this system are to be treated as potential IP.</w:t>
            </w:r>
          </w:p>
        </w:tc>
        <w:tc>
          <w:tcPr>
            <w:tcW w:w="2897" w:type="dxa"/>
          </w:tcPr>
          <w:p w:rsidR="00514259" w:rsidRPr="00C77AEF" w:rsidRDefault="0066552A" w:rsidP="00514259">
            <w:pPr>
              <w:pStyle w:val="NoSpacing"/>
              <w:rPr>
                <w:rFonts w:ascii="Arial" w:hAnsi="Arial" w:cs="Arial"/>
                <w:sz w:val="20"/>
                <w:szCs w:val="20"/>
              </w:rPr>
            </w:pPr>
            <w:r>
              <w:rPr>
                <w:rFonts w:ascii="Arial" w:hAnsi="Arial" w:cs="Arial"/>
                <w:sz w:val="20"/>
                <w:szCs w:val="20"/>
              </w:rPr>
              <w:t>Includes COTS, open source EXE, collection artifacts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Third party privacy notices</w:t>
            </w:r>
          </w:p>
        </w:tc>
        <w:tc>
          <w:tcPr>
            <w:tcW w:w="1515" w:type="dxa"/>
          </w:tcPr>
          <w:p w:rsidR="00514259" w:rsidRPr="00C77AEF" w:rsidRDefault="00514259" w:rsidP="00514259">
            <w:pPr>
              <w:pStyle w:val="NoSpacing"/>
              <w:rPr>
                <w:rFonts w:ascii="Arial" w:hAnsi="Arial" w:cs="Arial"/>
                <w:sz w:val="20"/>
                <w:szCs w:val="20"/>
              </w:rPr>
            </w:pPr>
          </w:p>
        </w:tc>
        <w:tc>
          <w:tcPr>
            <w:tcW w:w="2897" w:type="dxa"/>
          </w:tcPr>
          <w:p w:rsidR="00514259" w:rsidRPr="00C77AEF" w:rsidRDefault="00F0346F">
            <w:pPr>
              <w:pStyle w:val="NoSpacing"/>
              <w:rPr>
                <w:rFonts w:ascii="Arial" w:hAnsi="Arial" w:cs="Arial"/>
                <w:sz w:val="20"/>
                <w:szCs w:val="20"/>
              </w:rPr>
            </w:pPr>
            <w:r>
              <w:rPr>
                <w:rFonts w:ascii="Arial" w:hAnsi="Arial" w:cs="Arial"/>
                <w:sz w:val="20"/>
                <w:szCs w:val="20"/>
              </w:rPr>
              <w:t>Voluntary or mandated privacy act notices (</w:t>
            </w:r>
            <w:r w:rsidR="0066552A">
              <w:rPr>
                <w:rFonts w:ascii="Arial" w:hAnsi="Arial" w:cs="Arial"/>
                <w:sz w:val="20"/>
                <w:szCs w:val="20"/>
              </w:rPr>
              <w:t xml:space="preserve">US - </w:t>
            </w:r>
            <w:r>
              <w:rPr>
                <w:rFonts w:ascii="Arial" w:hAnsi="Arial" w:cs="Arial"/>
                <w:sz w:val="20"/>
                <w:szCs w:val="20"/>
              </w:rPr>
              <w:t xml:space="preserve">FTC implications) </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proofErr w:type="spellStart"/>
            <w:r>
              <w:rPr>
                <w:rFonts w:ascii="Arial" w:hAnsi="Arial" w:cs="Arial"/>
                <w:sz w:val="20"/>
                <w:szCs w:val="20"/>
              </w:rPr>
              <w:t>Reidentification</w:t>
            </w:r>
            <w:proofErr w:type="spellEnd"/>
            <w:r>
              <w:rPr>
                <w:rFonts w:ascii="Arial" w:hAnsi="Arial" w:cs="Arial"/>
                <w:sz w:val="20"/>
                <w:szCs w:val="20"/>
              </w:rPr>
              <w:t xml:space="preserve"> risk</w:t>
            </w:r>
          </w:p>
        </w:tc>
        <w:tc>
          <w:tcPr>
            <w:tcW w:w="1515" w:type="dxa"/>
          </w:tcPr>
          <w:p w:rsidR="00514259" w:rsidRPr="00C77AEF" w:rsidRDefault="006E4E9D" w:rsidP="00514259">
            <w:pPr>
              <w:pStyle w:val="NoSpacing"/>
              <w:rPr>
                <w:rFonts w:ascii="Arial" w:hAnsi="Arial" w:cs="Arial"/>
                <w:sz w:val="20"/>
                <w:szCs w:val="20"/>
              </w:rPr>
            </w:pPr>
            <w:r>
              <w:rPr>
                <w:rFonts w:ascii="Arial" w:hAnsi="Arial" w:cs="Arial"/>
                <w:sz w:val="20"/>
                <w:szCs w:val="20"/>
              </w:rPr>
              <w:t>No efforts being made to identify re-tagged proprietary data</w:t>
            </w:r>
            <w:r w:rsidR="00C243DD">
              <w:rPr>
                <w:rFonts w:ascii="Arial" w:hAnsi="Arial" w:cs="Arial"/>
                <w:sz w:val="20"/>
                <w:szCs w:val="20"/>
              </w:rPr>
              <w:t xml:space="preserve"> at the present time</w:t>
            </w:r>
          </w:p>
        </w:tc>
        <w:tc>
          <w:tcPr>
            <w:tcW w:w="2897" w:type="dxa"/>
          </w:tcPr>
          <w:p w:rsidR="00514259" w:rsidRPr="00C77AEF" w:rsidRDefault="00514259">
            <w:pPr>
              <w:pStyle w:val="NoSpacing"/>
              <w:rPr>
                <w:rFonts w:ascii="Arial" w:hAnsi="Arial" w:cs="Arial"/>
                <w:sz w:val="20"/>
                <w:szCs w:val="20"/>
              </w:rPr>
            </w:pPr>
            <w:r>
              <w:rPr>
                <w:rFonts w:ascii="Arial" w:hAnsi="Arial" w:cs="Arial"/>
                <w:sz w:val="20"/>
                <w:szCs w:val="20"/>
              </w:rPr>
              <w:t>Risk assessment by: Data Provider</w:t>
            </w:r>
            <w:r w:rsidR="0066552A">
              <w:rPr>
                <w:rFonts w:ascii="Arial" w:hAnsi="Arial" w:cs="Arial"/>
                <w:sz w:val="20"/>
                <w:szCs w:val="20"/>
              </w:rPr>
              <w:t xml:space="preserve">; </w:t>
            </w:r>
            <w:r w:rsidR="00CB29A2">
              <w:rPr>
                <w:rFonts w:ascii="Arial" w:hAnsi="Arial" w:cs="Arial"/>
                <w:sz w:val="20"/>
                <w:szCs w:val="20"/>
              </w:rPr>
              <w:lastRenderedPageBreak/>
              <w:t>covenants imposed on Data Consumers</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514259" w:rsidP="00514259">
            <w:pPr>
              <w:pStyle w:val="NoSpacing"/>
              <w:rPr>
                <w:rFonts w:ascii="Arial" w:hAnsi="Arial" w:cs="Arial"/>
                <w:sz w:val="20"/>
                <w:szCs w:val="20"/>
              </w:rPr>
            </w:pPr>
            <w:r>
              <w:rPr>
                <w:rFonts w:ascii="Arial" w:hAnsi="Arial" w:cs="Arial"/>
                <w:sz w:val="20"/>
                <w:szCs w:val="20"/>
              </w:rPr>
              <w:t xml:space="preserve">Instrumentation and protocols </w:t>
            </w:r>
          </w:p>
        </w:tc>
        <w:tc>
          <w:tcPr>
            <w:tcW w:w="1515" w:type="dxa"/>
          </w:tcPr>
          <w:p w:rsidR="00514259" w:rsidRPr="00C77AEF" w:rsidRDefault="006E4E9D" w:rsidP="00514259">
            <w:pPr>
              <w:pStyle w:val="NoSpacing"/>
              <w:rPr>
                <w:rFonts w:ascii="Arial" w:hAnsi="Arial" w:cs="Arial"/>
                <w:sz w:val="20"/>
                <w:szCs w:val="20"/>
              </w:rPr>
            </w:pPr>
            <w:r>
              <w:rPr>
                <w:rFonts w:ascii="Arial" w:hAnsi="Arial" w:cs="Arial"/>
                <w:sz w:val="20"/>
                <w:szCs w:val="20"/>
              </w:rPr>
              <w:t xml:space="preserve">Numerous </w:t>
            </w:r>
            <w:proofErr w:type="gramStart"/>
            <w:r>
              <w:rPr>
                <w:rFonts w:ascii="Arial" w:hAnsi="Arial" w:cs="Arial"/>
                <w:sz w:val="20"/>
                <w:szCs w:val="20"/>
              </w:rPr>
              <w:t>plug-ins</w:t>
            </w:r>
            <w:proofErr w:type="gramEnd"/>
            <w:r>
              <w:rPr>
                <w:rFonts w:ascii="Arial" w:hAnsi="Arial" w:cs="Arial"/>
                <w:sz w:val="20"/>
                <w:szCs w:val="20"/>
              </w:rPr>
              <w:t xml:space="preserve"> that collect</w:t>
            </w:r>
            <w:r w:rsidR="00C243DD">
              <w:rPr>
                <w:rFonts w:ascii="Arial" w:hAnsi="Arial" w:cs="Arial"/>
                <w:sz w:val="20"/>
                <w:szCs w:val="20"/>
              </w:rPr>
              <w:t xml:space="preserve"> and incorporate added data sources.  Limited controls within the system itself to maintain calibration.  Built in tabular aggregation methods are common.</w:t>
            </w:r>
          </w:p>
        </w:tc>
        <w:tc>
          <w:tcPr>
            <w:tcW w:w="2897" w:type="dxa"/>
          </w:tcPr>
          <w:p w:rsidR="00514259" w:rsidRPr="00C77AEF" w:rsidRDefault="00514259" w:rsidP="00514259">
            <w:pPr>
              <w:pStyle w:val="NoSpacing"/>
              <w:rPr>
                <w:rFonts w:ascii="Arial" w:hAnsi="Arial" w:cs="Arial"/>
                <w:sz w:val="20"/>
                <w:szCs w:val="20"/>
              </w:rPr>
            </w:pPr>
            <w:r>
              <w:rPr>
                <w:rFonts w:ascii="Arial" w:hAnsi="Arial" w:cs="Arial"/>
                <w:sz w:val="20"/>
                <w:szCs w:val="20"/>
              </w:rPr>
              <w:t>“Procedure” in some academic paradigms</w:t>
            </w:r>
            <w:r w:rsidR="00F0346F">
              <w:rPr>
                <w:rFonts w:ascii="Arial" w:hAnsi="Arial" w:cs="Arial"/>
                <w:sz w:val="20"/>
                <w:szCs w:val="20"/>
              </w:rPr>
              <w:t>, but considerable domain-specific elaboration may be needed.</w:t>
            </w:r>
            <w:r w:rsidR="00CB29A2">
              <w:rPr>
                <w:rFonts w:ascii="Arial" w:hAnsi="Arial" w:cs="Arial"/>
                <w:sz w:val="20"/>
                <w:szCs w:val="20"/>
              </w:rPr>
              <w:t xml:space="preserve"> Sensor provenance, calibration, propagation, audit, aggregation</w:t>
            </w:r>
          </w:p>
        </w:tc>
      </w:tr>
      <w:tr w:rsidR="00514259" w:rsidRPr="00C77AEF" w:rsidTr="00514259">
        <w:trPr>
          <w:trHeight w:val="69"/>
        </w:trPr>
        <w:tc>
          <w:tcPr>
            <w:tcW w:w="2448" w:type="dxa"/>
            <w:gridSpan w:val="2"/>
            <w:vMerge/>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Pr="00C77AEF" w:rsidRDefault="00D908C5" w:rsidP="00514259">
            <w:pPr>
              <w:pStyle w:val="NoSpacing"/>
              <w:rPr>
                <w:rFonts w:ascii="Arial" w:hAnsi="Arial" w:cs="Arial"/>
                <w:sz w:val="20"/>
                <w:szCs w:val="20"/>
              </w:rPr>
            </w:pPr>
            <w:r>
              <w:rPr>
                <w:rFonts w:ascii="Arial" w:hAnsi="Arial" w:cs="Arial"/>
                <w:sz w:val="20"/>
                <w:szCs w:val="20"/>
              </w:rPr>
              <w:t xml:space="preserve">Primary meaning: </w:t>
            </w:r>
            <w:r w:rsidR="00514259">
              <w:rPr>
                <w:rFonts w:ascii="Arial" w:hAnsi="Arial" w:cs="Arial"/>
                <w:sz w:val="20"/>
                <w:szCs w:val="20"/>
              </w:rPr>
              <w:t xml:space="preserve">Digital </w:t>
            </w:r>
            <w:proofErr w:type="spellStart"/>
            <w:r w:rsidR="00514259">
              <w:rPr>
                <w:rFonts w:ascii="Arial" w:hAnsi="Arial" w:cs="Arial"/>
                <w:sz w:val="20"/>
                <w:szCs w:val="20"/>
              </w:rPr>
              <w:t>reproduceability.Seconda</w:t>
            </w:r>
            <w:r w:rsidR="00CB29A2">
              <w:rPr>
                <w:rFonts w:ascii="Arial" w:hAnsi="Arial" w:cs="Arial"/>
                <w:sz w:val="20"/>
                <w:szCs w:val="20"/>
              </w:rPr>
              <w:t>r</w:t>
            </w:r>
            <w:r w:rsidR="00514259">
              <w:rPr>
                <w:rFonts w:ascii="Arial" w:hAnsi="Arial" w:cs="Arial"/>
                <w:sz w:val="20"/>
                <w:szCs w:val="20"/>
              </w:rPr>
              <w:t>y</w:t>
            </w:r>
            <w:proofErr w:type="spellEnd"/>
            <w:r w:rsidR="00514259">
              <w:rPr>
                <w:rFonts w:ascii="Arial" w:hAnsi="Arial" w:cs="Arial"/>
                <w:sz w:val="20"/>
                <w:szCs w:val="20"/>
              </w:rPr>
              <w:t>: simulation</w:t>
            </w:r>
          </w:p>
        </w:tc>
        <w:tc>
          <w:tcPr>
            <w:tcW w:w="1515" w:type="dxa"/>
          </w:tcPr>
          <w:p w:rsidR="00514259" w:rsidRPr="00C77AEF" w:rsidRDefault="00514259">
            <w:pPr>
              <w:pStyle w:val="NoSpacing"/>
              <w:rPr>
                <w:rFonts w:ascii="Arial" w:hAnsi="Arial" w:cs="Arial"/>
                <w:sz w:val="20"/>
                <w:szCs w:val="20"/>
              </w:rPr>
            </w:pPr>
          </w:p>
        </w:tc>
        <w:tc>
          <w:tcPr>
            <w:tcW w:w="2897" w:type="dxa"/>
          </w:tcPr>
          <w:p w:rsidR="00514259" w:rsidRPr="00C77AEF" w:rsidRDefault="00514259" w:rsidP="00514259">
            <w:pPr>
              <w:pStyle w:val="NoSpacing"/>
              <w:rPr>
                <w:rFonts w:ascii="Arial" w:hAnsi="Arial" w:cs="Arial"/>
                <w:sz w:val="20"/>
                <w:szCs w:val="20"/>
              </w:rPr>
            </w:pPr>
            <w:r>
              <w:rPr>
                <w:rFonts w:ascii="Arial" w:hAnsi="Arial" w:cs="Arial"/>
                <w:sz w:val="20"/>
                <w:szCs w:val="20"/>
              </w:rPr>
              <w:t>Full digital forward-construction, backward deconstruction of experiment, data collection, video, other digital artifacts</w:t>
            </w:r>
            <w:r w:rsidR="00CB29A2">
              <w:rPr>
                <w:rFonts w:ascii="Arial" w:hAnsi="Arial" w:cs="Arial"/>
                <w:sz w:val="20"/>
                <w:szCs w:val="20"/>
              </w:rPr>
              <w:t xml:space="preserve"> for </w:t>
            </w:r>
            <w:proofErr w:type="spellStart"/>
            <w:r w:rsidR="00CB29A2">
              <w:rPr>
                <w:rFonts w:ascii="Arial" w:hAnsi="Arial" w:cs="Arial"/>
                <w:sz w:val="20"/>
                <w:szCs w:val="20"/>
              </w:rPr>
              <w:t>reproduceability</w:t>
            </w:r>
            <w:proofErr w:type="spellEnd"/>
            <w:r>
              <w:rPr>
                <w:rFonts w:ascii="Arial" w:hAnsi="Arial" w:cs="Arial"/>
                <w:sz w:val="20"/>
                <w:szCs w:val="20"/>
              </w:rPr>
              <w:t xml:space="preserve"> </w:t>
            </w:r>
          </w:p>
        </w:tc>
      </w:tr>
      <w:tr w:rsidR="00D908C5" w:rsidRPr="00C77AEF" w:rsidTr="00514259">
        <w:trPr>
          <w:trHeight w:val="69"/>
        </w:trPr>
        <w:tc>
          <w:tcPr>
            <w:tcW w:w="2448" w:type="dxa"/>
            <w:gridSpan w:val="2"/>
          </w:tcPr>
          <w:p w:rsidR="00D908C5" w:rsidRPr="00C77AEF" w:rsidRDefault="00D908C5" w:rsidP="00514259">
            <w:pPr>
              <w:pStyle w:val="NoSpacing"/>
              <w:jc w:val="right"/>
              <w:rPr>
                <w:rFonts w:ascii="Arial" w:hAnsi="Arial" w:cs="Arial"/>
                <w:b/>
                <w:sz w:val="20"/>
                <w:szCs w:val="20"/>
              </w:rPr>
            </w:pPr>
          </w:p>
        </w:tc>
        <w:tc>
          <w:tcPr>
            <w:tcW w:w="2716" w:type="dxa"/>
            <w:gridSpan w:val="2"/>
          </w:tcPr>
          <w:p w:rsidR="00D908C5" w:rsidRDefault="00CB29A2" w:rsidP="00514259">
            <w:pPr>
              <w:pStyle w:val="NoSpacing"/>
              <w:rPr>
                <w:rFonts w:ascii="Arial" w:hAnsi="Arial" w:cs="Arial"/>
                <w:sz w:val="20"/>
                <w:szCs w:val="20"/>
              </w:rPr>
            </w:pPr>
            <w:r>
              <w:rPr>
                <w:rFonts w:ascii="Arial" w:hAnsi="Arial" w:cs="Arial"/>
                <w:sz w:val="20"/>
                <w:szCs w:val="20"/>
              </w:rPr>
              <w:t xml:space="preserve">Data </w:t>
            </w:r>
            <w:r w:rsidR="00D908C5">
              <w:rPr>
                <w:rFonts w:ascii="Arial" w:hAnsi="Arial" w:cs="Arial"/>
                <w:sz w:val="20"/>
                <w:szCs w:val="20"/>
              </w:rPr>
              <w:t>Life-cycle</w:t>
            </w:r>
          </w:p>
        </w:tc>
        <w:tc>
          <w:tcPr>
            <w:tcW w:w="1515" w:type="dxa"/>
          </w:tcPr>
          <w:p w:rsidR="00D908C5" w:rsidRDefault="00C243DD" w:rsidP="00514259">
            <w:pPr>
              <w:pStyle w:val="NoSpacing"/>
              <w:rPr>
                <w:rFonts w:ascii="Arial" w:hAnsi="Arial" w:cs="Arial"/>
                <w:sz w:val="20"/>
                <w:szCs w:val="20"/>
              </w:rPr>
            </w:pPr>
            <w:r>
              <w:rPr>
                <w:rFonts w:ascii="Arial" w:hAnsi="Arial" w:cs="Arial"/>
                <w:sz w:val="20"/>
                <w:szCs w:val="20"/>
              </w:rPr>
              <w:t>Current projects are the most sensitive.  Projects that have been completed and signed off often have public visibility because of clinical trial requirements and so access to that data is looser once it reaches that stage.</w:t>
            </w:r>
          </w:p>
        </w:tc>
        <w:tc>
          <w:tcPr>
            <w:tcW w:w="2897" w:type="dxa"/>
          </w:tcPr>
          <w:p w:rsidR="00D908C5" w:rsidRDefault="00CB29A2">
            <w:pPr>
              <w:pStyle w:val="NoSpacing"/>
              <w:rPr>
                <w:rFonts w:ascii="Arial" w:hAnsi="Arial" w:cs="Arial"/>
                <w:sz w:val="20"/>
                <w:szCs w:val="20"/>
              </w:rPr>
            </w:pPr>
            <w:r>
              <w:rPr>
                <w:rFonts w:ascii="Arial" w:hAnsi="Arial" w:cs="Arial"/>
                <w:sz w:val="20"/>
                <w:szCs w:val="20"/>
              </w:rPr>
              <w:t xml:space="preserve">Identify any </w:t>
            </w:r>
            <w:r w:rsidR="00D908C5">
              <w:rPr>
                <w:rFonts w:ascii="Arial" w:hAnsi="Arial" w:cs="Arial"/>
                <w:sz w:val="20"/>
                <w:szCs w:val="20"/>
              </w:rPr>
              <w:t xml:space="preserve">legal mandates for data “destruction” </w:t>
            </w:r>
          </w:p>
        </w:tc>
      </w:tr>
      <w:tr w:rsidR="00D908C5" w:rsidRPr="00C77AEF" w:rsidTr="00514259">
        <w:trPr>
          <w:trHeight w:val="69"/>
        </w:trPr>
        <w:tc>
          <w:tcPr>
            <w:tcW w:w="2448" w:type="dxa"/>
            <w:gridSpan w:val="2"/>
          </w:tcPr>
          <w:p w:rsidR="00D908C5" w:rsidRPr="00C77AEF" w:rsidRDefault="00D908C5" w:rsidP="00514259">
            <w:pPr>
              <w:pStyle w:val="NoSpacing"/>
              <w:jc w:val="right"/>
              <w:rPr>
                <w:rFonts w:ascii="Arial" w:hAnsi="Arial" w:cs="Arial"/>
                <w:b/>
                <w:sz w:val="20"/>
                <w:szCs w:val="20"/>
              </w:rPr>
            </w:pPr>
          </w:p>
        </w:tc>
        <w:tc>
          <w:tcPr>
            <w:tcW w:w="2716" w:type="dxa"/>
            <w:gridSpan w:val="2"/>
          </w:tcPr>
          <w:p w:rsidR="00D908C5" w:rsidRDefault="00D908C5" w:rsidP="00514259">
            <w:pPr>
              <w:pStyle w:val="NoSpacing"/>
              <w:rPr>
                <w:rFonts w:ascii="Arial" w:hAnsi="Arial" w:cs="Arial"/>
                <w:sz w:val="20"/>
                <w:szCs w:val="20"/>
              </w:rPr>
            </w:pPr>
            <w:r>
              <w:rPr>
                <w:rFonts w:ascii="Arial" w:hAnsi="Arial" w:cs="Arial"/>
                <w:sz w:val="20"/>
                <w:szCs w:val="20"/>
              </w:rPr>
              <w:t>Disclosure-on-demand</w:t>
            </w:r>
          </w:p>
        </w:tc>
        <w:tc>
          <w:tcPr>
            <w:tcW w:w="1515" w:type="dxa"/>
          </w:tcPr>
          <w:p w:rsidR="00D908C5" w:rsidRDefault="00C243DD" w:rsidP="00514259">
            <w:pPr>
              <w:pStyle w:val="NoSpacing"/>
              <w:rPr>
                <w:rFonts w:ascii="Arial" w:hAnsi="Arial" w:cs="Arial"/>
                <w:sz w:val="20"/>
                <w:szCs w:val="20"/>
              </w:rPr>
            </w:pPr>
            <w:r>
              <w:rPr>
                <w:rFonts w:ascii="Arial" w:hAnsi="Arial" w:cs="Arial"/>
                <w:sz w:val="20"/>
                <w:szCs w:val="20"/>
              </w:rPr>
              <w:t>It is assumed that all data in the system be available for regulatory or audit disclosure in an on-demand basis.    This includes audit trail by project, by group, by individual with simple of time based analysis and reporting.</w:t>
            </w:r>
          </w:p>
        </w:tc>
        <w:tc>
          <w:tcPr>
            <w:tcW w:w="2897" w:type="dxa"/>
          </w:tcPr>
          <w:p w:rsidR="00D908C5" w:rsidRDefault="00CB29A2">
            <w:pPr>
              <w:pStyle w:val="NoSpacing"/>
              <w:rPr>
                <w:rFonts w:ascii="Arial" w:hAnsi="Arial" w:cs="Arial"/>
                <w:sz w:val="20"/>
                <w:szCs w:val="20"/>
              </w:rPr>
            </w:pPr>
            <w:r>
              <w:rPr>
                <w:rFonts w:ascii="Arial" w:hAnsi="Arial" w:cs="Arial"/>
                <w:sz w:val="20"/>
                <w:szCs w:val="20"/>
              </w:rPr>
              <w:t>Requirements for mandated or voluntary data disclosure; c</w:t>
            </w:r>
            <w:r w:rsidR="00D908C5">
              <w:rPr>
                <w:rFonts w:ascii="Arial" w:hAnsi="Arial" w:cs="Arial"/>
                <w:sz w:val="20"/>
                <w:szCs w:val="20"/>
              </w:rPr>
              <w:t>onsumer</w:t>
            </w:r>
            <w:r>
              <w:rPr>
                <w:rFonts w:ascii="Arial" w:hAnsi="Arial" w:cs="Arial"/>
                <w:sz w:val="20"/>
                <w:szCs w:val="20"/>
              </w:rPr>
              <w:t xml:space="preserve"> or data owner;</w:t>
            </w:r>
            <w:r w:rsidR="00D908C5">
              <w:rPr>
                <w:rFonts w:ascii="Arial" w:hAnsi="Arial" w:cs="Arial"/>
                <w:sz w:val="20"/>
                <w:szCs w:val="20"/>
              </w:rPr>
              <w:t>; may be regulation-, court-ordered, veracity motivated</w:t>
            </w:r>
          </w:p>
        </w:tc>
      </w:tr>
      <w:tr w:rsidR="00514259" w:rsidRPr="00C77AEF" w:rsidTr="00514259">
        <w:trPr>
          <w:trHeight w:val="69"/>
        </w:trPr>
        <w:tc>
          <w:tcPr>
            <w:tcW w:w="2448" w:type="dxa"/>
            <w:gridSpan w:val="2"/>
          </w:tcPr>
          <w:p w:rsidR="00514259" w:rsidRPr="00C77AEF" w:rsidRDefault="00514259" w:rsidP="00514259">
            <w:pPr>
              <w:pStyle w:val="NoSpacing"/>
              <w:jc w:val="right"/>
              <w:rPr>
                <w:rFonts w:ascii="Arial" w:hAnsi="Arial" w:cs="Arial"/>
                <w:b/>
                <w:sz w:val="20"/>
                <w:szCs w:val="20"/>
              </w:rPr>
            </w:pPr>
          </w:p>
        </w:tc>
        <w:tc>
          <w:tcPr>
            <w:tcW w:w="2716" w:type="dxa"/>
            <w:gridSpan w:val="2"/>
          </w:tcPr>
          <w:p w:rsidR="00514259" w:rsidRDefault="00514259" w:rsidP="00514259">
            <w:pPr>
              <w:pStyle w:val="NoSpacing"/>
              <w:rPr>
                <w:rFonts w:ascii="Arial" w:hAnsi="Arial" w:cs="Arial"/>
                <w:sz w:val="20"/>
                <w:szCs w:val="20"/>
              </w:rPr>
            </w:pPr>
            <w:r>
              <w:rPr>
                <w:rFonts w:ascii="Arial" w:hAnsi="Arial" w:cs="Arial"/>
                <w:sz w:val="20"/>
                <w:szCs w:val="20"/>
              </w:rPr>
              <w:t xml:space="preserve">Recommended data security / privacy </w:t>
            </w:r>
            <w:r>
              <w:rPr>
                <w:rFonts w:ascii="Arial" w:hAnsi="Arial" w:cs="Arial"/>
                <w:sz w:val="20"/>
                <w:szCs w:val="20"/>
              </w:rPr>
              <w:lastRenderedPageBreak/>
              <w:t>levels</w:t>
            </w:r>
          </w:p>
        </w:tc>
        <w:tc>
          <w:tcPr>
            <w:tcW w:w="1515" w:type="dxa"/>
          </w:tcPr>
          <w:p w:rsidR="00514259" w:rsidRDefault="00C243DD" w:rsidP="00514259">
            <w:pPr>
              <w:pStyle w:val="NoSpacing"/>
              <w:rPr>
                <w:rFonts w:ascii="Arial" w:hAnsi="Arial" w:cs="Arial"/>
                <w:sz w:val="20"/>
                <w:szCs w:val="20"/>
              </w:rPr>
            </w:pPr>
            <w:r>
              <w:rPr>
                <w:rFonts w:ascii="Arial" w:hAnsi="Arial" w:cs="Arial"/>
                <w:sz w:val="20"/>
                <w:szCs w:val="20"/>
              </w:rPr>
              <w:lastRenderedPageBreak/>
              <w:t xml:space="preserve">Data security requirements are usually driven by the individual pharmaceutical </w:t>
            </w:r>
            <w:r>
              <w:rPr>
                <w:rFonts w:ascii="Arial" w:hAnsi="Arial" w:cs="Arial"/>
                <w:sz w:val="20"/>
                <w:szCs w:val="20"/>
              </w:rPr>
              <w:lastRenderedPageBreak/>
              <w:t>company with levels ranging from most secure (internal systems not on the internet) through hosted cloud based environments.</w:t>
            </w:r>
          </w:p>
        </w:tc>
        <w:tc>
          <w:tcPr>
            <w:tcW w:w="2897" w:type="dxa"/>
          </w:tcPr>
          <w:p w:rsidR="00514259" w:rsidRDefault="00514259" w:rsidP="00514259">
            <w:pPr>
              <w:pStyle w:val="NoSpacing"/>
              <w:rPr>
                <w:rFonts w:ascii="Arial" w:hAnsi="Arial" w:cs="Arial"/>
                <w:sz w:val="20"/>
                <w:szCs w:val="20"/>
              </w:rPr>
            </w:pPr>
            <w:r>
              <w:rPr>
                <w:rFonts w:ascii="Arial" w:hAnsi="Arial" w:cs="Arial"/>
                <w:sz w:val="20"/>
                <w:szCs w:val="20"/>
              </w:rPr>
              <w:lastRenderedPageBreak/>
              <w:t xml:space="preserve">For template, see </w:t>
            </w:r>
            <w:hyperlink r:id="rId7" w:history="1">
              <w:r w:rsidRPr="00514259">
                <w:rPr>
                  <w:rStyle w:val="Hyperlink"/>
                  <w:rFonts w:ascii="Arial" w:hAnsi="Arial" w:cs="Arial"/>
                  <w:sz w:val="20"/>
                  <w:szCs w:val="20"/>
                </w:rPr>
                <w:t xml:space="preserve">HL7 </w:t>
              </w:r>
              <w:r w:rsidRPr="00514259">
                <w:rPr>
                  <w:rStyle w:val="Hyperlink"/>
                  <w:rFonts w:ascii="Arial" w:hAnsi="Arial" w:cs="Arial"/>
                  <w:sz w:val="20"/>
                  <w:szCs w:val="20"/>
                </w:rPr>
                <w:lastRenderedPageBreak/>
                <w:t>Privacy Segmentation for Privacy</w:t>
              </w:r>
            </w:hyperlink>
            <w:r>
              <w:rPr>
                <w:rFonts w:ascii="Arial" w:hAnsi="Arial" w:cs="Arial"/>
                <w:sz w:val="20"/>
                <w:szCs w:val="20"/>
              </w:rPr>
              <w:t xml:space="preserve"> </w:t>
            </w:r>
          </w:p>
        </w:tc>
      </w:tr>
      <w:tr w:rsidR="00D908C5" w:rsidRPr="00C77AEF" w:rsidTr="00514259">
        <w:trPr>
          <w:trHeight w:val="69"/>
        </w:trPr>
        <w:tc>
          <w:tcPr>
            <w:tcW w:w="2448" w:type="dxa"/>
            <w:gridSpan w:val="2"/>
          </w:tcPr>
          <w:p w:rsidR="00D908C5" w:rsidRPr="00C77AEF" w:rsidRDefault="00D908C5" w:rsidP="00514259">
            <w:pPr>
              <w:pStyle w:val="NoSpacing"/>
              <w:jc w:val="right"/>
              <w:rPr>
                <w:rFonts w:ascii="Arial" w:hAnsi="Arial" w:cs="Arial"/>
                <w:b/>
                <w:sz w:val="20"/>
                <w:szCs w:val="20"/>
              </w:rPr>
            </w:pPr>
          </w:p>
        </w:tc>
        <w:tc>
          <w:tcPr>
            <w:tcW w:w="2716" w:type="dxa"/>
            <w:gridSpan w:val="2"/>
          </w:tcPr>
          <w:p w:rsidR="00D908C5" w:rsidRDefault="00D908C5" w:rsidP="00514259">
            <w:pPr>
              <w:pStyle w:val="NoSpacing"/>
              <w:rPr>
                <w:rFonts w:ascii="Arial" w:hAnsi="Arial" w:cs="Arial"/>
                <w:sz w:val="20"/>
                <w:szCs w:val="20"/>
              </w:rPr>
            </w:pPr>
            <w:r>
              <w:rPr>
                <w:rFonts w:ascii="Arial" w:hAnsi="Arial" w:cs="Arial"/>
                <w:sz w:val="20"/>
                <w:szCs w:val="20"/>
              </w:rPr>
              <w:t>Dependency Analytics</w:t>
            </w:r>
          </w:p>
        </w:tc>
        <w:tc>
          <w:tcPr>
            <w:tcW w:w="1515" w:type="dxa"/>
          </w:tcPr>
          <w:p w:rsidR="00D908C5" w:rsidRDefault="00D908C5" w:rsidP="00514259">
            <w:pPr>
              <w:pStyle w:val="NoSpacing"/>
              <w:rPr>
                <w:rFonts w:ascii="Arial" w:hAnsi="Arial" w:cs="Arial"/>
                <w:sz w:val="20"/>
                <w:szCs w:val="20"/>
              </w:rPr>
            </w:pPr>
          </w:p>
        </w:tc>
        <w:tc>
          <w:tcPr>
            <w:tcW w:w="2897" w:type="dxa"/>
          </w:tcPr>
          <w:p w:rsidR="00D908C5" w:rsidRDefault="00CB29A2">
            <w:pPr>
              <w:pStyle w:val="NoSpacing"/>
              <w:rPr>
                <w:rFonts w:ascii="Arial" w:hAnsi="Arial" w:cs="Arial"/>
                <w:sz w:val="20"/>
                <w:szCs w:val="20"/>
              </w:rPr>
            </w:pPr>
            <w:r>
              <w:rPr>
                <w:rFonts w:ascii="Arial" w:hAnsi="Arial" w:cs="Arial"/>
                <w:sz w:val="20"/>
                <w:szCs w:val="20"/>
              </w:rPr>
              <w:t>Measures in place to assure data integrity and regulatory compliance</w:t>
            </w:r>
          </w:p>
        </w:tc>
      </w:tr>
      <w:tr w:rsidR="00514259" w:rsidRPr="00C77AEF" w:rsidTr="00514259">
        <w:tc>
          <w:tcPr>
            <w:tcW w:w="2448" w:type="dxa"/>
            <w:gridSpan w:val="2"/>
          </w:tcPr>
          <w:p w:rsidR="00514259" w:rsidRPr="00C77AEF" w:rsidRDefault="00514259" w:rsidP="00514259">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4231" w:type="dxa"/>
            <w:gridSpan w:val="3"/>
          </w:tcPr>
          <w:p w:rsidR="000C21AB" w:rsidRDefault="000C21AB" w:rsidP="00AC6AC2">
            <w:pPr>
              <w:pStyle w:val="NoSpacing"/>
              <w:numPr>
                <w:ilvl w:val="0"/>
                <w:numId w:val="1"/>
              </w:numPr>
              <w:rPr>
                <w:rFonts w:ascii="Arial" w:hAnsi="Arial" w:cs="Arial"/>
                <w:sz w:val="20"/>
                <w:szCs w:val="20"/>
              </w:rPr>
            </w:pPr>
            <w:r>
              <w:rPr>
                <w:rFonts w:ascii="Arial" w:hAnsi="Arial" w:cs="Arial"/>
                <w:sz w:val="20"/>
                <w:szCs w:val="20"/>
              </w:rPr>
              <w:t>Federation of queries joining between heterogeneous data sources</w:t>
            </w:r>
          </w:p>
          <w:p w:rsidR="000C21AB" w:rsidRDefault="000C21AB" w:rsidP="00AC6AC2">
            <w:pPr>
              <w:pStyle w:val="NoSpacing"/>
              <w:numPr>
                <w:ilvl w:val="0"/>
                <w:numId w:val="1"/>
              </w:numPr>
              <w:rPr>
                <w:rFonts w:ascii="Arial" w:hAnsi="Arial" w:cs="Arial"/>
                <w:sz w:val="20"/>
                <w:szCs w:val="20"/>
              </w:rPr>
            </w:pPr>
            <w:r>
              <w:rPr>
                <w:rFonts w:ascii="Arial" w:hAnsi="Arial" w:cs="Arial"/>
                <w:sz w:val="20"/>
                <w:szCs w:val="20"/>
              </w:rPr>
              <w:t xml:space="preserve">Federation of queries across geographically distributed homogeneous data sets.  </w:t>
            </w:r>
          </w:p>
          <w:p w:rsidR="000C21AB" w:rsidRPr="00C77AEF" w:rsidRDefault="000C21AB" w:rsidP="00AC6AC2">
            <w:pPr>
              <w:pStyle w:val="NoSpacing"/>
              <w:numPr>
                <w:ilvl w:val="0"/>
                <w:numId w:val="1"/>
              </w:numPr>
              <w:rPr>
                <w:rFonts w:ascii="Arial" w:hAnsi="Arial" w:cs="Arial"/>
                <w:sz w:val="20"/>
                <w:szCs w:val="20"/>
              </w:rPr>
            </w:pPr>
            <w:r>
              <w:rPr>
                <w:rFonts w:ascii="Arial" w:hAnsi="Arial" w:cs="Arial"/>
                <w:sz w:val="20"/>
                <w:szCs w:val="20"/>
              </w:rPr>
              <w:t>Addition of arbitrary heterogeneous data feeds.  Examples could include DNA sequencers, chromatographic data, or cellular image analysis.</w:t>
            </w:r>
          </w:p>
          <w:p w:rsidR="00514259" w:rsidRPr="00C77AEF" w:rsidRDefault="00514259" w:rsidP="00514259">
            <w:pPr>
              <w:pStyle w:val="NoSpacing"/>
              <w:rPr>
                <w:rFonts w:ascii="Arial" w:hAnsi="Arial" w:cs="Arial"/>
                <w:sz w:val="20"/>
                <w:szCs w:val="20"/>
              </w:rPr>
            </w:pPr>
          </w:p>
        </w:tc>
        <w:tc>
          <w:tcPr>
            <w:tcW w:w="2897" w:type="dxa"/>
          </w:tcPr>
          <w:p w:rsidR="00514259" w:rsidRPr="00C77AEF" w:rsidRDefault="00514259" w:rsidP="00514259">
            <w:pPr>
              <w:pStyle w:val="NoSpacing"/>
              <w:rPr>
                <w:rFonts w:ascii="Arial" w:hAnsi="Arial" w:cs="Arial"/>
                <w:sz w:val="20"/>
                <w:szCs w:val="20"/>
              </w:rPr>
            </w:pPr>
          </w:p>
        </w:tc>
      </w:tr>
      <w:tr w:rsidR="00514259" w:rsidRPr="00C77AEF" w:rsidTr="00514259">
        <w:tc>
          <w:tcPr>
            <w:tcW w:w="2448" w:type="dxa"/>
            <w:gridSpan w:val="2"/>
          </w:tcPr>
          <w:p w:rsidR="00514259" w:rsidRPr="00C77AEF" w:rsidRDefault="00514259" w:rsidP="00514259">
            <w:pPr>
              <w:pStyle w:val="NoSpacing"/>
              <w:jc w:val="right"/>
              <w:rPr>
                <w:rFonts w:ascii="Arial" w:hAnsi="Arial" w:cs="Arial"/>
                <w:b/>
                <w:sz w:val="20"/>
                <w:szCs w:val="20"/>
              </w:rPr>
            </w:pPr>
            <w:r w:rsidRPr="00C77AEF">
              <w:rPr>
                <w:rFonts w:ascii="Arial" w:hAnsi="Arial" w:cs="Arial"/>
                <w:b/>
                <w:sz w:val="20"/>
                <w:szCs w:val="20"/>
              </w:rPr>
              <w:t>More Information (URLs)</w:t>
            </w:r>
          </w:p>
        </w:tc>
        <w:tc>
          <w:tcPr>
            <w:tcW w:w="4231" w:type="dxa"/>
            <w:gridSpan w:val="3"/>
          </w:tcPr>
          <w:p w:rsidR="00514259" w:rsidRDefault="000C21AB" w:rsidP="00514259">
            <w:pPr>
              <w:pStyle w:val="NoSpacing"/>
              <w:rPr>
                <w:rFonts w:ascii="Arial" w:hAnsi="Arial" w:cs="Arial"/>
                <w:sz w:val="20"/>
                <w:szCs w:val="20"/>
              </w:rPr>
            </w:pPr>
            <w:hyperlink r:id="rId8" w:history="1">
              <w:r w:rsidRPr="00E05519">
                <w:rPr>
                  <w:rStyle w:val="Hyperlink"/>
                  <w:rFonts w:ascii="Arial" w:hAnsi="Arial" w:cs="Arial"/>
                  <w:sz w:val="20"/>
                  <w:szCs w:val="20"/>
                </w:rPr>
                <w:t>http://www.cambridgesoft.com/</w:t>
              </w:r>
            </w:hyperlink>
          </w:p>
          <w:p w:rsidR="000C21AB" w:rsidRPr="00C77AEF" w:rsidRDefault="000C21AB" w:rsidP="00514259">
            <w:pPr>
              <w:pStyle w:val="NoSpacing"/>
              <w:rPr>
                <w:rFonts w:ascii="Arial" w:hAnsi="Arial" w:cs="Arial"/>
                <w:sz w:val="20"/>
                <w:szCs w:val="20"/>
              </w:rPr>
            </w:pPr>
            <w:hyperlink r:id="rId9" w:history="1">
              <w:r w:rsidRPr="00E05519">
                <w:rPr>
                  <w:rStyle w:val="Hyperlink"/>
                  <w:rFonts w:ascii="Arial" w:hAnsi="Arial" w:cs="Arial"/>
                  <w:sz w:val="20"/>
                  <w:szCs w:val="20"/>
                </w:rPr>
                <w:t>http://www.perkinelmer.com/technologies/default.xhtml</w:t>
              </w:r>
            </w:hyperlink>
            <w:r>
              <w:rPr>
                <w:rFonts w:ascii="Arial" w:hAnsi="Arial" w:cs="Arial"/>
                <w:sz w:val="20"/>
                <w:szCs w:val="20"/>
              </w:rPr>
              <w:t xml:space="preserve"> </w:t>
            </w:r>
          </w:p>
          <w:p w:rsidR="00514259" w:rsidRPr="00C77AEF" w:rsidRDefault="00514259" w:rsidP="00514259">
            <w:pPr>
              <w:pStyle w:val="NoSpacing"/>
              <w:rPr>
                <w:rFonts w:ascii="Arial" w:hAnsi="Arial" w:cs="Arial"/>
                <w:sz w:val="20"/>
                <w:szCs w:val="20"/>
              </w:rPr>
            </w:pPr>
          </w:p>
        </w:tc>
        <w:tc>
          <w:tcPr>
            <w:tcW w:w="2897" w:type="dxa"/>
          </w:tcPr>
          <w:p w:rsidR="00514259" w:rsidRPr="00C77AEF" w:rsidRDefault="00514259" w:rsidP="00514259">
            <w:pPr>
              <w:pStyle w:val="NoSpacing"/>
              <w:rPr>
                <w:rFonts w:ascii="Arial" w:hAnsi="Arial" w:cs="Arial"/>
                <w:sz w:val="20"/>
                <w:szCs w:val="20"/>
              </w:rPr>
            </w:pPr>
          </w:p>
        </w:tc>
      </w:tr>
      <w:tr w:rsidR="00514259" w:rsidRPr="00C77AEF" w:rsidTr="009C737E">
        <w:tc>
          <w:tcPr>
            <w:tcW w:w="6679" w:type="dxa"/>
            <w:gridSpan w:val="5"/>
          </w:tcPr>
          <w:p w:rsidR="00514259" w:rsidRPr="00C77AEF" w:rsidRDefault="00514259" w:rsidP="00514259">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c>
          <w:tcPr>
            <w:tcW w:w="2897" w:type="dxa"/>
          </w:tcPr>
          <w:p w:rsidR="00514259" w:rsidRPr="00C77AEF" w:rsidRDefault="00514259" w:rsidP="00514259">
            <w:pPr>
              <w:pStyle w:val="NoSpacing"/>
              <w:rPr>
                <w:rFonts w:ascii="Arial" w:hAnsi="Arial" w:cs="Arial"/>
                <w:b/>
                <w:sz w:val="20"/>
                <w:szCs w:val="20"/>
              </w:rPr>
            </w:pPr>
          </w:p>
        </w:tc>
      </w:tr>
    </w:tbl>
    <w:p w:rsidR="003B7615" w:rsidRDefault="003B7615" w:rsidP="00055D84">
      <w:pPr>
        <w:spacing w:after="0" w:line="240" w:lineRule="auto"/>
        <w:rPr>
          <w:rFonts w:ascii="Times New Roman" w:eastAsia="Times New Roman" w:hAnsi="Times New Roman" w:cs="Times New Roman"/>
          <w:b/>
          <w:bCs/>
          <w:sz w:val="24"/>
          <w:szCs w:val="24"/>
        </w:rPr>
      </w:pPr>
    </w:p>
    <w:p w:rsidR="002140E4" w:rsidRPr="00010559" w:rsidRDefault="002140E4" w:rsidP="00AC6AC2"/>
    <w:sectPr w:rsidR="002140E4" w:rsidRPr="0001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46FA3"/>
    <w:multiLevelType w:val="hybridMultilevel"/>
    <w:tmpl w:val="4698C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Underwood">
    <w15:presenceInfo w15:providerId="Windows Live" w15:userId="942ff62045e1a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32734"/>
    <w:rsid w:val="00055D84"/>
    <w:rsid w:val="000C21AB"/>
    <w:rsid w:val="00167A7A"/>
    <w:rsid w:val="001E12F2"/>
    <w:rsid w:val="002140E4"/>
    <w:rsid w:val="00223C1A"/>
    <w:rsid w:val="00227954"/>
    <w:rsid w:val="00326EF5"/>
    <w:rsid w:val="003472A4"/>
    <w:rsid w:val="003534C4"/>
    <w:rsid w:val="003940D0"/>
    <w:rsid w:val="003B7615"/>
    <w:rsid w:val="004D6914"/>
    <w:rsid w:val="00507CEC"/>
    <w:rsid w:val="00514259"/>
    <w:rsid w:val="005B6482"/>
    <w:rsid w:val="00613B6F"/>
    <w:rsid w:val="00641BD8"/>
    <w:rsid w:val="0066552A"/>
    <w:rsid w:val="006E4E9D"/>
    <w:rsid w:val="00706240"/>
    <w:rsid w:val="00714489"/>
    <w:rsid w:val="007732B9"/>
    <w:rsid w:val="00866EB4"/>
    <w:rsid w:val="008933E5"/>
    <w:rsid w:val="008E4FD2"/>
    <w:rsid w:val="008E7C77"/>
    <w:rsid w:val="00951066"/>
    <w:rsid w:val="00984F92"/>
    <w:rsid w:val="009C737E"/>
    <w:rsid w:val="009D6226"/>
    <w:rsid w:val="009E410B"/>
    <w:rsid w:val="00A56BF5"/>
    <w:rsid w:val="00AC6AC2"/>
    <w:rsid w:val="00AC72DB"/>
    <w:rsid w:val="00AE5749"/>
    <w:rsid w:val="00B1575F"/>
    <w:rsid w:val="00B349C4"/>
    <w:rsid w:val="00B36AA2"/>
    <w:rsid w:val="00B815AA"/>
    <w:rsid w:val="00BA0AB2"/>
    <w:rsid w:val="00C07D57"/>
    <w:rsid w:val="00C243DD"/>
    <w:rsid w:val="00C24904"/>
    <w:rsid w:val="00C77AEF"/>
    <w:rsid w:val="00CB29A2"/>
    <w:rsid w:val="00CF5446"/>
    <w:rsid w:val="00D45970"/>
    <w:rsid w:val="00D52D29"/>
    <w:rsid w:val="00D908C5"/>
    <w:rsid w:val="00E310E2"/>
    <w:rsid w:val="00E53323"/>
    <w:rsid w:val="00E95102"/>
    <w:rsid w:val="00F01E97"/>
    <w:rsid w:val="00F0346F"/>
    <w:rsid w:val="00F7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bridgesoft.com/" TargetMode="External"/><Relationship Id="rId3" Type="http://schemas.microsoft.com/office/2007/relationships/stylesWithEffects" Target="stylesWithEffects.xml"/><Relationship Id="rId7" Type="http://schemas.openxmlformats.org/officeDocument/2006/relationships/hyperlink" Target="http://wiki.siframework.org/Data+Segmentation+for+Privacy+Paper"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itle_21_CFR_Part_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erkinelmer.com/technologies/default.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Landeck, Al</cp:lastModifiedBy>
  <cp:revision>9</cp:revision>
  <dcterms:created xsi:type="dcterms:W3CDTF">2015-05-05T17:19:00Z</dcterms:created>
  <dcterms:modified xsi:type="dcterms:W3CDTF">2015-05-05T22:12:00Z</dcterms:modified>
</cp:coreProperties>
</file>