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C29" w:rsidRDefault="00A62C29" w:rsidP="00A62C29">
      <w:pPr>
        <w:pStyle w:val="Default"/>
        <w:rPr>
          <w:rFonts w:asciiTheme="majorHAnsi" w:hAnsiTheme="majorHAnsi"/>
        </w:rPr>
      </w:pPr>
    </w:p>
    <w:p w:rsidR="00A62C29" w:rsidRDefault="00A62C29" w:rsidP="00A62C29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A62C29" w:rsidRDefault="00A62C29" w:rsidP="00A62C29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D125C5">
        <w:rPr>
          <w:rFonts w:asciiTheme="majorHAnsi" w:hAnsiTheme="majorHAnsi"/>
          <w:b/>
          <w:color w:val="FF0000"/>
          <w:sz w:val="44"/>
          <w:szCs w:val="44"/>
        </w:rPr>
        <w:t>M0440</w:t>
      </w:r>
    </w:p>
    <w:p w:rsidR="00A62C29" w:rsidRDefault="00A62C29" w:rsidP="00A62C29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A62C29" w:rsidRDefault="00A62C29" w:rsidP="00A62C29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A62C29" w:rsidRDefault="00A62C29" w:rsidP="00A62C29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A62C29" w:rsidRDefault="00403DF3" w:rsidP="00A62C29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Ref. Arch.</w:t>
      </w:r>
      <w:r w:rsidR="00A62C29">
        <w:rPr>
          <w:rFonts w:asciiTheme="majorHAnsi" w:hAnsiTheme="majorHAnsi"/>
          <w:b/>
        </w:rPr>
        <w:t xml:space="preserve"> Sub</w:t>
      </w:r>
      <w:r w:rsidR="00D125C5">
        <w:rPr>
          <w:rFonts w:asciiTheme="majorHAnsi" w:hAnsiTheme="majorHAnsi"/>
          <w:b/>
        </w:rPr>
        <w:t>group Meeting Agenda for Sept. 15</w:t>
      </w:r>
      <w:r w:rsidR="00A62C29">
        <w:rPr>
          <w:rFonts w:asciiTheme="majorHAnsi" w:hAnsiTheme="majorHAnsi"/>
          <w:b/>
        </w:rPr>
        <w:t>, 2015</w:t>
      </w:r>
    </w:p>
    <w:p w:rsidR="00A62C29" w:rsidRDefault="00A62C29" w:rsidP="00A62C29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A62C29" w:rsidRDefault="00A62C29" w:rsidP="00A62C29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A62C29" w:rsidRDefault="00A62C29" w:rsidP="00A62C29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A62C29" w:rsidRDefault="00D125C5" w:rsidP="00A62C2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Sept. 15</w:t>
      </w:r>
      <w:r w:rsidR="00A62C29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A62C29" w:rsidRDefault="00A62C29" w:rsidP="00A62C29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8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A62C29" w:rsidRDefault="00A62C29" w:rsidP="00A62C29">
      <w:pPr>
        <w:rPr>
          <w:rFonts w:asciiTheme="majorHAnsi" w:hAnsiTheme="majorHAnsi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A62C29" w:rsidRDefault="00A62C29" w:rsidP="00A62C29">
      <w:pPr>
        <w:rPr>
          <w:rFonts w:asciiTheme="majorHAnsi" w:hAnsiTheme="majorHAnsi" w:cstheme="minorBidi"/>
        </w:rPr>
      </w:pPr>
    </w:p>
    <w:p w:rsidR="00A62C29" w:rsidRDefault="00A62C29" w:rsidP="00A62C29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A62C29" w:rsidRDefault="00A62C29" w:rsidP="00A62C29">
      <w:pPr>
        <w:shd w:val="clear" w:color="auto" w:fill="FFFFFF"/>
        <w:rPr>
          <w:rFonts w:asciiTheme="majorHAnsi" w:hAnsiTheme="majorHAnsi"/>
          <w:color w:val="000000"/>
        </w:rPr>
      </w:pPr>
    </w:p>
    <w:p w:rsidR="00A62C29" w:rsidRDefault="00A62C29" w:rsidP="00A62C29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650D41" w:rsidRDefault="00650D41" w:rsidP="00A62C29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NBD-PWG Vol. 1 documents status</w:t>
      </w:r>
    </w:p>
    <w:p w:rsidR="00386921" w:rsidRDefault="00386921" w:rsidP="00386921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386921" w:rsidRDefault="00386921" w:rsidP="00A62C29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last week’s action items:</w:t>
      </w:r>
    </w:p>
    <w:p w:rsidR="00386921" w:rsidRDefault="00386921" w:rsidP="00386921">
      <w:pPr>
        <w:widowControl w:val="0"/>
        <w:autoSpaceDE w:val="0"/>
        <w:autoSpaceDN w:val="0"/>
        <w:adjustRightInd w:val="0"/>
        <w:rPr>
          <w:rFonts w:ascii="MS Shell Dlg" w:hAnsi="MS Shell Dlg" w:cs="MS Shell Dlg"/>
          <w:b/>
          <w:bCs/>
          <w:color w:val="000000"/>
          <w:sz w:val="17"/>
          <w:szCs w:val="17"/>
        </w:rPr>
      </w:pPr>
    </w:p>
    <w:p w:rsidR="00386921" w:rsidRDefault="00386921" w:rsidP="0038692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 w:rsidRPr="00602118">
        <w:rPr>
          <w:rFonts w:ascii="MS Shell Dlg" w:hAnsi="MS Shell Dlg" w:cs="MS Shell Dlg"/>
          <w:bCs/>
          <w:color w:val="000000"/>
          <w:sz w:val="17"/>
          <w:szCs w:val="17"/>
        </w:rPr>
        <w:t xml:space="preserve">Thanks to those willing to apply the NIST identified six use cases </w:t>
      </w:r>
      <w:bookmarkStart w:id="0" w:name="_GoBack"/>
      <w:bookmarkEnd w:id="0"/>
    </w:p>
    <w:p w:rsidR="00386921" w:rsidRPr="007A7D65" w:rsidRDefault="00386921" w:rsidP="00386921">
      <w:pPr>
        <w:pStyle w:val="ListParagraph"/>
        <w:widowControl w:val="0"/>
        <w:autoSpaceDE w:val="0"/>
        <w:autoSpaceDN w:val="0"/>
        <w:adjustRightInd w:val="0"/>
        <w:rPr>
          <w:rFonts w:ascii="MS Shell Dlg" w:hAnsi="MS Shell Dlg" w:cs="MS Shell Dlg"/>
          <w:bCs/>
          <w:color w:val="000000"/>
          <w:sz w:val="17"/>
          <w:szCs w:val="17"/>
        </w:rPr>
      </w:pPr>
      <w:r w:rsidRPr="007A7D65">
        <w:rPr>
          <w:rFonts w:ascii="MS Shell Dlg" w:hAnsi="MS Shell Dlg" w:cs="MS Shell Dlg"/>
          <w:bCs/>
          <w:color w:val="000000"/>
          <w:sz w:val="17"/>
          <w:szCs w:val="17"/>
        </w:rPr>
        <w:t>(</w:t>
      </w:r>
      <w:hyperlink r:id="rId9" w:history="1">
        <w:r w:rsidRPr="007A7D65">
          <w:rPr>
            <w:rStyle w:val="Hyperlink"/>
            <w:rFonts w:ascii="MS Shell Dlg" w:hAnsi="MS Shell Dlg" w:cs="MS Shell Dlg"/>
            <w:bCs/>
            <w:sz w:val="17"/>
            <w:szCs w:val="17"/>
          </w:rPr>
          <w:t>http://bigdatawg.nist.gov/_uploadfiles/M0399_v3_9386924556.doc</w:t>
        </w:r>
      </w:hyperlink>
      <w:r w:rsidRPr="007A7D65">
        <w:rPr>
          <w:rFonts w:ascii="MS Shell Dlg" w:hAnsi="MS Shell Dlg" w:cs="MS Shell Dlg"/>
          <w:bCs/>
          <w:color w:val="000000"/>
          <w:sz w:val="17"/>
          <w:szCs w:val="17"/>
        </w:rPr>
        <w:t>) to NIST RA Conceptual Model (</w:t>
      </w:r>
      <w:hyperlink r:id="rId10" w:history="1">
        <w:r w:rsidRPr="007A7D65">
          <w:rPr>
            <w:rStyle w:val="Hyperlink"/>
            <w:rFonts w:ascii="MS Shell Dlg" w:hAnsi="MS Shell Dlg" w:cs="MS Shell Dlg"/>
            <w:bCs/>
            <w:sz w:val="17"/>
            <w:szCs w:val="17"/>
          </w:rPr>
          <w:t>http://bigdatawg.nist.gov/_uploadfiles/M0437_v1_8937283419.pptx</w:t>
        </w:r>
      </w:hyperlink>
      <w:r w:rsidRPr="007A7D65">
        <w:rPr>
          <w:rFonts w:ascii="MS Shell Dlg" w:hAnsi="MS Shell Dlg" w:cs="MS Shell Dlg"/>
          <w:bCs/>
          <w:color w:val="000000"/>
          <w:sz w:val="17"/>
          <w:szCs w:val="17"/>
        </w:rPr>
        <w:t>) for RA Activities View and RA Functional View. The NIST six use cases are:</w:t>
      </w:r>
    </w:p>
    <w:p w:rsidR="00386921" w:rsidRDefault="00386921" w:rsidP="00386921">
      <w:pPr>
        <w:pStyle w:val="ListParagraph"/>
        <w:widowControl w:val="0"/>
        <w:numPr>
          <w:ilvl w:val="1"/>
          <w:numId w:val="32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UC#1: Fingerprint Matching</w:t>
      </w:r>
    </w:p>
    <w:p w:rsidR="00386921" w:rsidRDefault="00386921" w:rsidP="00386921">
      <w:pPr>
        <w:pStyle w:val="ListParagraph"/>
        <w:widowControl w:val="0"/>
        <w:numPr>
          <w:ilvl w:val="1"/>
          <w:numId w:val="32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UC#2: Human Face Detection from Video (</w:t>
      </w:r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>simulated streaming data)</w:t>
      </w:r>
    </w:p>
    <w:p w:rsidR="00386921" w:rsidRPr="00E27F83" w:rsidRDefault="00386921" w:rsidP="00386921">
      <w:pPr>
        <w:pStyle w:val="ListParagraph"/>
        <w:numPr>
          <w:ilvl w:val="1"/>
          <w:numId w:val="32"/>
        </w:numPr>
        <w:spacing w:after="160" w:line="259" w:lineRule="auto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>UC#3: Live Twitter Analysis</w:t>
      </w:r>
    </w:p>
    <w:p w:rsidR="00386921" w:rsidRPr="00E27F83" w:rsidRDefault="00386921" w:rsidP="00386921">
      <w:pPr>
        <w:pStyle w:val="ListParagraph"/>
        <w:numPr>
          <w:ilvl w:val="1"/>
          <w:numId w:val="32"/>
        </w:numPr>
        <w:spacing w:after="160" w:line="259" w:lineRule="auto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 xml:space="preserve">UC#4: </w:t>
      </w:r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>Big data Analytics for Healthcare Data/Health informatics</w:t>
      </w:r>
    </w:p>
    <w:p w:rsidR="00386921" w:rsidRPr="00E27F83" w:rsidRDefault="00386921" w:rsidP="00386921">
      <w:pPr>
        <w:pStyle w:val="ListParagraph"/>
        <w:numPr>
          <w:ilvl w:val="1"/>
          <w:numId w:val="32"/>
        </w:numPr>
        <w:spacing w:after="160" w:line="259" w:lineRule="auto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 xml:space="preserve">UC#5: Spatial Big data/Spatial Statistics/Geographic Information Systems </w:t>
      </w:r>
    </w:p>
    <w:p w:rsidR="00386921" w:rsidRDefault="00386921" w:rsidP="00386921">
      <w:pPr>
        <w:pStyle w:val="ListParagraph"/>
        <w:widowControl w:val="0"/>
        <w:numPr>
          <w:ilvl w:val="1"/>
          <w:numId w:val="32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UC#6: Data Warehouse and Data Mining</w:t>
      </w:r>
    </w:p>
    <w:p w:rsidR="00386921" w:rsidRDefault="00386921" w:rsidP="00386921">
      <w:pPr>
        <w:pStyle w:val="ListParagraph"/>
        <w:widowControl w:val="0"/>
        <w:autoSpaceDE w:val="0"/>
        <w:autoSpaceDN w:val="0"/>
        <w:adjustRightInd w:val="0"/>
        <w:rPr>
          <w:rFonts w:ascii="MS Shell Dlg" w:hAnsi="MS Shell Dlg" w:cs="MS Shell Dlg"/>
          <w:bCs/>
          <w:color w:val="000000"/>
          <w:sz w:val="17"/>
          <w:szCs w:val="17"/>
        </w:rPr>
      </w:pPr>
    </w:p>
    <w:p w:rsidR="00386921" w:rsidRDefault="00386921" w:rsidP="00386921">
      <w:pPr>
        <w:pStyle w:val="ListParagraph"/>
        <w:widowControl w:val="0"/>
        <w:autoSpaceDE w:val="0"/>
        <w:autoSpaceDN w:val="0"/>
        <w:adjustRightInd w:val="0"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The following volunteers are willing to walk through the selected use case with the NIST RA conceptual model:</w:t>
      </w:r>
    </w:p>
    <w:p w:rsidR="00386921" w:rsidRDefault="00386921" w:rsidP="00386921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 xml:space="preserve">Ann </w:t>
      </w:r>
      <w:proofErr w:type="spellStart"/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>Racuya</w:t>
      </w:r>
      <w:proofErr w:type="spellEnd"/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>-Robbins</w:t>
      </w:r>
      <w:r>
        <w:rPr>
          <w:rFonts w:ascii="MS Shell Dlg" w:hAnsi="MS Shell Dlg" w:cs="MS Shell Dlg"/>
          <w:bCs/>
          <w:color w:val="000000"/>
          <w:sz w:val="17"/>
          <w:szCs w:val="17"/>
        </w:rPr>
        <w:t>: UC#2</w:t>
      </w:r>
    </w:p>
    <w:p w:rsidR="00386921" w:rsidRDefault="00386921" w:rsidP="00386921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proofErr w:type="spellStart"/>
      <w:r>
        <w:rPr>
          <w:rFonts w:ascii="MS Shell Dlg" w:hAnsi="MS Shell Dlg" w:cs="MS Shell Dlg"/>
          <w:bCs/>
          <w:color w:val="000000"/>
          <w:sz w:val="17"/>
          <w:szCs w:val="17"/>
        </w:rPr>
        <w:t>Korin</w:t>
      </w:r>
      <w:proofErr w:type="spellEnd"/>
      <w:r>
        <w:rPr>
          <w:rFonts w:ascii="MS Shell Dlg" w:hAnsi="MS Shell Dlg" w:cs="MS Shell Dlg"/>
          <w:bCs/>
          <w:color w:val="000000"/>
          <w:sz w:val="17"/>
          <w:szCs w:val="17"/>
        </w:rPr>
        <w:t xml:space="preserve"> Reid: UC#4 and UC#6</w:t>
      </w:r>
    </w:p>
    <w:p w:rsidR="00386921" w:rsidRDefault="00386921" w:rsidP="00386921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Russell: UC#3, UC#4, UC#6</w:t>
      </w:r>
    </w:p>
    <w:p w:rsidR="00386921" w:rsidRDefault="00386921" w:rsidP="00386921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Gretchen: UC#3</w:t>
      </w:r>
    </w:p>
    <w:p w:rsidR="00386921" w:rsidRDefault="00386921" w:rsidP="00386921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PW: UC#3</w:t>
      </w:r>
    </w:p>
    <w:p w:rsidR="00386921" w:rsidRDefault="00386921" w:rsidP="0038692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 w:rsidRPr="007A7D65">
        <w:rPr>
          <w:rFonts w:ascii="MS Shell Dlg" w:hAnsi="MS Shell Dlg" w:cs="MS Shell Dlg"/>
          <w:bCs/>
          <w:color w:val="000000"/>
          <w:sz w:val="17"/>
          <w:szCs w:val="17"/>
        </w:rPr>
        <w:t>Robert Reyling and Russell will hel</w:t>
      </w:r>
      <w:r>
        <w:rPr>
          <w:rFonts w:ascii="MS Shell Dlg" w:hAnsi="MS Shell Dlg" w:cs="MS Shell Dlg"/>
          <w:bCs/>
          <w:color w:val="000000"/>
          <w:sz w:val="17"/>
          <w:szCs w:val="17"/>
        </w:rPr>
        <w:t>p Dave to work on the Reference Architecture</w:t>
      </w:r>
      <w:r w:rsidRPr="007A7D65">
        <w:rPr>
          <w:rFonts w:ascii="MS Shell Dlg" w:hAnsi="MS Shell Dlg" w:cs="MS Shell Dlg"/>
          <w:bCs/>
          <w:color w:val="000000"/>
          <w:sz w:val="17"/>
          <w:szCs w:val="17"/>
        </w:rPr>
        <w:t xml:space="preserve"> out from IEEE 42010</w:t>
      </w:r>
    </w:p>
    <w:p w:rsidR="00386921" w:rsidRPr="007A7D65" w:rsidRDefault="00386921" w:rsidP="0038692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 xml:space="preserve">Tim will help </w:t>
      </w:r>
      <w:proofErr w:type="gramStart"/>
      <w:r>
        <w:rPr>
          <w:rFonts w:ascii="MS Shell Dlg" w:hAnsi="MS Shell Dlg" w:cs="MS Shell Dlg"/>
          <w:bCs/>
          <w:color w:val="000000"/>
          <w:sz w:val="17"/>
          <w:szCs w:val="17"/>
        </w:rPr>
        <w:t>Wo</w:t>
      </w:r>
      <w:proofErr w:type="gramEnd"/>
      <w:r>
        <w:rPr>
          <w:rFonts w:ascii="MS Shell Dlg" w:hAnsi="MS Shell Dlg" w:cs="MS Shell Dlg"/>
          <w:bCs/>
          <w:color w:val="000000"/>
          <w:sz w:val="17"/>
          <w:szCs w:val="17"/>
        </w:rPr>
        <w:t xml:space="preserve"> to draft some justification to apply free computing in a cloud from AWS, Microsoft, Google, etc.</w:t>
      </w:r>
    </w:p>
    <w:p w:rsidR="00650D41" w:rsidRDefault="00650D41" w:rsidP="00650D41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A62C29" w:rsidRDefault="00A62C29" w:rsidP="00A62C29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NBD-PWG Subgroups Meeting Schedules (from July 21 – September 29)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84"/>
        <w:gridCol w:w="1476"/>
        <w:gridCol w:w="4125"/>
        <w:gridCol w:w="1440"/>
        <w:gridCol w:w="1525"/>
      </w:tblGrid>
      <w:tr w:rsidR="00A62C29" w:rsidTr="00A62C2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2C29" w:rsidRDefault="00A62C29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Date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2C29" w:rsidRDefault="00A62C29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Subgroup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2C29" w:rsidRDefault="00A62C29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Topics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2C29" w:rsidRDefault="00A62C29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ISO Deadline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2C29" w:rsidRDefault="00A62C29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Co-Chairs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07/21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4 for ISO 20547-4 Security &amp; Privacy Fabric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lastRenderedPageBreak/>
              <w:t xml:space="preserve">V2.0 business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lastRenderedPageBreak/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A62C29" w:rsidTr="00A62C29">
        <w:trPr>
          <w:trHeight w:val="734"/>
        </w:trPr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lastRenderedPageBreak/>
              <w:t>07/28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A62C29" w:rsidRDefault="00A62C29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Ref. Arch.(1)</w:t>
            </w:r>
          </w:p>
          <w:p w:rsidR="00A62C29" w:rsidRDefault="00A62C29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  <w:p w:rsidR="00A62C29" w:rsidRDefault="00A62C29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How to prepare </w:t>
            </w: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Seek contributors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A62C29" w:rsidTr="00A62C29">
        <w:trPr>
          <w:trHeight w:val="63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3 for ISO 20547-2 Use Cases &amp; Derived Requirements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Geoffrey and Piyush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08/04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Review ISO 20546 WD1 Overview and Vocabulary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Nancy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08/11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7 for ISO 20547-5 Standards Roadmap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08/18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Ref. Arch. (2)</w:t>
            </w:r>
          </w:p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Review and prepare </w:t>
            </w: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08/25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Resubmission ISO 20547-3 with brief justifications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A62C29" w:rsidTr="00D125C5"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A62C29" w:rsidTr="00D125C5"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09/08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top w:val="single" w:sz="8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8" w:space="0" w:color="auto"/>
              <w:left w:val="single" w:sz="4" w:space="0" w:color="auto"/>
              <w:bottom w:val="threeDEmboss" w:sz="24" w:space="0" w:color="auto"/>
              <w:right w:val="single" w:sz="8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A62C29" w:rsidTr="00D125C5">
        <w:tc>
          <w:tcPr>
            <w:tcW w:w="784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09/15</w:t>
            </w:r>
          </w:p>
        </w:tc>
        <w:tc>
          <w:tcPr>
            <w:tcW w:w="1476" w:type="dxa"/>
            <w:tcBorders>
              <w:top w:val="threeDEmboss" w:sz="24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threeDEmboss" w:sz="24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threeDEmboss" w:sz="24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threeDEmboss" w:sz="24" w:space="0" w:color="auto"/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Geoffrey and Piyush </w:t>
            </w:r>
          </w:p>
        </w:tc>
      </w:tr>
      <w:tr w:rsidR="00A62C29" w:rsidTr="00D125C5">
        <w:tc>
          <w:tcPr>
            <w:tcW w:w="784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09/22</w:t>
            </w:r>
          </w:p>
        </w:tc>
        <w:tc>
          <w:tcPr>
            <w:tcW w:w="1476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09/29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Nancy </w:t>
            </w:r>
          </w:p>
        </w:tc>
      </w:tr>
    </w:tbl>
    <w:p w:rsidR="00A62C29" w:rsidRDefault="00A62C29" w:rsidP="00A62C29">
      <w:pPr>
        <w:rPr>
          <w:rFonts w:ascii="Calibri" w:hAnsi="Calibri"/>
          <w:color w:val="1F497D"/>
          <w:sz w:val="22"/>
          <w:szCs w:val="22"/>
        </w:rPr>
      </w:pPr>
    </w:p>
    <w:p w:rsidR="00A62C29" w:rsidRDefault="00A62C29" w:rsidP="00A62C29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A62C29" w:rsidRDefault="00D125C5" w:rsidP="00A62C29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Use Cases &amp; Requirements Subgroup – Geoffrey &amp; Piyush</w:t>
      </w:r>
    </w:p>
    <w:p w:rsidR="00A62C29" w:rsidRDefault="00D125C5" w:rsidP="00A62C29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 205</w:t>
      </w:r>
      <w:r w:rsidR="00650D41">
        <w:rPr>
          <w:rFonts w:asciiTheme="majorHAnsi" w:hAnsiTheme="majorHAnsi"/>
          <w:color w:val="000000"/>
        </w:rPr>
        <w:t>47-2 telecon rescheduled</w:t>
      </w:r>
      <w:r w:rsidR="00230799">
        <w:rPr>
          <w:rFonts w:asciiTheme="majorHAnsi" w:hAnsiTheme="majorHAnsi"/>
          <w:color w:val="000000"/>
        </w:rPr>
        <w:t xml:space="preserve"> to </w:t>
      </w:r>
      <w:r w:rsidR="00230799" w:rsidRPr="00230799">
        <w:rPr>
          <w:rFonts w:asciiTheme="majorHAnsi" w:hAnsiTheme="majorHAnsi"/>
          <w:b/>
          <w:color w:val="FF0000"/>
        </w:rPr>
        <w:t>Sept. 24</w:t>
      </w:r>
      <w:r w:rsidR="00650D41">
        <w:rPr>
          <w:rFonts w:asciiTheme="majorHAnsi" w:hAnsiTheme="majorHAnsi"/>
          <w:color w:val="000000"/>
        </w:rPr>
        <w:t>, 5:00PM – 7:00PM</w:t>
      </w:r>
      <w:r w:rsidR="00794986">
        <w:rPr>
          <w:rFonts w:asciiTheme="majorHAnsi" w:hAnsiTheme="majorHAnsi"/>
          <w:color w:val="000000"/>
        </w:rPr>
        <w:t xml:space="preserve"> EDT</w:t>
      </w:r>
    </w:p>
    <w:p w:rsidR="00A62C29" w:rsidRDefault="00D125C5" w:rsidP="00A62C29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From Vol. 3</w:t>
      </w:r>
      <w:r w:rsidR="00A62C29">
        <w:rPr>
          <w:rFonts w:asciiTheme="majorHAnsi" w:hAnsiTheme="majorHAnsi"/>
          <w:color w:val="000000"/>
        </w:rPr>
        <w:t xml:space="preserve"> Section 1.5</w:t>
      </w:r>
      <w:bookmarkStart w:id="1" w:name="_Toc415608093"/>
      <w:bookmarkStart w:id="2" w:name="_Toc427144343"/>
      <w:r w:rsidR="00A62C29">
        <w:rPr>
          <w:rFonts w:asciiTheme="majorHAnsi" w:hAnsiTheme="majorHAnsi"/>
          <w:color w:val="000000"/>
        </w:rPr>
        <w:t>: Future Work on this Volume</w:t>
      </w:r>
      <w:bookmarkEnd w:id="1"/>
      <w:bookmarkEnd w:id="2"/>
    </w:p>
    <w:p w:rsidR="00A62C29" w:rsidRDefault="00A62C29" w:rsidP="00A62C29">
      <w:pPr>
        <w:rPr>
          <w:color w:val="000000" w:themeColor="text1"/>
        </w:rPr>
      </w:pPr>
    </w:p>
    <w:p w:rsidR="00D125C5" w:rsidRDefault="00D125C5" w:rsidP="00D125C5">
      <w:pPr>
        <w:pStyle w:val="BDTextBulletList"/>
      </w:pPr>
      <w:r>
        <w:t>I</w:t>
      </w:r>
      <w:r w:rsidRPr="007B3424">
        <w:t>dentif</w:t>
      </w:r>
      <w:r>
        <w:t>y</w:t>
      </w:r>
      <w:r w:rsidRPr="007B3424">
        <w:t xml:space="preserve"> general features or patterns and a classification of use cases by these features</w:t>
      </w:r>
      <w:r>
        <w:t>.</w:t>
      </w:r>
      <w:r w:rsidRPr="007B3424">
        <w:t xml:space="preserve"> </w:t>
      </w:r>
    </w:p>
    <w:p w:rsidR="00D125C5" w:rsidRDefault="00D125C5" w:rsidP="00D125C5">
      <w:pPr>
        <w:pStyle w:val="BDTextBulletList"/>
      </w:pPr>
      <w:r>
        <w:t>Draw on t</w:t>
      </w:r>
      <w:r w:rsidRPr="007B3424">
        <w:t xml:space="preserve">he </w:t>
      </w:r>
      <w:r>
        <w:t xml:space="preserve">use case </w:t>
      </w:r>
      <w:r w:rsidRPr="007B3424">
        <w:t>classification to suggest classes of software m</w:t>
      </w:r>
      <w:r>
        <w:t>odels and system architectures.</w:t>
      </w:r>
    </w:p>
    <w:p w:rsidR="00D125C5" w:rsidRDefault="00D125C5" w:rsidP="00D125C5">
      <w:pPr>
        <w:pStyle w:val="BDTextBulletList"/>
      </w:pPr>
      <w:r>
        <w:t>A</w:t>
      </w:r>
      <w:r w:rsidRPr="007B3424">
        <w:t xml:space="preserve"> more detailed analysis of reference architecture based on sample codes that are b</w:t>
      </w:r>
      <w:r>
        <w:t xml:space="preserve">eing implemented in a university class. </w:t>
      </w:r>
      <w:r>
        <w:rPr>
          <w:rStyle w:val="EndnoteReference"/>
        </w:rPr>
        <w:endnoteReference w:id="1"/>
      </w:r>
      <w:r w:rsidRPr="007B3424">
        <w:t xml:space="preserve"> </w:t>
      </w:r>
    </w:p>
    <w:p w:rsidR="00D125C5" w:rsidRPr="007B3424" w:rsidRDefault="00D125C5" w:rsidP="00D125C5">
      <w:pPr>
        <w:pStyle w:val="BDTextBulletList"/>
      </w:pPr>
      <w:r>
        <w:t xml:space="preserve">Collect benchmarks </w:t>
      </w:r>
      <w:r w:rsidRPr="008927CD">
        <w:t xml:space="preserve">that capture the “essence” of individual </w:t>
      </w:r>
      <w:r>
        <w:t>use cases.</w:t>
      </w:r>
    </w:p>
    <w:p w:rsidR="00D125C5" w:rsidRPr="007B3424" w:rsidRDefault="00D125C5" w:rsidP="00D125C5">
      <w:pPr>
        <w:pStyle w:val="BDTextBulletList"/>
      </w:pPr>
      <w:r>
        <w:lastRenderedPageBreak/>
        <w:t xml:space="preserve">Additional work may arise from these or other NBD-PWG activities. </w:t>
      </w:r>
      <w:r w:rsidRPr="007B3424">
        <w:t xml:space="preserve">Other future work </w:t>
      </w:r>
      <w:r>
        <w:t>may</w:t>
      </w:r>
      <w:r w:rsidRPr="007B3424">
        <w:t xml:space="preserve"> include collection and classification of additional use cases </w:t>
      </w:r>
      <w:r>
        <w:t>in</w:t>
      </w:r>
      <w:r w:rsidRPr="007B3424">
        <w:t xml:space="preserve"> areas</w:t>
      </w:r>
      <w:r w:rsidRPr="001C7DCF">
        <w:t xml:space="preserve"> </w:t>
      </w:r>
      <w:r>
        <w:t xml:space="preserve">that </w:t>
      </w:r>
      <w:r w:rsidRPr="007B3424">
        <w:t>would benefit from additional entries</w:t>
      </w:r>
      <w:r>
        <w:t>,</w:t>
      </w:r>
      <w:r w:rsidRPr="007B3424">
        <w:t xml:space="preserve"> </w:t>
      </w:r>
      <w:r>
        <w:t>such as</w:t>
      </w:r>
      <w:r w:rsidRPr="007B3424">
        <w:t xml:space="preserve"> Government Operations, Commercial, Internet of Things</w:t>
      </w:r>
      <w:r>
        <w:t>,</w:t>
      </w:r>
      <w:r w:rsidRPr="007B3424">
        <w:t xml:space="preserve"> and Energy. </w:t>
      </w:r>
      <w:r>
        <w:t>Additional information on current or new use cases may become available, including associated figures. In future use cases, more q</w:t>
      </w:r>
      <w:r w:rsidRPr="007B3424">
        <w:t xml:space="preserve">uantitative specifications </w:t>
      </w:r>
      <w:r>
        <w:t>could be made, including more</w:t>
      </w:r>
      <w:r w:rsidRPr="007B3424">
        <w:t xml:space="preserve"> precise and uniform</w:t>
      </w:r>
      <w:r>
        <w:t xml:space="preserve"> recording of data volume</w:t>
      </w:r>
      <w:r w:rsidRPr="007B3424">
        <w:t xml:space="preserve">. </w:t>
      </w:r>
      <w:r>
        <w:t>In addition, f</w:t>
      </w:r>
      <w:r w:rsidRPr="007B3424">
        <w:t xml:space="preserve">urther requirements analysis can be </w:t>
      </w:r>
      <w:r>
        <w:t xml:space="preserve">performed </w:t>
      </w:r>
      <w:r w:rsidRPr="007B3424">
        <w:t xml:space="preserve">now </w:t>
      </w:r>
      <w:r>
        <w:t xml:space="preserve">that </w:t>
      </w:r>
      <w:r w:rsidRPr="007B3424">
        <w:t>the reference architecture is more mature.</w:t>
      </w:r>
    </w:p>
    <w:p w:rsidR="00A62C29" w:rsidRDefault="00A62C29" w:rsidP="00A62C29">
      <w:pPr>
        <w:shd w:val="clear" w:color="auto" w:fill="FFFFFF"/>
        <w:rPr>
          <w:rFonts w:asciiTheme="majorHAnsi" w:hAnsiTheme="majorHAnsi"/>
          <w:color w:val="000000"/>
        </w:rPr>
      </w:pPr>
    </w:p>
    <w:p w:rsidR="00A62C29" w:rsidRDefault="00A62C29" w:rsidP="00A62C29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A62C29" w:rsidRDefault="00A62C29" w:rsidP="00A62C29">
      <w:pPr>
        <w:rPr>
          <w:rFonts w:asciiTheme="minorHAnsi" w:hAnsiTheme="minorHAnsi" w:cstheme="minorBidi"/>
          <w:sz w:val="22"/>
          <w:szCs w:val="22"/>
        </w:rPr>
      </w:pPr>
    </w:p>
    <w:p w:rsidR="00D730C5" w:rsidRPr="00A62C29" w:rsidRDefault="00D730C5" w:rsidP="00A62C29"/>
    <w:sectPr w:rsidR="00D730C5" w:rsidRPr="00A6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5C5" w:rsidRDefault="00D125C5" w:rsidP="00D125C5">
      <w:r>
        <w:separator/>
      </w:r>
    </w:p>
  </w:endnote>
  <w:endnote w:type="continuationSeparator" w:id="0">
    <w:p w:rsidR="00D125C5" w:rsidRDefault="00D125C5" w:rsidP="00D125C5">
      <w:r>
        <w:continuationSeparator/>
      </w:r>
    </w:p>
  </w:endnote>
  <w:endnote w:id="1">
    <w:p w:rsidR="00D125C5" w:rsidRDefault="00D125C5" w:rsidP="00D125C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BA4A2D">
        <w:t xml:space="preserve">Geoffrey Fox. </w:t>
      </w:r>
      <w:r>
        <w:t>“</w:t>
      </w:r>
      <w:r w:rsidRPr="00BA4A2D">
        <w:t>INFO 590 Indiana University Online Class: Big Data Op</w:t>
      </w:r>
      <w:r>
        <w:t xml:space="preserve">en Source Software and Projects,” </w:t>
      </w:r>
      <w:r>
        <w:rPr>
          <w:i/>
        </w:rPr>
        <w:t>Indiana University,</w:t>
      </w:r>
      <w:r>
        <w:t xml:space="preserve"> </w:t>
      </w:r>
      <w:r w:rsidRPr="00BA4A2D">
        <w:t>2014</w:t>
      </w:r>
      <w:r>
        <w:t xml:space="preserve"> [accessed </w:t>
      </w:r>
      <w:r w:rsidRPr="00BA4A2D">
        <w:t>December 11</w:t>
      </w:r>
      <w:r>
        <w:t xml:space="preserve">, 2014], </w:t>
      </w:r>
      <w:hyperlink r:id="rId1" w:history="1">
        <w:r w:rsidRPr="00181735">
          <w:rPr>
            <w:rStyle w:val="Hyperlink"/>
          </w:rPr>
          <w:t>http://bigdataopensourceprojects.soic.indiana.edu/</w:t>
        </w:r>
      </w:hyperlink>
      <w:r w:rsidRPr="00BA4A2D"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5C5" w:rsidRDefault="00D125C5" w:rsidP="00D125C5">
      <w:r>
        <w:separator/>
      </w:r>
    </w:p>
  </w:footnote>
  <w:footnote w:type="continuationSeparator" w:id="0">
    <w:p w:rsidR="00D125C5" w:rsidRDefault="00D125C5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7FEB"/>
    <w:multiLevelType w:val="hybridMultilevel"/>
    <w:tmpl w:val="79BEFE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43746E01"/>
    <w:multiLevelType w:val="hybridMultilevel"/>
    <w:tmpl w:val="FA38E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8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94A57"/>
    <w:multiLevelType w:val="hybridMultilevel"/>
    <w:tmpl w:val="46B6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22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23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4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17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"/>
  </w:num>
  <w:num w:numId="13">
    <w:abstractNumId w:val="24"/>
  </w:num>
  <w:num w:numId="14">
    <w:abstractNumId w:val="16"/>
  </w:num>
  <w:num w:numId="15">
    <w:abstractNumId w:val="10"/>
  </w:num>
  <w:num w:numId="16">
    <w:abstractNumId w:val="18"/>
  </w:num>
  <w:num w:numId="17">
    <w:abstractNumId w:val="9"/>
  </w:num>
  <w:num w:numId="18">
    <w:abstractNumId w:val="11"/>
  </w:num>
  <w:num w:numId="19">
    <w:abstractNumId w:val="5"/>
  </w:num>
  <w:num w:numId="20">
    <w:abstractNumId w:val="25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2"/>
  </w:num>
  <w:num w:numId="24">
    <w:abstractNumId w:val="2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8"/>
  </w:num>
  <w:num w:numId="30">
    <w:abstractNumId w:val="8"/>
  </w:num>
  <w:num w:numId="31">
    <w:abstractNumId w:val="4"/>
  </w:num>
  <w:num w:numId="32">
    <w:abstractNumId w:val="2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2E43"/>
    <w:rsid w:val="0007429A"/>
    <w:rsid w:val="000B6995"/>
    <w:rsid w:val="000C4C4B"/>
    <w:rsid w:val="000C4FBB"/>
    <w:rsid w:val="000D10DB"/>
    <w:rsid w:val="000D6C02"/>
    <w:rsid w:val="000E3D16"/>
    <w:rsid w:val="000E599C"/>
    <w:rsid w:val="000F5515"/>
    <w:rsid w:val="000F5F0A"/>
    <w:rsid w:val="000F70C7"/>
    <w:rsid w:val="001027FD"/>
    <w:rsid w:val="0010625F"/>
    <w:rsid w:val="00107407"/>
    <w:rsid w:val="00117298"/>
    <w:rsid w:val="00122341"/>
    <w:rsid w:val="00132BEB"/>
    <w:rsid w:val="001448EF"/>
    <w:rsid w:val="001532EC"/>
    <w:rsid w:val="00165269"/>
    <w:rsid w:val="001724C5"/>
    <w:rsid w:val="00172E45"/>
    <w:rsid w:val="00173243"/>
    <w:rsid w:val="00177862"/>
    <w:rsid w:val="00184CEB"/>
    <w:rsid w:val="00185DEB"/>
    <w:rsid w:val="00193B93"/>
    <w:rsid w:val="001A52C8"/>
    <w:rsid w:val="001B0177"/>
    <w:rsid w:val="001B4264"/>
    <w:rsid w:val="001B5626"/>
    <w:rsid w:val="001B7ADE"/>
    <w:rsid w:val="001C6762"/>
    <w:rsid w:val="001C7F4A"/>
    <w:rsid w:val="001E226B"/>
    <w:rsid w:val="001F742E"/>
    <w:rsid w:val="001F7A7D"/>
    <w:rsid w:val="00206202"/>
    <w:rsid w:val="00216C8D"/>
    <w:rsid w:val="00230799"/>
    <w:rsid w:val="00230864"/>
    <w:rsid w:val="00235FE5"/>
    <w:rsid w:val="00243376"/>
    <w:rsid w:val="002460B6"/>
    <w:rsid w:val="00257428"/>
    <w:rsid w:val="00262BC9"/>
    <w:rsid w:val="00272390"/>
    <w:rsid w:val="002723A1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C1BDD"/>
    <w:rsid w:val="002C5C11"/>
    <w:rsid w:val="002D2CC0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465AF"/>
    <w:rsid w:val="0034725E"/>
    <w:rsid w:val="00353D7D"/>
    <w:rsid w:val="0036242E"/>
    <w:rsid w:val="00371063"/>
    <w:rsid w:val="00371451"/>
    <w:rsid w:val="00386921"/>
    <w:rsid w:val="00386E4F"/>
    <w:rsid w:val="00387C8B"/>
    <w:rsid w:val="00390FEF"/>
    <w:rsid w:val="003956B8"/>
    <w:rsid w:val="003A2562"/>
    <w:rsid w:val="003A440E"/>
    <w:rsid w:val="003B301B"/>
    <w:rsid w:val="003C5B5A"/>
    <w:rsid w:val="003D233A"/>
    <w:rsid w:val="003D3ABD"/>
    <w:rsid w:val="003E2779"/>
    <w:rsid w:val="003F12C6"/>
    <w:rsid w:val="003F5A54"/>
    <w:rsid w:val="00403DF3"/>
    <w:rsid w:val="0040420B"/>
    <w:rsid w:val="0041760E"/>
    <w:rsid w:val="004345C4"/>
    <w:rsid w:val="0043620A"/>
    <w:rsid w:val="00440AE3"/>
    <w:rsid w:val="004455E1"/>
    <w:rsid w:val="0045544E"/>
    <w:rsid w:val="00456931"/>
    <w:rsid w:val="00457737"/>
    <w:rsid w:val="00466026"/>
    <w:rsid w:val="004729D5"/>
    <w:rsid w:val="00482BFA"/>
    <w:rsid w:val="00484610"/>
    <w:rsid w:val="004A3B27"/>
    <w:rsid w:val="004C4A03"/>
    <w:rsid w:val="004C524D"/>
    <w:rsid w:val="004D1119"/>
    <w:rsid w:val="004D7169"/>
    <w:rsid w:val="004E3E9D"/>
    <w:rsid w:val="004F3967"/>
    <w:rsid w:val="004F452E"/>
    <w:rsid w:val="00507C6B"/>
    <w:rsid w:val="005112F6"/>
    <w:rsid w:val="0051448B"/>
    <w:rsid w:val="0051775E"/>
    <w:rsid w:val="005256C8"/>
    <w:rsid w:val="00531CCB"/>
    <w:rsid w:val="00543A72"/>
    <w:rsid w:val="00543F36"/>
    <w:rsid w:val="005444C6"/>
    <w:rsid w:val="00562EE1"/>
    <w:rsid w:val="00567295"/>
    <w:rsid w:val="00567E6B"/>
    <w:rsid w:val="00570B30"/>
    <w:rsid w:val="00571F97"/>
    <w:rsid w:val="00573F11"/>
    <w:rsid w:val="00584187"/>
    <w:rsid w:val="00584617"/>
    <w:rsid w:val="00587FC7"/>
    <w:rsid w:val="0059113E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E75BE"/>
    <w:rsid w:val="005F1802"/>
    <w:rsid w:val="005F27F7"/>
    <w:rsid w:val="005F4D69"/>
    <w:rsid w:val="00615293"/>
    <w:rsid w:val="006173DA"/>
    <w:rsid w:val="00620609"/>
    <w:rsid w:val="0062704B"/>
    <w:rsid w:val="006366B6"/>
    <w:rsid w:val="006400B3"/>
    <w:rsid w:val="0064529E"/>
    <w:rsid w:val="006479A2"/>
    <w:rsid w:val="00650D41"/>
    <w:rsid w:val="00657778"/>
    <w:rsid w:val="00665C39"/>
    <w:rsid w:val="00667119"/>
    <w:rsid w:val="006700B8"/>
    <w:rsid w:val="006744FC"/>
    <w:rsid w:val="006836BA"/>
    <w:rsid w:val="00684B6F"/>
    <w:rsid w:val="00687B92"/>
    <w:rsid w:val="00692E1E"/>
    <w:rsid w:val="00692F6D"/>
    <w:rsid w:val="00693CD3"/>
    <w:rsid w:val="006B071B"/>
    <w:rsid w:val="006B2037"/>
    <w:rsid w:val="006B6767"/>
    <w:rsid w:val="006C15B6"/>
    <w:rsid w:val="006C1891"/>
    <w:rsid w:val="006D2AA5"/>
    <w:rsid w:val="006E517D"/>
    <w:rsid w:val="00700CDA"/>
    <w:rsid w:val="00727D55"/>
    <w:rsid w:val="0073212C"/>
    <w:rsid w:val="007464C3"/>
    <w:rsid w:val="0075686D"/>
    <w:rsid w:val="00773931"/>
    <w:rsid w:val="00784AB6"/>
    <w:rsid w:val="00794986"/>
    <w:rsid w:val="00794C8B"/>
    <w:rsid w:val="007B16BB"/>
    <w:rsid w:val="007D4C41"/>
    <w:rsid w:val="007D5ED1"/>
    <w:rsid w:val="007D6978"/>
    <w:rsid w:val="007D7298"/>
    <w:rsid w:val="00800A75"/>
    <w:rsid w:val="00805DEE"/>
    <w:rsid w:val="00811AF8"/>
    <w:rsid w:val="008229F9"/>
    <w:rsid w:val="00826F8D"/>
    <w:rsid w:val="008650CC"/>
    <w:rsid w:val="00877A77"/>
    <w:rsid w:val="00880F94"/>
    <w:rsid w:val="008852DA"/>
    <w:rsid w:val="008A1668"/>
    <w:rsid w:val="008B1E99"/>
    <w:rsid w:val="008B2EB1"/>
    <w:rsid w:val="008B74F1"/>
    <w:rsid w:val="008C6A92"/>
    <w:rsid w:val="008D6232"/>
    <w:rsid w:val="008D6863"/>
    <w:rsid w:val="008E2251"/>
    <w:rsid w:val="008F210E"/>
    <w:rsid w:val="009008E2"/>
    <w:rsid w:val="009074D9"/>
    <w:rsid w:val="00907937"/>
    <w:rsid w:val="00912430"/>
    <w:rsid w:val="009217FF"/>
    <w:rsid w:val="00926107"/>
    <w:rsid w:val="00927BA2"/>
    <w:rsid w:val="00953014"/>
    <w:rsid w:val="00953468"/>
    <w:rsid w:val="00974F74"/>
    <w:rsid w:val="00983310"/>
    <w:rsid w:val="009864C7"/>
    <w:rsid w:val="009A031C"/>
    <w:rsid w:val="009A2195"/>
    <w:rsid w:val="009B2952"/>
    <w:rsid w:val="009B3174"/>
    <w:rsid w:val="009B41F9"/>
    <w:rsid w:val="009C0DC1"/>
    <w:rsid w:val="009C23B9"/>
    <w:rsid w:val="009C2B41"/>
    <w:rsid w:val="009C2B77"/>
    <w:rsid w:val="009C5A8D"/>
    <w:rsid w:val="009E2244"/>
    <w:rsid w:val="009E44E5"/>
    <w:rsid w:val="009E58FB"/>
    <w:rsid w:val="009F0BAE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0459"/>
    <w:rsid w:val="00A51492"/>
    <w:rsid w:val="00A51B6A"/>
    <w:rsid w:val="00A62C29"/>
    <w:rsid w:val="00A6567E"/>
    <w:rsid w:val="00A90DB0"/>
    <w:rsid w:val="00A91C47"/>
    <w:rsid w:val="00A93CE0"/>
    <w:rsid w:val="00A960BB"/>
    <w:rsid w:val="00AA47D2"/>
    <w:rsid w:val="00AA58F8"/>
    <w:rsid w:val="00AB14FA"/>
    <w:rsid w:val="00AB6369"/>
    <w:rsid w:val="00AC3DED"/>
    <w:rsid w:val="00AC4FB4"/>
    <w:rsid w:val="00AD0D67"/>
    <w:rsid w:val="00AD33E7"/>
    <w:rsid w:val="00AE5B76"/>
    <w:rsid w:val="00B01739"/>
    <w:rsid w:val="00B14CF5"/>
    <w:rsid w:val="00B14F26"/>
    <w:rsid w:val="00B15125"/>
    <w:rsid w:val="00B16278"/>
    <w:rsid w:val="00B22398"/>
    <w:rsid w:val="00B22E70"/>
    <w:rsid w:val="00B344F1"/>
    <w:rsid w:val="00B46E01"/>
    <w:rsid w:val="00B4726F"/>
    <w:rsid w:val="00B5705C"/>
    <w:rsid w:val="00B601EF"/>
    <w:rsid w:val="00B603B3"/>
    <w:rsid w:val="00B60B4D"/>
    <w:rsid w:val="00B878AA"/>
    <w:rsid w:val="00B90500"/>
    <w:rsid w:val="00B95CCD"/>
    <w:rsid w:val="00B96403"/>
    <w:rsid w:val="00BB5296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A6D8B"/>
    <w:rsid w:val="00CB42D5"/>
    <w:rsid w:val="00CD309A"/>
    <w:rsid w:val="00CE00BF"/>
    <w:rsid w:val="00D125C5"/>
    <w:rsid w:val="00D227E9"/>
    <w:rsid w:val="00D33E46"/>
    <w:rsid w:val="00D444A5"/>
    <w:rsid w:val="00D54B29"/>
    <w:rsid w:val="00D5678D"/>
    <w:rsid w:val="00D57DD2"/>
    <w:rsid w:val="00D66A02"/>
    <w:rsid w:val="00D730C5"/>
    <w:rsid w:val="00DA21BD"/>
    <w:rsid w:val="00DC773E"/>
    <w:rsid w:val="00DD21D1"/>
    <w:rsid w:val="00DE4703"/>
    <w:rsid w:val="00DF034B"/>
    <w:rsid w:val="00E01E45"/>
    <w:rsid w:val="00E0696B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F5BA4"/>
    <w:rsid w:val="00F0617B"/>
    <w:rsid w:val="00F07B55"/>
    <w:rsid w:val="00F12716"/>
    <w:rsid w:val="00F16CD7"/>
    <w:rsid w:val="00F3328D"/>
    <w:rsid w:val="00F473D5"/>
    <w:rsid w:val="00F548C2"/>
    <w:rsid w:val="00F7360D"/>
    <w:rsid w:val="00F752B1"/>
    <w:rsid w:val="00F8224E"/>
    <w:rsid w:val="00F92476"/>
    <w:rsid w:val="00FC424B"/>
    <w:rsid w:val="00FD64B9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9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gdatawg.nist.gov/_uploadfiles/M0437_v1_8937283419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datawg.nist.gov/_uploadfiles/M0399_v3_9386924556.doc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igdataopensourceprojects.soic.indiana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A6262-452E-425B-B138-388E5E1BF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7</cp:revision>
  <dcterms:created xsi:type="dcterms:W3CDTF">2015-09-15T13:57:00Z</dcterms:created>
  <dcterms:modified xsi:type="dcterms:W3CDTF">2015-09-15T16:07:00Z</dcterms:modified>
</cp:coreProperties>
</file>