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29" w:rsidRDefault="00A62C29" w:rsidP="00A62C29">
      <w:pPr>
        <w:pStyle w:val="Default"/>
        <w:rPr>
          <w:rFonts w:asciiTheme="majorHAnsi" w:hAnsiTheme="majorHAnsi"/>
        </w:rPr>
      </w:pP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A62C29" w:rsidRDefault="00A62C29" w:rsidP="00A62C29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536467">
        <w:rPr>
          <w:rFonts w:asciiTheme="majorHAnsi" w:hAnsiTheme="majorHAnsi"/>
          <w:b/>
          <w:color w:val="FF0000"/>
          <w:sz w:val="44"/>
          <w:szCs w:val="44"/>
        </w:rPr>
        <w:t>M0442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A62C29" w:rsidRDefault="006F47D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Use Cases and Requirements</w:t>
      </w:r>
      <w:r w:rsidR="00A62C29">
        <w:rPr>
          <w:rFonts w:asciiTheme="majorHAnsi" w:hAnsiTheme="majorHAnsi"/>
          <w:b/>
        </w:rPr>
        <w:t xml:space="preserve"> Sub</w:t>
      </w:r>
      <w:r w:rsidR="00D125C5">
        <w:rPr>
          <w:rFonts w:asciiTheme="majorHAnsi" w:hAnsiTheme="majorHAnsi"/>
          <w:b/>
        </w:rPr>
        <w:t>g</w:t>
      </w:r>
      <w:r w:rsidR="003543A2">
        <w:rPr>
          <w:rFonts w:asciiTheme="majorHAnsi" w:hAnsiTheme="majorHAnsi"/>
          <w:b/>
        </w:rPr>
        <w:t>roup Meeting Agenda for Sept. 22</w:t>
      </w:r>
      <w:r w:rsidR="00A62C29">
        <w:rPr>
          <w:rFonts w:asciiTheme="majorHAnsi" w:hAnsiTheme="majorHAnsi"/>
          <w:b/>
        </w:rPr>
        <w:t>, 2015</w:t>
      </w:r>
    </w:p>
    <w:p w:rsidR="00A62C29" w:rsidRDefault="00A62C29" w:rsidP="00A62C29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A62C29" w:rsidRDefault="00A62C29" w:rsidP="00A62C29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A62C29" w:rsidRDefault="00A62C29" w:rsidP="00A62C29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A62C29" w:rsidRDefault="003543A2" w:rsidP="00A62C29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22</w:t>
      </w:r>
      <w:r w:rsidR="00A62C29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A62C29" w:rsidRDefault="00A62C29" w:rsidP="00A62C29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8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A62C29" w:rsidRDefault="00A62C29" w:rsidP="00A62C29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A62C29" w:rsidRDefault="00A62C29" w:rsidP="00A62C29">
      <w:pPr>
        <w:rPr>
          <w:rFonts w:asciiTheme="majorHAnsi" w:hAnsiTheme="majorHAnsi" w:cstheme="minorBidi"/>
        </w:rPr>
      </w:pPr>
    </w:p>
    <w:p w:rsidR="00A62C29" w:rsidRDefault="00A62C29" w:rsidP="00A62C29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50D41" w:rsidRDefault="00650D41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Vol. 1 documents status</w:t>
      </w:r>
    </w:p>
    <w:p w:rsidR="00386921" w:rsidRDefault="00386921" w:rsidP="00386921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386921" w:rsidRDefault="00386921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last week’s action items:</w:t>
      </w:r>
    </w:p>
    <w:p w:rsidR="00386921" w:rsidRDefault="00386921" w:rsidP="00386921">
      <w:pPr>
        <w:widowControl w:val="0"/>
        <w:autoSpaceDE w:val="0"/>
        <w:autoSpaceDN w:val="0"/>
        <w:adjustRightInd w:val="0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3543A2" w:rsidRDefault="003543A2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NBD-PWG 7 documents status: APPROVED! Needs to follow some administration process before release.</w:t>
      </w:r>
    </w:p>
    <w:p w:rsidR="003543A2" w:rsidRDefault="003543A2" w:rsidP="003543A2">
      <w:pPr>
        <w:pStyle w:val="ListParagraph"/>
        <w:widowControl w:val="0"/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</w:p>
    <w:p w:rsidR="003543A2" w:rsidRDefault="003543A2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Appointing new co-chair for NBD-PWG Standards Roadmap Subgroup</w:t>
      </w:r>
    </w:p>
    <w:p w:rsidR="003543A2" w:rsidRPr="003543A2" w:rsidRDefault="003543A2" w:rsidP="003543A2">
      <w:pPr>
        <w:pStyle w:val="ListParagraph"/>
        <w:widowControl w:val="0"/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</w:p>
    <w:p w:rsidR="003543A2" w:rsidRDefault="003543A2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8A457C">
        <w:rPr>
          <w:rFonts w:ascii="MS Shell Dlg" w:hAnsi="MS Shell Dlg" w:cs="MS Shell Dlg"/>
          <w:bCs/>
          <w:color w:val="FF0000"/>
          <w:sz w:val="17"/>
          <w:szCs w:val="17"/>
        </w:rPr>
        <w:t>Recapture: Walk through the selected use case using the NIST RA conceptual model:</w:t>
      </w:r>
    </w:p>
    <w:p w:rsidR="00386921" w:rsidRDefault="00386921" w:rsidP="003543A2">
      <w:pPr>
        <w:pStyle w:val="ListParagraph"/>
        <w:widowControl w:val="0"/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602118">
        <w:rPr>
          <w:rFonts w:ascii="MS Shell Dlg" w:hAnsi="MS Shell Dlg" w:cs="MS Shell Dlg"/>
          <w:bCs/>
          <w:color w:val="000000"/>
          <w:sz w:val="17"/>
          <w:szCs w:val="17"/>
        </w:rPr>
        <w:t xml:space="preserve">Thanks to those willing to apply the NIST identified six use cases </w:t>
      </w:r>
    </w:p>
    <w:p w:rsidR="00386921" w:rsidRPr="007A7D65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(</w:t>
      </w:r>
      <w:hyperlink r:id="rId9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http://bigdatawg.nist.gov/_uploadfiles/M0399_v3_9386924556.doc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to NIST RA Conceptual Model (</w:t>
      </w:r>
      <w:hyperlink r:id="rId10" w:history="1">
        <w:r w:rsidRPr="007A7D65">
          <w:rPr>
            <w:rStyle w:val="Hyperlink"/>
            <w:rFonts w:ascii="MS Shell Dlg" w:hAnsi="MS Shell Dlg" w:cs="MS Shell Dlg"/>
            <w:bCs/>
            <w:sz w:val="17"/>
            <w:szCs w:val="17"/>
          </w:rPr>
          <w:t>http://bigdatawg.nist.gov/_uploadfiles/M0437_v1_8937283419.pptx</w:t>
        </w:r>
      </w:hyperlink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) for RA Activities View and RA Functional View. The NIST six use cases are: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UC#1: Fingerprint Matching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UC#2: Human Face Detection from Video (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simulated streaming data)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UC#3: Live Twitter Analysis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 xml:space="preserve">UC#4: </w:t>
      </w: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Big data Analytics for Healthcare Data/Health informatics</w:t>
      </w:r>
    </w:p>
    <w:p w:rsidR="00386921" w:rsidRPr="00E27F83" w:rsidRDefault="00386921" w:rsidP="00386921">
      <w:pPr>
        <w:pStyle w:val="ListParagraph"/>
        <w:numPr>
          <w:ilvl w:val="1"/>
          <w:numId w:val="32"/>
        </w:numPr>
        <w:spacing w:after="160" w:line="259" w:lineRule="auto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 xml:space="preserve">UC#5: Spatial Big data/Spatial Statistics/Geographic Information Systems </w:t>
      </w:r>
    </w:p>
    <w:p w:rsidR="00386921" w:rsidRDefault="00386921" w:rsidP="00386921">
      <w:pPr>
        <w:pStyle w:val="ListParagraph"/>
        <w:widowControl w:val="0"/>
        <w:numPr>
          <w:ilvl w:val="1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UC#6: Data Warehouse and Data Mining</w:t>
      </w:r>
    </w:p>
    <w:p w:rsidR="00386921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</w:p>
    <w:p w:rsidR="00386921" w:rsidRDefault="00386921" w:rsidP="00386921">
      <w:pPr>
        <w:pStyle w:val="ListParagraph"/>
        <w:widowControl w:val="0"/>
        <w:autoSpaceDE w:val="0"/>
        <w:autoSpaceDN w:val="0"/>
        <w:adjustRightInd w:val="0"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The following volunteers are willing to walk through the selected use case with the NIST RA conceptual model: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E27F83">
        <w:rPr>
          <w:rFonts w:ascii="MS Shell Dlg" w:hAnsi="MS Shell Dlg" w:cs="MS Shell Dlg"/>
          <w:bCs/>
          <w:color w:val="000000"/>
          <w:sz w:val="17"/>
          <w:szCs w:val="17"/>
        </w:rPr>
        <w:t>Ann Racuya-Robbins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>: UC#2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Korin Reid: UC#4 and UC#6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Russell: UC#3, UC#4, UC#6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Gretchen: UC#3</w:t>
      </w:r>
    </w:p>
    <w:p w:rsidR="00386921" w:rsidRDefault="00386921" w:rsidP="00386921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PW: UC#3</w:t>
      </w:r>
    </w:p>
    <w:p w:rsidR="00386921" w:rsidRDefault="00386921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>Robert Reyling and Russell will hel</w:t>
      </w:r>
      <w:r>
        <w:rPr>
          <w:rFonts w:ascii="MS Shell Dlg" w:hAnsi="MS Shell Dlg" w:cs="MS Shell Dlg"/>
          <w:bCs/>
          <w:color w:val="000000"/>
          <w:sz w:val="17"/>
          <w:szCs w:val="17"/>
        </w:rPr>
        <w:t>p Dave to work on the Reference Architecture</w:t>
      </w:r>
      <w:r w:rsidRPr="007A7D65">
        <w:rPr>
          <w:rFonts w:ascii="MS Shell Dlg" w:hAnsi="MS Shell Dlg" w:cs="MS Shell Dlg"/>
          <w:bCs/>
          <w:color w:val="000000"/>
          <w:sz w:val="17"/>
          <w:szCs w:val="17"/>
        </w:rPr>
        <w:t xml:space="preserve"> out from IEEE 42010</w:t>
      </w:r>
    </w:p>
    <w:p w:rsidR="00386921" w:rsidRPr="007A7D65" w:rsidRDefault="00386921" w:rsidP="00386921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contextualSpacing/>
        <w:rPr>
          <w:rFonts w:ascii="MS Shell Dlg" w:hAnsi="MS Shell Dlg" w:cs="MS Shell Dlg"/>
          <w:bCs/>
          <w:color w:val="000000"/>
          <w:sz w:val="17"/>
          <w:szCs w:val="17"/>
        </w:rPr>
      </w:pPr>
      <w:r>
        <w:rPr>
          <w:rFonts w:ascii="MS Shell Dlg" w:hAnsi="MS Shell Dlg" w:cs="MS Shell Dlg"/>
          <w:bCs/>
          <w:color w:val="000000"/>
          <w:sz w:val="17"/>
          <w:szCs w:val="17"/>
        </w:rPr>
        <w:t>Tim will help Wo to draft some justification to apply free computing in a cloud from AWS, Microsoft, Google, etc.</w:t>
      </w:r>
    </w:p>
    <w:p w:rsidR="00650D41" w:rsidRDefault="00650D41" w:rsidP="00650D41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62C29" w:rsidRDefault="00A62C29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A62C29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A62C29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A62C29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D125C5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A62C29" w:rsidTr="003543A2">
        <w:tc>
          <w:tcPr>
            <w:tcW w:w="7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A62C29" w:rsidTr="003543A2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A62C29" w:rsidTr="003543A2">
        <w:tc>
          <w:tcPr>
            <w:tcW w:w="784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auto"/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A62C29" w:rsidTr="003543A2">
        <w:tc>
          <w:tcPr>
            <w:tcW w:w="784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A62C29" w:rsidRDefault="00A62C29" w:rsidP="00A62C29">
            <w:pPr>
              <w:numPr>
                <w:ilvl w:val="0"/>
                <w:numId w:val="31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62C29" w:rsidRDefault="00A62C2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A62C29" w:rsidRDefault="00A62C29" w:rsidP="00A62C29">
      <w:pPr>
        <w:rPr>
          <w:rFonts w:ascii="Calibri" w:hAnsi="Calibri"/>
          <w:color w:val="1F497D"/>
          <w:sz w:val="22"/>
          <w:szCs w:val="22"/>
        </w:rPr>
      </w:pPr>
    </w:p>
    <w:p w:rsidR="00A62C29" w:rsidRDefault="00A62C29" w:rsidP="00A62C29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A62C29" w:rsidRDefault="003543A2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Standards Roadmap Subgroup – David</w:t>
      </w:r>
    </w:p>
    <w:p w:rsidR="00A62C29" w:rsidRDefault="00D125C5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 205</w:t>
      </w:r>
      <w:r w:rsidR="003543A2">
        <w:rPr>
          <w:rFonts w:asciiTheme="majorHAnsi" w:hAnsiTheme="majorHAnsi"/>
          <w:color w:val="000000"/>
        </w:rPr>
        <w:t>47-5</w:t>
      </w:r>
      <w:r w:rsidR="00650D41">
        <w:rPr>
          <w:rFonts w:asciiTheme="majorHAnsi" w:hAnsiTheme="majorHAnsi"/>
          <w:color w:val="000000"/>
        </w:rPr>
        <w:t xml:space="preserve"> </w:t>
      </w:r>
      <w:r w:rsidR="003543A2">
        <w:rPr>
          <w:rFonts w:asciiTheme="majorHAnsi" w:hAnsiTheme="majorHAnsi"/>
          <w:color w:val="000000"/>
        </w:rPr>
        <w:t xml:space="preserve">document status – David </w:t>
      </w:r>
    </w:p>
    <w:p w:rsidR="00A62C29" w:rsidRDefault="003543A2" w:rsidP="00A62C29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From Vol. 7</w:t>
      </w:r>
      <w:r w:rsidR="00A62C29">
        <w:rPr>
          <w:rFonts w:asciiTheme="majorHAnsi" w:hAnsiTheme="majorHAnsi"/>
          <w:color w:val="000000"/>
        </w:rPr>
        <w:t xml:space="preserve"> Section 1.5</w:t>
      </w:r>
      <w:bookmarkStart w:id="0" w:name="_Toc415608093"/>
      <w:bookmarkStart w:id="1" w:name="_Toc427144343"/>
      <w:r w:rsidR="00A62C29">
        <w:rPr>
          <w:rFonts w:asciiTheme="majorHAnsi" w:hAnsiTheme="majorHAnsi"/>
          <w:color w:val="000000"/>
        </w:rPr>
        <w:t>: Future Work on this Volume</w:t>
      </w:r>
      <w:bookmarkEnd w:id="0"/>
      <w:bookmarkEnd w:id="1"/>
    </w:p>
    <w:p w:rsidR="00A62C29" w:rsidRDefault="00A62C29" w:rsidP="00A62C29">
      <w:pPr>
        <w:rPr>
          <w:color w:val="000000" w:themeColor="text1"/>
        </w:rPr>
      </w:pPr>
    </w:p>
    <w:p w:rsidR="003543A2" w:rsidRDefault="003543A2" w:rsidP="003543A2">
      <w:pPr>
        <w:pStyle w:val="BDTextBulletList"/>
      </w:pPr>
      <w:r>
        <w:t>Continue to build and refine the gap analysis and document the findings;</w:t>
      </w:r>
    </w:p>
    <w:p w:rsidR="003543A2" w:rsidRDefault="003543A2" w:rsidP="003543A2">
      <w:pPr>
        <w:pStyle w:val="BDTextBulletList"/>
      </w:pPr>
      <w:r>
        <w:t>Identify where standards may accelerate the adoption and interoperability of Big Data technologies;</w:t>
      </w:r>
    </w:p>
    <w:p w:rsidR="003543A2" w:rsidRPr="00A7268A" w:rsidRDefault="003543A2" w:rsidP="003543A2">
      <w:pPr>
        <w:pStyle w:val="BDTextBulletList"/>
      </w:pPr>
      <w:r>
        <w:lastRenderedPageBreak/>
        <w:t>Document recommendations for future standards activities; and</w:t>
      </w:r>
    </w:p>
    <w:p w:rsidR="003543A2" w:rsidRDefault="003543A2" w:rsidP="003543A2">
      <w:pPr>
        <w:pStyle w:val="BDTextBulletList"/>
      </w:pPr>
      <w:r>
        <w:t>Further map standards to NBDRA components and the interfaces between them.</w:t>
      </w:r>
      <w:bookmarkStart w:id="2" w:name="_GoBack"/>
      <w:bookmarkEnd w:id="2"/>
    </w:p>
    <w:p w:rsidR="00A62C29" w:rsidRDefault="00A62C29" w:rsidP="00A62C29">
      <w:pPr>
        <w:shd w:val="clear" w:color="auto" w:fill="FFFFFF"/>
        <w:rPr>
          <w:rFonts w:asciiTheme="majorHAnsi" w:hAnsiTheme="majorHAnsi"/>
          <w:color w:val="000000"/>
        </w:rPr>
      </w:pPr>
    </w:p>
    <w:p w:rsidR="00A62C29" w:rsidRDefault="00A62C29" w:rsidP="00A62C29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A62C29" w:rsidRDefault="00A62C29" w:rsidP="00A62C29">
      <w:pPr>
        <w:rPr>
          <w:rFonts w:asciiTheme="minorHAnsi" w:hAnsiTheme="minorHAnsi" w:cstheme="minorBidi"/>
          <w:sz w:val="22"/>
          <w:szCs w:val="22"/>
        </w:rPr>
      </w:pPr>
    </w:p>
    <w:p w:rsidR="00D730C5" w:rsidRPr="00A62C29" w:rsidRDefault="00D730C5" w:rsidP="00A62C29"/>
    <w:sectPr w:rsidR="00D730C5" w:rsidRPr="00A6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C5" w:rsidRDefault="00D125C5" w:rsidP="00D125C5">
      <w:r>
        <w:separator/>
      </w:r>
    </w:p>
  </w:endnote>
  <w:endnote w:type="continuationSeparator" w:id="0">
    <w:p w:rsidR="00D125C5" w:rsidRDefault="00D125C5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C5" w:rsidRDefault="00D125C5" w:rsidP="00D125C5">
      <w:r>
        <w:separator/>
      </w:r>
    </w:p>
  </w:footnote>
  <w:footnote w:type="continuationSeparator" w:id="0">
    <w:p w:rsidR="00D125C5" w:rsidRDefault="00D125C5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3746E01"/>
    <w:multiLevelType w:val="hybridMultilevel"/>
    <w:tmpl w:val="FA38E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8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94A57"/>
    <w:multiLevelType w:val="hybridMultilevel"/>
    <w:tmpl w:val="46B6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2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3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4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7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"/>
  </w:num>
  <w:num w:numId="13">
    <w:abstractNumId w:val="24"/>
  </w:num>
  <w:num w:numId="14">
    <w:abstractNumId w:val="16"/>
  </w:num>
  <w:num w:numId="15">
    <w:abstractNumId w:val="10"/>
  </w:num>
  <w:num w:numId="16">
    <w:abstractNumId w:val="18"/>
  </w:num>
  <w:num w:numId="17">
    <w:abstractNumId w:val="9"/>
  </w:num>
  <w:num w:numId="18">
    <w:abstractNumId w:val="11"/>
  </w:num>
  <w:num w:numId="19">
    <w:abstractNumId w:val="5"/>
  </w:num>
  <w:num w:numId="20">
    <w:abstractNumId w:val="25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2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8"/>
  </w:num>
  <w:num w:numId="30">
    <w:abstractNumId w:val="8"/>
  </w:num>
  <w:num w:numId="31">
    <w:abstractNumId w:val="4"/>
  </w:num>
  <w:num w:numId="32">
    <w:abstractNumId w:val="20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4CEB"/>
    <w:rsid w:val="00185DEB"/>
    <w:rsid w:val="00193B93"/>
    <w:rsid w:val="001A52C8"/>
    <w:rsid w:val="001B0177"/>
    <w:rsid w:val="001B4264"/>
    <w:rsid w:val="001B5626"/>
    <w:rsid w:val="001B7ADE"/>
    <w:rsid w:val="001C6762"/>
    <w:rsid w:val="001C7F4A"/>
    <w:rsid w:val="001E226B"/>
    <w:rsid w:val="001F742E"/>
    <w:rsid w:val="001F7A7D"/>
    <w:rsid w:val="00206202"/>
    <w:rsid w:val="00216C8D"/>
    <w:rsid w:val="00230799"/>
    <w:rsid w:val="00230864"/>
    <w:rsid w:val="00235FE5"/>
    <w:rsid w:val="00243376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543A2"/>
    <w:rsid w:val="0036242E"/>
    <w:rsid w:val="00371063"/>
    <w:rsid w:val="00371451"/>
    <w:rsid w:val="0038692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3DF3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36467"/>
    <w:rsid w:val="00543A72"/>
    <w:rsid w:val="00543F36"/>
    <w:rsid w:val="005444C6"/>
    <w:rsid w:val="00562EE1"/>
    <w:rsid w:val="00567295"/>
    <w:rsid w:val="00567E6B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E75BE"/>
    <w:rsid w:val="005F1802"/>
    <w:rsid w:val="005F27F7"/>
    <w:rsid w:val="005F4D69"/>
    <w:rsid w:val="00615293"/>
    <w:rsid w:val="006173DA"/>
    <w:rsid w:val="00620609"/>
    <w:rsid w:val="0062704B"/>
    <w:rsid w:val="006366B6"/>
    <w:rsid w:val="006400B3"/>
    <w:rsid w:val="0064529E"/>
    <w:rsid w:val="006479A2"/>
    <w:rsid w:val="00650D41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6F47D9"/>
    <w:rsid w:val="00700CDA"/>
    <w:rsid w:val="00727D55"/>
    <w:rsid w:val="0073212C"/>
    <w:rsid w:val="007464C3"/>
    <w:rsid w:val="0075686D"/>
    <w:rsid w:val="00773931"/>
    <w:rsid w:val="00784AB6"/>
    <w:rsid w:val="0079498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33BC6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51B6A"/>
    <w:rsid w:val="00A62C29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D33E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125C5"/>
    <w:rsid w:val="00D227E9"/>
    <w:rsid w:val="00D33E46"/>
    <w:rsid w:val="00D444A5"/>
    <w:rsid w:val="00D54B29"/>
    <w:rsid w:val="00D5678D"/>
    <w:rsid w:val="00D57DD2"/>
    <w:rsid w:val="00D66A02"/>
    <w:rsid w:val="00D730C5"/>
    <w:rsid w:val="00DA21BD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9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datawg.nist.gov/_uploadfiles/M0437_v1_8937283419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datawg.nist.gov/_uploadfiles/M0399_v3_9386924556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F9FA-4956-48C0-8838-60C28C60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2015-09-21T16:06:00Z</dcterms:created>
  <dcterms:modified xsi:type="dcterms:W3CDTF">2015-09-21T16:12:00Z</dcterms:modified>
</cp:coreProperties>
</file>