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3A" w:rsidRDefault="00EF433A" w:rsidP="00EF433A">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EF433A" w:rsidRDefault="00EF433A" w:rsidP="00EF433A">
      <w:pPr>
        <w:pStyle w:val="Default"/>
        <w:jc w:val="center"/>
        <w:rPr>
          <w:rFonts w:ascii="Calibri Light" w:hAnsi="Calibri Light"/>
          <w:b/>
          <w:bCs/>
          <w:sz w:val="44"/>
          <w:szCs w:val="44"/>
        </w:rPr>
      </w:pPr>
      <w:r>
        <w:rPr>
          <w:rFonts w:ascii="Calibri Light" w:hAnsi="Calibri Light"/>
          <w:b/>
          <w:bCs/>
          <w:sz w:val="28"/>
          <w:szCs w:val="28"/>
        </w:rPr>
        <w:t>NBD-PWD-2016/</w:t>
      </w:r>
      <w:r>
        <w:rPr>
          <w:rFonts w:ascii="Calibri Light" w:hAnsi="Calibri Light"/>
          <w:b/>
          <w:bCs/>
          <w:color w:val="FF0000"/>
          <w:sz w:val="44"/>
          <w:szCs w:val="44"/>
        </w:rPr>
        <w:t>M0495</w:t>
      </w:r>
    </w:p>
    <w:p w:rsidR="00EF433A" w:rsidRDefault="00EF433A" w:rsidP="00EF433A">
      <w:pPr>
        <w:pStyle w:val="Default"/>
        <w:rPr>
          <w:rFonts w:ascii="Calibri Light" w:hAnsi="Calibri Light"/>
          <w:b/>
          <w:bCs/>
          <w:sz w:val="28"/>
          <w:szCs w:val="28"/>
        </w:rPr>
      </w:pPr>
    </w:p>
    <w:p w:rsidR="00EF433A" w:rsidRDefault="00EF433A" w:rsidP="00EF433A">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Status:     Draft</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Title:       NBD-PWG Meeting Agenda for Feb. 2, 2016</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Author:    NBD-PWG Subgroup Co-Chairs</w:t>
      </w:r>
    </w:p>
    <w:p w:rsidR="00EF433A" w:rsidRDefault="00EF433A" w:rsidP="00EF433A">
      <w:pPr>
        <w:pStyle w:val="NormalWeb"/>
        <w:shd w:val="clear" w:color="auto" w:fill="FFFFFF"/>
        <w:rPr>
          <w:rFonts w:ascii="Calibri Light" w:hAnsi="Calibri Light"/>
          <w:color w:val="000000"/>
        </w:rPr>
      </w:pPr>
      <w:r>
        <w:rPr>
          <w:rFonts w:ascii="Calibri Light" w:hAnsi="Calibri Light"/>
          <w:color w:val="000000"/>
        </w:rPr>
        <w:t> </w:t>
      </w:r>
    </w:p>
    <w:p w:rsidR="00EF433A" w:rsidRDefault="00EF433A" w:rsidP="00EF433A">
      <w:pPr>
        <w:pStyle w:val="Default"/>
        <w:rPr>
          <w:rFonts w:ascii="Calibri Light" w:hAnsi="Calibri Light"/>
          <w:b/>
          <w:bCs/>
          <w:sz w:val="28"/>
          <w:szCs w:val="28"/>
        </w:rPr>
      </w:pPr>
      <w:r>
        <w:rPr>
          <w:rStyle w:val="Heading1Char"/>
        </w:rPr>
        <w:t>Meeting logistics</w:t>
      </w:r>
    </w:p>
    <w:p w:rsidR="00EF433A" w:rsidRDefault="00EF433A" w:rsidP="00EF433A">
      <w:pPr>
        <w:pStyle w:val="NoSpacing"/>
        <w:rPr>
          <w:rFonts w:ascii="Calibri Light" w:hAnsi="Calibri Light"/>
          <w:sz w:val="24"/>
          <w:szCs w:val="24"/>
          <w:lang w:val="en-GB"/>
        </w:rPr>
      </w:pPr>
      <w:r>
        <w:rPr>
          <w:rFonts w:ascii="Calibri Light" w:hAnsi="Calibri Light"/>
          <w:sz w:val="24"/>
          <w:szCs w:val="24"/>
          <w:lang w:val="en-GB"/>
        </w:rPr>
        <w:t>Date/time: Feb. 2, 1:00PM – 3:00PM EDT</w:t>
      </w:r>
    </w:p>
    <w:p w:rsidR="00EF433A" w:rsidRDefault="00EF433A" w:rsidP="00EF433A">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EF433A" w:rsidRDefault="00EF433A" w:rsidP="00EF433A">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Default="00EF433A" w:rsidP="00EF433A">
      <w:pPr>
        <w:pStyle w:val="Heading2"/>
        <w:rPr>
          <w:rFonts w:ascii="Calibri Light" w:eastAsia="Times New Roman" w:hAnsi="Calibri Light"/>
          <w:b/>
          <w:bCs/>
          <w:color w:val="000000"/>
        </w:rPr>
      </w:pPr>
    </w:p>
    <w:p w:rsidR="00EF433A" w:rsidRDefault="00EF433A" w:rsidP="00EF433A">
      <w:pPr>
        <w:pStyle w:val="Heading2"/>
        <w:rPr>
          <w:rFonts w:eastAsia="Times New Roman"/>
          <w:b/>
          <w:bCs/>
          <w:color w:val="000000"/>
        </w:rPr>
      </w:pPr>
      <w:r>
        <w:rPr>
          <w:rFonts w:eastAsia="Times New Roman"/>
          <w:b/>
          <w:bCs/>
          <w:color w:val="000000"/>
        </w:rPr>
        <w:t>Agenda</w:t>
      </w:r>
    </w:p>
    <w:p w:rsidR="00EF433A" w:rsidRDefault="00EF433A" w:rsidP="00EF433A">
      <w:pPr>
        <w:shd w:val="clear" w:color="auto" w:fill="FFFFFF"/>
        <w:rPr>
          <w:rFonts w:ascii="Calibri Light" w:eastAsiaTheme="minorEastAsia" w:hAnsi="Calibri Light"/>
          <w:color w:val="000000"/>
          <w:lang w:val="en-GB"/>
        </w:rPr>
      </w:pPr>
    </w:p>
    <w:p w:rsidR="00EF433A" w:rsidRDefault="00EF433A" w:rsidP="00EF433A">
      <w:pPr>
        <w:pStyle w:val="ListParagraph"/>
        <w:numPr>
          <w:ilvl w:val="0"/>
          <w:numId w:val="1"/>
        </w:numPr>
        <w:shd w:val="clear" w:color="auto" w:fill="FFFFFF"/>
        <w:ind w:left="360"/>
        <w:rPr>
          <w:color w:val="000000"/>
        </w:rPr>
      </w:pPr>
      <w:r>
        <w:rPr>
          <w:color w:val="000000"/>
        </w:rPr>
        <w:t>Last week action items</w:t>
      </w:r>
    </w:p>
    <w:p w:rsidR="00EF433A" w:rsidRDefault="00EF433A" w:rsidP="00EF433A">
      <w:pPr>
        <w:pStyle w:val="ListParagraph"/>
        <w:numPr>
          <w:ilvl w:val="1"/>
          <w:numId w:val="1"/>
        </w:numPr>
        <w:shd w:val="clear" w:color="auto" w:fill="FFFFFF"/>
        <w:ind w:left="900"/>
      </w:pPr>
      <w:r>
        <w:t>Share Census Security and Privacy practices and position, Cavan</w:t>
      </w:r>
    </w:p>
    <w:p w:rsidR="00EF433A" w:rsidRDefault="00EF433A" w:rsidP="00EF433A">
      <w:pPr>
        <w:pStyle w:val="ListParagraph"/>
        <w:numPr>
          <w:ilvl w:val="1"/>
          <w:numId w:val="1"/>
        </w:numPr>
        <w:shd w:val="clear" w:color="auto" w:fill="FFFFFF"/>
        <w:ind w:left="900"/>
      </w:pPr>
      <w:r>
        <w:t>Discuss identified ~6 missing items in Vol. 1 Definition, Nancy and Ann</w:t>
      </w:r>
    </w:p>
    <w:p w:rsidR="00EF433A" w:rsidRDefault="00EF433A" w:rsidP="00EF433A">
      <w:pPr>
        <w:pStyle w:val="ListParagraph"/>
        <w:numPr>
          <w:ilvl w:val="2"/>
          <w:numId w:val="1"/>
        </w:numPr>
        <w:shd w:val="clear" w:color="auto" w:fill="FFFFFF"/>
        <w:ind w:left="1350"/>
      </w:pPr>
      <w:r>
        <w:t>Whitepaper implication of Big Data in social, business, public, knowledge extraction, and lifecycle, etc.</w:t>
      </w:r>
    </w:p>
    <w:p w:rsidR="00EF433A" w:rsidRDefault="00EF433A" w:rsidP="00EF433A">
      <w:pPr>
        <w:pStyle w:val="ListParagraph"/>
        <w:numPr>
          <w:ilvl w:val="0"/>
          <w:numId w:val="1"/>
        </w:numPr>
        <w:shd w:val="clear" w:color="auto" w:fill="FFFFFF"/>
        <w:ind w:left="360"/>
        <w:rPr>
          <w:color w:val="000000"/>
        </w:rPr>
      </w:pPr>
      <w:r>
        <w:rPr>
          <w:color w:val="000000"/>
        </w:rPr>
        <w:t>Planning face-to-face meeting at NIST for NBD-PWG, Sept. 20 - 22, 2016 (tentative)</w:t>
      </w:r>
    </w:p>
    <w:p w:rsidR="00EF433A" w:rsidRDefault="00EF433A" w:rsidP="00EF433A">
      <w:pPr>
        <w:pStyle w:val="NoSpacing"/>
        <w:rPr>
          <w:lang w:val="en-GB"/>
        </w:rPr>
      </w:pPr>
    </w:p>
    <w:p w:rsidR="00EF433A" w:rsidRDefault="00EF433A" w:rsidP="00EF433A">
      <w:pPr>
        <w:pStyle w:val="NoSpacing"/>
        <w:numPr>
          <w:ilvl w:val="0"/>
          <w:numId w:val="1"/>
        </w:numPr>
        <w:ind w:left="360"/>
        <w:rPr>
          <w:rFonts w:ascii="Times New Roman" w:hAnsi="Times New Roman"/>
          <w:b/>
          <w:bCs/>
          <w:color w:val="000000"/>
          <w:sz w:val="24"/>
          <w:szCs w:val="24"/>
        </w:rPr>
      </w:pPr>
      <w:r>
        <w:rPr>
          <w:rFonts w:ascii="Times New Roman" w:hAnsi="Times New Roman"/>
          <w:b/>
          <w:bCs/>
          <w:color w:val="000000"/>
          <w:sz w:val="24"/>
          <w:szCs w:val="24"/>
        </w:rPr>
        <w:t>NBDIF V2 Assessment before March 20 Announcement for September F2F Workshop</w:t>
      </w:r>
    </w:p>
    <w:p w:rsidR="00EF433A" w:rsidRDefault="00EF433A" w:rsidP="00EF433A">
      <w:pPr>
        <w:pStyle w:val="NoSpacing"/>
        <w:numPr>
          <w:ilvl w:val="0"/>
          <w:numId w:val="44"/>
        </w:numPr>
        <w:rPr>
          <w:rFonts w:ascii="Calibri" w:hAnsi="Calibri"/>
          <w:lang w:eastAsia="zh-TW"/>
        </w:rPr>
      </w:pPr>
      <w:r>
        <w:t xml:space="preserve">From Vol. 1 Definitions, Section 1.5 Future Work (with updates) – Nancy </w:t>
      </w:r>
    </w:p>
    <w:p w:rsidR="00EF433A" w:rsidRDefault="00EF433A" w:rsidP="00EF433A">
      <w:pPr>
        <w:pStyle w:val="NoSpacing"/>
        <w:numPr>
          <w:ilvl w:val="1"/>
          <w:numId w:val="44"/>
        </w:numPr>
      </w:pPr>
      <w:r>
        <w:t xml:space="preserve">Enhance existing V1 definitions </w:t>
      </w:r>
    </w:p>
    <w:p w:rsidR="00EF433A" w:rsidRDefault="00EF433A" w:rsidP="00EF433A">
      <w:pPr>
        <w:pStyle w:val="NoSpacing"/>
        <w:numPr>
          <w:ilvl w:val="2"/>
          <w:numId w:val="44"/>
        </w:numPr>
      </w:pPr>
      <w:r>
        <w:t>Revisit Big Data and associated definitions</w:t>
      </w:r>
    </w:p>
    <w:p w:rsidR="00EF433A" w:rsidRDefault="00EF433A" w:rsidP="00EF433A">
      <w:pPr>
        <w:pStyle w:val="NoSpacing"/>
        <w:numPr>
          <w:ilvl w:val="2"/>
          <w:numId w:val="44"/>
        </w:numPr>
      </w:pPr>
      <w:r>
        <w:t>Redo the Data Science section</w:t>
      </w:r>
    </w:p>
    <w:p w:rsidR="00EF433A" w:rsidRDefault="00EF433A" w:rsidP="00EF433A">
      <w:pPr>
        <w:pStyle w:val="NoSpacing"/>
        <w:numPr>
          <w:ilvl w:val="2"/>
          <w:numId w:val="44"/>
        </w:numPr>
      </w:pPr>
      <w:r>
        <w:t>Redo data lifecycle to analytics lifecycle or something else</w:t>
      </w:r>
    </w:p>
    <w:p w:rsidR="00EF433A" w:rsidRDefault="00EF433A" w:rsidP="00EF433A">
      <w:pPr>
        <w:pStyle w:val="NoSpacing"/>
        <w:numPr>
          <w:ilvl w:val="2"/>
          <w:numId w:val="44"/>
        </w:numPr>
      </w:pPr>
      <w:r>
        <w:t>Decide how to address the data-information-knowledge distinctions</w:t>
      </w:r>
    </w:p>
    <w:p w:rsidR="00EF433A" w:rsidRDefault="00EF433A" w:rsidP="00EF433A">
      <w:pPr>
        <w:pStyle w:val="NoSpacing"/>
        <w:numPr>
          <w:ilvl w:val="1"/>
          <w:numId w:val="44"/>
        </w:numPr>
      </w:pPr>
      <w:r>
        <w:t xml:space="preserve">Defining the different patterns of communications between Big Data resources to better clarify the different approaches being taken; </w:t>
      </w:r>
    </w:p>
    <w:p w:rsidR="00EF433A" w:rsidRDefault="00EF433A" w:rsidP="00EF433A">
      <w:pPr>
        <w:pStyle w:val="NoSpacing"/>
        <w:numPr>
          <w:ilvl w:val="2"/>
          <w:numId w:val="44"/>
        </w:numPr>
      </w:pPr>
      <w:r>
        <w:t>Bob’s IoT</w:t>
      </w:r>
    </w:p>
    <w:p w:rsidR="00EF433A" w:rsidRDefault="00EF433A" w:rsidP="00EF433A">
      <w:pPr>
        <w:pStyle w:val="NoSpacing"/>
        <w:numPr>
          <w:ilvl w:val="2"/>
          <w:numId w:val="44"/>
        </w:numPr>
      </w:pPr>
      <w:r>
        <w:t>Bob’s earlier use cases</w:t>
      </w:r>
    </w:p>
    <w:p w:rsidR="00EF433A" w:rsidRDefault="00EF433A" w:rsidP="00EF433A">
      <w:pPr>
        <w:pStyle w:val="NoSpacing"/>
        <w:numPr>
          <w:ilvl w:val="2"/>
          <w:numId w:val="44"/>
        </w:numPr>
      </w:pPr>
      <w:r>
        <w:t>Application provider with 3V’s</w:t>
      </w:r>
    </w:p>
    <w:p w:rsidR="00EF433A" w:rsidRDefault="00EF433A" w:rsidP="00EF433A">
      <w:pPr>
        <w:pStyle w:val="NoSpacing"/>
        <w:numPr>
          <w:ilvl w:val="1"/>
          <w:numId w:val="44"/>
        </w:numPr>
      </w:pPr>
      <w:r>
        <w:t>Improving the discussions of governance, value, and data ownership;</w:t>
      </w:r>
    </w:p>
    <w:p w:rsidR="00EF433A" w:rsidRDefault="00EF433A" w:rsidP="00EF433A">
      <w:pPr>
        <w:pStyle w:val="NoSpacing"/>
        <w:numPr>
          <w:ilvl w:val="1"/>
          <w:numId w:val="44"/>
        </w:numPr>
      </w:pPr>
      <w:r>
        <w:t>Developing the Management section;</w:t>
      </w:r>
    </w:p>
    <w:p w:rsidR="00EF433A" w:rsidRDefault="00EF433A" w:rsidP="00EF433A">
      <w:pPr>
        <w:pStyle w:val="NoSpacing"/>
        <w:numPr>
          <w:ilvl w:val="1"/>
          <w:numId w:val="44"/>
        </w:numPr>
      </w:pPr>
      <w:r>
        <w:t>Developing the Security and Privacy section;</w:t>
      </w:r>
    </w:p>
    <w:p w:rsidR="00EF433A" w:rsidRDefault="00EF433A" w:rsidP="00EF433A">
      <w:pPr>
        <w:pStyle w:val="NoSpacing"/>
        <w:numPr>
          <w:ilvl w:val="1"/>
          <w:numId w:val="44"/>
        </w:numPr>
      </w:pPr>
      <w:r>
        <w:t>Improve discussion of new behavior in big data</w:t>
      </w:r>
    </w:p>
    <w:p w:rsidR="00EF433A" w:rsidRDefault="00EF433A" w:rsidP="00EF433A">
      <w:pPr>
        <w:pStyle w:val="NoSpacing"/>
        <w:numPr>
          <w:ilvl w:val="2"/>
          <w:numId w:val="44"/>
        </w:numPr>
      </w:pPr>
      <w:r>
        <w:t xml:space="preserve">Concurrency </w:t>
      </w:r>
    </w:p>
    <w:p w:rsidR="00EF433A" w:rsidRDefault="00EF433A" w:rsidP="00EF433A">
      <w:pPr>
        <w:pStyle w:val="NoSpacing"/>
        <w:numPr>
          <w:ilvl w:val="2"/>
          <w:numId w:val="44"/>
        </w:numPr>
      </w:pPr>
      <w:r>
        <w:t>Emergent behavior “Matrix Effect” where for example now have PII concerns</w:t>
      </w:r>
    </w:p>
    <w:p w:rsidR="00EF433A" w:rsidRDefault="00EF433A" w:rsidP="00EF433A">
      <w:pPr>
        <w:pStyle w:val="NoSpacing"/>
        <w:numPr>
          <w:ilvl w:val="1"/>
          <w:numId w:val="44"/>
        </w:numPr>
      </w:pPr>
      <w:r>
        <w:lastRenderedPageBreak/>
        <w:t>Whitepaper: Implication of Big Data in social, business, public, knowledge extraction, and lifecycle, etc. (from Ann)</w:t>
      </w:r>
    </w:p>
    <w:p w:rsidR="00EF433A" w:rsidRDefault="00EF433A" w:rsidP="00EF433A">
      <w:pPr>
        <w:pStyle w:val="NoSpacing"/>
        <w:numPr>
          <w:ilvl w:val="2"/>
          <w:numId w:val="44"/>
        </w:numPr>
      </w:pPr>
      <w:r>
        <w:t>Discuss the topic of value</w:t>
      </w:r>
    </w:p>
    <w:p w:rsidR="00EF433A" w:rsidRDefault="00EF433A" w:rsidP="00EF433A">
      <w:pPr>
        <w:pStyle w:val="NoSpacing"/>
      </w:pPr>
    </w:p>
    <w:p w:rsidR="00EF433A" w:rsidRDefault="00EF433A" w:rsidP="00EF433A">
      <w:pPr>
        <w:pStyle w:val="NoSpacing"/>
        <w:numPr>
          <w:ilvl w:val="0"/>
          <w:numId w:val="44"/>
        </w:numPr>
      </w:pPr>
      <w:r>
        <w:t xml:space="preserve">From Vol. 2 Taxonomies, Section 1.5 Future Work (with updates) – Nancy </w:t>
      </w:r>
    </w:p>
    <w:p w:rsidR="00EF433A" w:rsidRDefault="00EF433A" w:rsidP="00EF433A">
      <w:pPr>
        <w:pStyle w:val="NoSpacing"/>
        <w:numPr>
          <w:ilvl w:val="1"/>
          <w:numId w:val="44"/>
        </w:numPr>
      </w:pPr>
      <w:r>
        <w:t>Align with the other v1 documents</w:t>
      </w:r>
    </w:p>
    <w:p w:rsidR="00EF433A" w:rsidRDefault="00EF433A" w:rsidP="00EF433A">
      <w:pPr>
        <w:pStyle w:val="NoSpacing"/>
        <w:numPr>
          <w:ilvl w:val="1"/>
          <w:numId w:val="44"/>
        </w:numPr>
      </w:pPr>
      <w:r>
        <w:t xml:space="preserve">The Subgroup is continuing to explore the changes in both Management and in Security and Privacy. As changes in the activities within these roles are clarified, the taxonomy will be developed further. </w:t>
      </w:r>
    </w:p>
    <w:p w:rsidR="00EF433A" w:rsidRDefault="00EF433A" w:rsidP="00EF433A">
      <w:pPr>
        <w:pStyle w:val="NoSpacing"/>
        <w:numPr>
          <w:ilvl w:val="1"/>
          <w:numId w:val="44"/>
        </w:numPr>
      </w:pPr>
      <w: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EF433A" w:rsidRDefault="00EF433A" w:rsidP="00EF433A">
      <w:pPr>
        <w:pStyle w:val="NoSpacing"/>
        <w:numPr>
          <w:ilvl w:val="1"/>
          <w:numId w:val="44"/>
        </w:numPr>
      </w:pPr>
      <w: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EF433A" w:rsidRDefault="00EF433A" w:rsidP="00EF433A">
      <w:pPr>
        <w:pStyle w:val="NoSpacing"/>
        <w:numPr>
          <w:ilvl w:val="1"/>
          <w:numId w:val="44"/>
        </w:numPr>
      </w:pPr>
      <w:r>
        <w:t>Explore the taxonomy’s ability to work with Geoffrey’s blend of HPC and Big Data</w:t>
      </w:r>
    </w:p>
    <w:p w:rsidR="00EF433A" w:rsidRDefault="00EF433A" w:rsidP="00EF433A">
      <w:pPr>
        <w:pStyle w:val="NoSpacing"/>
        <w:numPr>
          <w:ilvl w:val="1"/>
          <w:numId w:val="44"/>
        </w:numPr>
      </w:pPr>
      <w:r>
        <w:t>Explore formal methods to define taxonomy</w:t>
      </w:r>
    </w:p>
    <w:p w:rsidR="00EF433A" w:rsidRDefault="00EF433A" w:rsidP="00EF433A">
      <w:pPr>
        <w:pStyle w:val="NoSpacing"/>
      </w:pPr>
    </w:p>
    <w:p w:rsidR="00EF433A" w:rsidRDefault="00EF433A" w:rsidP="00EF433A">
      <w:pPr>
        <w:pStyle w:val="NoSpacing"/>
        <w:numPr>
          <w:ilvl w:val="0"/>
          <w:numId w:val="44"/>
        </w:numPr>
      </w:pPr>
      <w:r>
        <w:t xml:space="preserve">From Vol. 3 Use Cases &amp; Requirements, Section 1.5, Future Work (with updates) – Geoffrey and Piyush </w:t>
      </w:r>
    </w:p>
    <w:p w:rsidR="00EF433A" w:rsidRDefault="00EF433A" w:rsidP="00EF433A">
      <w:pPr>
        <w:pStyle w:val="NoSpacing"/>
        <w:ind w:left="720"/>
      </w:pPr>
      <w:r>
        <w:t>[Need to come up with a strong motivation reason why people would submit new use cases. It is also hard to get security and privacy use cases]</w:t>
      </w:r>
    </w:p>
    <w:p w:rsidR="00EF433A" w:rsidRDefault="00EF433A" w:rsidP="00EF433A">
      <w:pPr>
        <w:pStyle w:val="NoSpacing"/>
        <w:numPr>
          <w:ilvl w:val="1"/>
          <w:numId w:val="44"/>
        </w:numPr>
      </w:pPr>
      <w:r>
        <w:t xml:space="preserve">Review, finalize, and begin collecting new use cases based from UC Template V2 </w:t>
      </w:r>
    </w:p>
    <w:p w:rsidR="00EF433A" w:rsidRDefault="00EF433A" w:rsidP="00EF433A">
      <w:pPr>
        <w:pStyle w:val="NoSpacing"/>
        <w:numPr>
          <w:ilvl w:val="1"/>
          <w:numId w:val="44"/>
        </w:numPr>
      </w:pPr>
      <w:r>
        <w:t>How to analyze new use cases with SnP info? How to coordinate vol. 4?</w:t>
      </w:r>
    </w:p>
    <w:p w:rsidR="00EF433A" w:rsidRDefault="00EF433A" w:rsidP="00EF433A">
      <w:pPr>
        <w:pStyle w:val="NoSpacing"/>
        <w:numPr>
          <w:ilvl w:val="1"/>
          <w:numId w:val="44"/>
        </w:numPr>
      </w:pPr>
      <w:r>
        <w:t xml:space="preserve">Draw on the use case classification to suggest classes of software models and system architectures [1][2][3][4][5]  </w:t>
      </w:r>
    </w:p>
    <w:p w:rsidR="00EF433A" w:rsidRDefault="00EF433A" w:rsidP="00EF433A">
      <w:pPr>
        <w:pStyle w:val="NoSpacing"/>
        <w:numPr>
          <w:ilvl w:val="1"/>
          <w:numId w:val="44"/>
        </w:numPr>
      </w:pPr>
      <w:r>
        <w:t xml:space="preserve">A more detailed analysis of reference architecture based on sample codes that are being implemented in a university class. [6]  </w:t>
      </w:r>
    </w:p>
    <w:p w:rsidR="00EF433A" w:rsidRDefault="00EF433A" w:rsidP="00EF433A">
      <w:pPr>
        <w:pStyle w:val="NoSpacing"/>
        <w:numPr>
          <w:ilvl w:val="1"/>
          <w:numId w:val="44"/>
        </w:numPr>
      </w:pPr>
      <w:r>
        <w:t>Collect benchmarks that capture the “essence” of individual use cases.</w:t>
      </w:r>
    </w:p>
    <w:p w:rsidR="00EF433A" w:rsidRDefault="00EF433A" w:rsidP="00EF433A">
      <w:pPr>
        <w:pStyle w:val="NoSpacing"/>
        <w:numPr>
          <w:ilvl w:val="1"/>
          <w:numId w:val="44"/>
        </w:numPr>
      </w:pPr>
      <w: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EF433A" w:rsidRDefault="00EF433A" w:rsidP="00EF433A">
      <w:pPr>
        <w:pStyle w:val="NoSpacing"/>
      </w:pPr>
    </w:p>
    <w:p w:rsidR="00EF433A" w:rsidRDefault="00EF433A" w:rsidP="00EF433A">
      <w:pPr>
        <w:pStyle w:val="NoSpacing"/>
        <w:numPr>
          <w:ilvl w:val="0"/>
          <w:numId w:val="44"/>
        </w:numPr>
      </w:pPr>
      <w:r>
        <w:t>From Vol. 4 Security &amp; Privacy, Section 1.5, Future Work (with updates) – Arnab and Mark</w:t>
      </w:r>
    </w:p>
    <w:p w:rsidR="00EF433A" w:rsidRDefault="00EF433A" w:rsidP="00EF433A">
      <w:pPr>
        <w:pStyle w:val="NoSpacing"/>
        <w:numPr>
          <w:ilvl w:val="1"/>
          <w:numId w:val="44"/>
        </w:numPr>
      </w:pPr>
      <w:r>
        <w:t>How to coordinate with vol.3 new use cases on SnP?</w:t>
      </w:r>
    </w:p>
    <w:p w:rsidR="00EF433A" w:rsidRDefault="00EF433A" w:rsidP="00EF433A">
      <w:pPr>
        <w:pStyle w:val="NoSpacing"/>
        <w:numPr>
          <w:ilvl w:val="1"/>
          <w:numId w:val="44"/>
        </w:numPr>
      </w:pPr>
      <w:r>
        <w:t>Developing the unified security and privacy taxonomy:</w:t>
      </w:r>
    </w:p>
    <w:p w:rsidR="00EF433A" w:rsidRDefault="00EF433A" w:rsidP="00EF433A">
      <w:pPr>
        <w:pStyle w:val="NoSpacing"/>
        <w:numPr>
          <w:ilvl w:val="2"/>
          <w:numId w:val="44"/>
        </w:numPr>
      </w:pPr>
      <w:r>
        <w:t xml:space="preserve">Developing the connection between the security and privacy fabric and the NBDRA (should we rename Vol. 4 to “Security and Privacy Fabric”?); </w:t>
      </w:r>
    </w:p>
    <w:p w:rsidR="00EF433A" w:rsidRDefault="00EF433A" w:rsidP="00EF433A">
      <w:pPr>
        <w:pStyle w:val="NoSpacing"/>
        <w:numPr>
          <w:ilvl w:val="1"/>
          <w:numId w:val="44"/>
        </w:numPr>
      </w:pPr>
      <w:r>
        <w:lastRenderedPageBreak/>
        <w:t>Exploring governance, risk management, data ownership, and valuation with respect to Big Data ecosystem, with a focus on security and privacy;</w:t>
      </w:r>
    </w:p>
    <w:p w:rsidR="00EF433A" w:rsidRDefault="00EF433A" w:rsidP="00EF433A">
      <w:pPr>
        <w:pStyle w:val="NoSpacing"/>
        <w:numPr>
          <w:ilvl w:val="1"/>
          <w:numId w:val="44"/>
        </w:numPr>
      </w:pPr>
      <w:r>
        <w:t>Contextualizing the content of Appendix B in the NBDRA; and</w:t>
      </w:r>
    </w:p>
    <w:p w:rsidR="00EF433A" w:rsidRDefault="00EF433A" w:rsidP="00EF433A">
      <w:pPr>
        <w:pStyle w:val="NoSpacing"/>
        <w:numPr>
          <w:ilvl w:val="1"/>
          <w:numId w:val="44"/>
        </w:numPr>
      </w:pPr>
      <w:r>
        <w:t>Expanding the privacy discussion within the scope of this volume;</w:t>
      </w:r>
    </w:p>
    <w:p w:rsidR="00EF433A" w:rsidRDefault="00EF433A" w:rsidP="00EF433A">
      <w:pPr>
        <w:pStyle w:val="NoSpacing"/>
        <w:numPr>
          <w:ilvl w:val="2"/>
          <w:numId w:val="44"/>
        </w:numPr>
      </w:pPr>
      <w:r>
        <w:t>Exploring privacy in actionable terms based on frameworks such as those described in NISTIR 8062 [7] with respect to the NBDRA.</w:t>
      </w:r>
    </w:p>
    <w:p w:rsidR="00EF433A" w:rsidRDefault="00EF433A" w:rsidP="00EF433A">
      <w:pPr>
        <w:pStyle w:val="NoSpacing"/>
        <w:numPr>
          <w:ilvl w:val="1"/>
          <w:numId w:val="44"/>
        </w:numPr>
      </w:pPr>
      <w:r>
        <w:t>Whitepaper: Privacy in Big Data System (Cavan and team)</w:t>
      </w:r>
    </w:p>
    <w:p w:rsidR="00EF433A" w:rsidRDefault="00EF433A" w:rsidP="00EF433A">
      <w:pPr>
        <w:pStyle w:val="NoSpacing"/>
      </w:pPr>
    </w:p>
    <w:p w:rsidR="00EF433A" w:rsidRDefault="00EF433A" w:rsidP="00EF433A">
      <w:pPr>
        <w:pStyle w:val="NoSpacing"/>
        <w:ind w:firstLine="720"/>
      </w:pPr>
      <w:r>
        <w:t>Other complement topics (Mark):</w:t>
      </w:r>
    </w:p>
    <w:p w:rsidR="00EF433A" w:rsidRDefault="00EF433A" w:rsidP="00EF433A">
      <w:pPr>
        <w:pStyle w:val="NoSpacing"/>
        <w:numPr>
          <w:ilvl w:val="0"/>
          <w:numId w:val="45"/>
        </w:numPr>
        <w:ind w:left="1170"/>
      </w:pPr>
      <w:r>
        <w:rPr>
          <w:b/>
          <w:bCs/>
        </w:rPr>
        <w:t>V2 “Synthesis” Document</w:t>
      </w:r>
      <w: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EF433A" w:rsidRDefault="00EF433A" w:rsidP="00EF433A">
      <w:pPr>
        <w:pStyle w:val="NoSpacing"/>
        <w:numPr>
          <w:ilvl w:val="0"/>
          <w:numId w:val="45"/>
        </w:numPr>
        <w:ind w:left="1170"/>
      </w:pPr>
      <w:r>
        <w:rPr>
          <w:b/>
          <w:bCs/>
        </w:rPr>
        <w:t>Two primary use cases</w:t>
      </w:r>
      <w:r>
        <w:t xml:space="preserve"> Selecting a big science and a PII-rich use case which can be implemented in the NIST hybrid cloud and highlight Big Data Variety and Velocity. Probably a streaming use case that simulates IoT end points and uses analytics aggressively.</w:t>
      </w:r>
    </w:p>
    <w:p w:rsidR="00EF433A" w:rsidRDefault="00EF433A" w:rsidP="00EF433A">
      <w:pPr>
        <w:pStyle w:val="NoSpacing"/>
        <w:numPr>
          <w:ilvl w:val="0"/>
          <w:numId w:val="45"/>
        </w:numPr>
        <w:ind w:left="1170"/>
      </w:pPr>
      <w:r>
        <w:rPr>
          <w:b/>
          <w:bCs/>
        </w:rPr>
        <w:t>Implementer Guide</w:t>
      </w:r>
      <w:r>
        <w:t xml:space="preserve"> that could be adapted by agencies wanting to get their feet wet in Big Data; identify where additional support might be needed (e.g., what a supporting SOW might need to have in it); </w:t>
      </w:r>
    </w:p>
    <w:p w:rsidR="00EF433A" w:rsidRDefault="00EF433A" w:rsidP="00EF433A">
      <w:pPr>
        <w:pStyle w:val="NoSpacing"/>
        <w:numPr>
          <w:ilvl w:val="0"/>
          <w:numId w:val="45"/>
        </w:numPr>
        <w:ind w:left="1170"/>
      </w:pPr>
      <w:r>
        <w:rPr>
          <w:b/>
          <w:bCs/>
        </w:rPr>
        <w:t>Flesh out Orchestration</w:t>
      </w:r>
      <w: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examples need to incorporate risk, ownership, provenance, etc. and go beyond cloud orchestration alone by addressing, e.g., sensor data and on-premises applications.</w:t>
      </w:r>
    </w:p>
    <w:p w:rsidR="00EF433A" w:rsidRDefault="00EF433A" w:rsidP="00EF433A">
      <w:pPr>
        <w:pStyle w:val="NoSpacing"/>
        <w:numPr>
          <w:ilvl w:val="0"/>
          <w:numId w:val="45"/>
        </w:numPr>
        <w:ind w:left="1170"/>
      </w:pPr>
      <w:r>
        <w:rPr>
          <w:b/>
          <w:bCs/>
        </w:rPr>
        <w:t xml:space="preserve">SnP Version 2 </w:t>
      </w:r>
      <w: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EF433A" w:rsidRDefault="00EF433A" w:rsidP="00EF433A">
      <w:pPr>
        <w:pStyle w:val="NoSpacing"/>
        <w:numPr>
          <w:ilvl w:val="0"/>
          <w:numId w:val="45"/>
        </w:numPr>
        <w:ind w:left="1170"/>
      </w:pPr>
      <w:r>
        <w:rPr>
          <w:b/>
          <w:bCs/>
        </w:rPr>
        <w:t>Value, Governance, Ownership</w:t>
      </w:r>
      <w: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EF433A" w:rsidRDefault="00EF433A" w:rsidP="00EF433A">
      <w:pPr>
        <w:pStyle w:val="NoSpacing"/>
        <w:numPr>
          <w:ilvl w:val="0"/>
          <w:numId w:val="45"/>
        </w:numPr>
        <w:ind w:left="1170"/>
      </w:pPr>
      <w:r>
        <w:rPr>
          <w:b/>
          <w:bCs/>
        </w:rPr>
        <w:t>Big Data Analytics / Data Science</w:t>
      </w:r>
      <w: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EF433A" w:rsidRDefault="00EF433A" w:rsidP="00EF433A">
      <w:pPr>
        <w:pStyle w:val="NoSpacing"/>
      </w:pPr>
    </w:p>
    <w:p w:rsidR="00EF433A" w:rsidRDefault="00EF433A" w:rsidP="00EF433A">
      <w:pPr>
        <w:pStyle w:val="NoSpacing"/>
        <w:numPr>
          <w:ilvl w:val="0"/>
          <w:numId w:val="44"/>
        </w:numPr>
      </w:pPr>
      <w:r>
        <w:t>From Vol. 5 White Paper Survey, No Future Work for now</w:t>
      </w:r>
    </w:p>
    <w:p w:rsidR="00EF433A" w:rsidRDefault="00EF433A" w:rsidP="00EF433A">
      <w:pPr>
        <w:pStyle w:val="NoSpacing"/>
      </w:pPr>
    </w:p>
    <w:p w:rsidR="00EF433A" w:rsidRDefault="00EF433A" w:rsidP="00EF433A">
      <w:pPr>
        <w:pStyle w:val="NoSpacing"/>
        <w:numPr>
          <w:ilvl w:val="0"/>
          <w:numId w:val="44"/>
        </w:numPr>
      </w:pPr>
      <w:r>
        <w:t xml:space="preserve">From Vol. 6 Reference Architecture, Section 1.5, Future Work (with updates) – David </w:t>
      </w:r>
    </w:p>
    <w:p w:rsidR="00EF433A" w:rsidRDefault="00EF433A" w:rsidP="00EF433A">
      <w:pPr>
        <w:pStyle w:val="NoSpacing"/>
        <w:ind w:firstLine="720"/>
      </w:pPr>
      <w:r>
        <w:t>[Wo will actively work on this area]</w:t>
      </w:r>
    </w:p>
    <w:p w:rsidR="00EF433A" w:rsidRDefault="00EF433A" w:rsidP="00EF433A">
      <w:pPr>
        <w:pStyle w:val="NoSpacing"/>
        <w:numPr>
          <w:ilvl w:val="1"/>
          <w:numId w:val="44"/>
        </w:numPr>
      </w:pPr>
      <w:r>
        <w:lastRenderedPageBreak/>
        <w:t>Reference Architecture Refinement</w:t>
      </w:r>
    </w:p>
    <w:p w:rsidR="00EF433A" w:rsidRDefault="00EF433A" w:rsidP="00EF433A">
      <w:pPr>
        <w:pStyle w:val="NoSpacing"/>
        <w:numPr>
          <w:ilvl w:val="2"/>
          <w:numId w:val="44"/>
        </w:numPr>
      </w:pPr>
      <w:r>
        <w:t>Establish activity and functional component views beyond the current conceptual view</w:t>
      </w:r>
    </w:p>
    <w:p w:rsidR="00EF433A" w:rsidRDefault="00EF433A" w:rsidP="00EF433A">
      <w:pPr>
        <w:pStyle w:val="NoSpacing"/>
        <w:numPr>
          <w:ilvl w:val="2"/>
          <w:numId w:val="44"/>
        </w:numPr>
      </w:pPr>
      <w:r>
        <w:t>Define high level and general activities and functional components with in each view</w:t>
      </w:r>
    </w:p>
    <w:p w:rsidR="00EF433A" w:rsidRDefault="00EF433A" w:rsidP="00EF433A">
      <w:pPr>
        <w:pStyle w:val="NoSpacing"/>
        <w:numPr>
          <w:ilvl w:val="2"/>
          <w:numId w:val="44"/>
        </w:numPr>
      </w:pPr>
      <w:r>
        <w:t>Identify high level stakeholder and map their concerns to activities and functional components</w:t>
      </w:r>
    </w:p>
    <w:p w:rsidR="00EF433A" w:rsidRDefault="00EF433A" w:rsidP="00EF433A">
      <w:pPr>
        <w:pStyle w:val="NoSpacing"/>
        <w:numPr>
          <w:ilvl w:val="1"/>
          <w:numId w:val="44"/>
        </w:numPr>
      </w:pPr>
      <w:r>
        <w:t>Reference Architecture application</w:t>
      </w:r>
    </w:p>
    <w:p w:rsidR="00EF433A" w:rsidRDefault="00EF433A" w:rsidP="00EF433A">
      <w:pPr>
        <w:pStyle w:val="NoSpacing"/>
        <w:numPr>
          <w:ilvl w:val="2"/>
          <w:numId w:val="44"/>
        </w:numPr>
      </w:pPr>
      <w:r>
        <w:t xml:space="preserve">Establish white paper template (before March 20) </w:t>
      </w:r>
    </w:p>
    <w:p w:rsidR="00EF433A" w:rsidRDefault="00EF433A" w:rsidP="00EF433A">
      <w:pPr>
        <w:pStyle w:val="NoSpacing"/>
        <w:numPr>
          <w:ilvl w:val="2"/>
          <w:numId w:val="44"/>
        </w:numPr>
      </w:pPr>
      <w:r>
        <w:t>Implement the NIST identified six use cases and/or other use cases from the 62 (51 generals and 11 security and privacy) collected use cases or others</w:t>
      </w:r>
    </w:p>
    <w:p w:rsidR="00EF433A" w:rsidRDefault="00EF433A" w:rsidP="00EF433A">
      <w:pPr>
        <w:pStyle w:val="NoSpacing"/>
        <w:numPr>
          <w:ilvl w:val="2"/>
          <w:numId w:val="44"/>
        </w:numPr>
      </w:pPr>
      <w:r>
        <w:t>Identify development environment (NIST hybrid cloud) for hosting the use case implementations</w:t>
      </w:r>
    </w:p>
    <w:p w:rsidR="00EF433A" w:rsidRDefault="00EF433A" w:rsidP="00EF433A">
      <w:pPr>
        <w:pStyle w:val="NoSpacing"/>
        <w:numPr>
          <w:ilvl w:val="2"/>
          <w:numId w:val="44"/>
        </w:numPr>
      </w:pPr>
      <w:r>
        <w:t>Create white papers by working with domain experts to identify workflow and interactions among the NBDRA components and fabrics</w:t>
      </w:r>
    </w:p>
    <w:p w:rsidR="00EF433A" w:rsidRDefault="00EF433A" w:rsidP="00EF433A">
      <w:pPr>
        <w:pStyle w:val="NoSpacing"/>
        <w:numPr>
          <w:ilvl w:val="2"/>
          <w:numId w:val="44"/>
        </w:numPr>
      </w:pPr>
      <w:r>
        <w:t xml:space="preserve">Review, analyze white papers high-level interactions and workflows and aggregate them into preliminary general interfaces </w:t>
      </w:r>
    </w:p>
    <w:p w:rsidR="00EF433A" w:rsidRDefault="00EF433A" w:rsidP="00EF433A">
      <w:pPr>
        <w:pStyle w:val="NoSpacing"/>
      </w:pPr>
    </w:p>
    <w:p w:rsidR="00EF433A" w:rsidRDefault="00EF433A" w:rsidP="00EF433A">
      <w:pPr>
        <w:pStyle w:val="NoSpacing"/>
        <w:numPr>
          <w:ilvl w:val="0"/>
          <w:numId w:val="44"/>
        </w:numPr>
      </w:pPr>
      <w:r>
        <w:t xml:space="preserve">From Vol. 7 Standards Roadmap, Section 1.5, Future Work (with updates) – Russell </w:t>
      </w:r>
    </w:p>
    <w:p w:rsidR="00EF433A" w:rsidRDefault="00EF433A" w:rsidP="00EF433A">
      <w:pPr>
        <w:pStyle w:val="NoSpacing"/>
        <w:numPr>
          <w:ilvl w:val="1"/>
          <w:numId w:val="44"/>
        </w:numPr>
      </w:pPr>
      <w:r>
        <w:t>Examine all version 1 volumes and:</w:t>
      </w:r>
    </w:p>
    <w:p w:rsidR="00EF433A" w:rsidRDefault="00EF433A" w:rsidP="00EF433A">
      <w:pPr>
        <w:pStyle w:val="NoSpacing"/>
        <w:numPr>
          <w:ilvl w:val="2"/>
          <w:numId w:val="44"/>
        </w:numPr>
      </w:pPr>
      <w:r>
        <w:t>Identify available standards, and those under development</w:t>
      </w:r>
    </w:p>
    <w:p w:rsidR="00EF433A" w:rsidRDefault="00EF433A" w:rsidP="00EF433A">
      <w:pPr>
        <w:pStyle w:val="NoSpacing"/>
        <w:numPr>
          <w:ilvl w:val="2"/>
          <w:numId w:val="44"/>
        </w:numPr>
      </w:pPr>
      <w:r>
        <w:t>Gap the differences between version 1 volumes and list of standards, and continue to build and refine the gap analysis and document the findings;</w:t>
      </w:r>
    </w:p>
    <w:p w:rsidR="00EF433A" w:rsidRDefault="00EF433A" w:rsidP="00EF433A">
      <w:pPr>
        <w:pStyle w:val="NoSpacing"/>
        <w:numPr>
          <w:ilvl w:val="2"/>
          <w:numId w:val="44"/>
        </w:numPr>
      </w:pPr>
      <w:r>
        <w:t>Extend related SDO listing and establish criteria on how to select relevant SDOs</w:t>
      </w:r>
    </w:p>
    <w:p w:rsidR="00EF433A" w:rsidRDefault="00EF433A" w:rsidP="00EF433A">
      <w:pPr>
        <w:pStyle w:val="NoSpacing"/>
        <w:numPr>
          <w:ilvl w:val="2"/>
          <w:numId w:val="44"/>
        </w:numPr>
      </w:pPr>
      <w:r>
        <w:t>Support harmonizing of terminology between volumes</w:t>
      </w:r>
    </w:p>
    <w:p w:rsidR="00EF433A" w:rsidRDefault="00EF433A" w:rsidP="00EF433A">
      <w:pPr>
        <w:pStyle w:val="NoSpacing"/>
        <w:numPr>
          <w:ilvl w:val="1"/>
          <w:numId w:val="44"/>
        </w:numPr>
      </w:pPr>
      <w:r>
        <w:t>Identify early adopters from academia, government and industry</w:t>
      </w:r>
    </w:p>
    <w:p w:rsidR="00EF433A" w:rsidRDefault="00EF433A" w:rsidP="00EF433A">
      <w:pPr>
        <w:pStyle w:val="NoSpacing"/>
        <w:numPr>
          <w:ilvl w:val="1"/>
          <w:numId w:val="44"/>
        </w:numPr>
      </w:pPr>
      <w:r>
        <w:t>Identify barriers to big data adoption</w:t>
      </w:r>
    </w:p>
    <w:p w:rsidR="00EF433A" w:rsidRDefault="00EF433A" w:rsidP="00EF433A">
      <w:pPr>
        <w:pStyle w:val="NoSpacing"/>
        <w:numPr>
          <w:ilvl w:val="1"/>
          <w:numId w:val="44"/>
        </w:numPr>
      </w:pPr>
      <w:r>
        <w:t>Identify where standards may accelerate the adoption and interoperability of Big Data technologies;</w:t>
      </w:r>
    </w:p>
    <w:p w:rsidR="00EF433A" w:rsidRDefault="00EF433A" w:rsidP="00EF433A">
      <w:pPr>
        <w:pStyle w:val="NoSpacing"/>
        <w:numPr>
          <w:ilvl w:val="1"/>
          <w:numId w:val="44"/>
        </w:numPr>
      </w:pPr>
      <w:r>
        <w:t>Further map standards to NBDRA components and the interfaces between them.</w:t>
      </w:r>
    </w:p>
    <w:p w:rsidR="00EF433A" w:rsidRDefault="00EF433A" w:rsidP="00EF433A">
      <w:pPr>
        <w:pStyle w:val="NoSpacing"/>
        <w:numPr>
          <w:ilvl w:val="2"/>
          <w:numId w:val="44"/>
        </w:numPr>
      </w:pPr>
      <w:r>
        <w:t>Enhance gap analysis on how to enable the RA</w:t>
      </w:r>
    </w:p>
    <w:p w:rsidR="00EF433A" w:rsidRDefault="00EF433A" w:rsidP="00EF433A">
      <w:pPr>
        <w:pStyle w:val="NoSpacing"/>
        <w:numPr>
          <w:ilvl w:val="1"/>
          <w:numId w:val="44"/>
        </w:numPr>
      </w:pPr>
      <w:r>
        <w:t>Document vision and recommendations for future standards activities</w:t>
      </w:r>
    </w:p>
    <w:p w:rsidR="00EF433A" w:rsidRDefault="00EF433A" w:rsidP="00EF433A">
      <w:pPr>
        <w:pStyle w:val="NoSpacing"/>
        <w:numPr>
          <w:ilvl w:val="1"/>
          <w:numId w:val="44"/>
        </w:numPr>
      </w:pPr>
      <w:r>
        <w:t xml:space="preserve">Engage communities to attract additional BDWG participation and drive consensus on how big data should move forward. </w:t>
      </w:r>
    </w:p>
    <w:p w:rsidR="00EF433A" w:rsidRDefault="00EF433A" w:rsidP="00EF433A">
      <w:pPr>
        <w:pStyle w:val="NoSpacing"/>
      </w:pPr>
    </w:p>
    <w:p w:rsidR="00EF433A" w:rsidRDefault="00EF433A" w:rsidP="00EF433A">
      <w:pPr>
        <w:pStyle w:val="NoSpacing"/>
      </w:pPr>
      <w: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9" w:history="1">
        <w:r>
          <w:rPr>
            <w:rStyle w:val="Hyperlink"/>
          </w:rPr>
          <w:t>http://arxiv.org/abs/1403.1528</w:t>
        </w:r>
      </w:hyperlink>
      <w:r>
        <w:t xml:space="preserve">. </w:t>
      </w:r>
    </w:p>
    <w:p w:rsidR="00EF433A" w:rsidRDefault="00EF433A" w:rsidP="00EF433A">
      <w:pPr>
        <w:pStyle w:val="NoSpacing"/>
      </w:pPr>
      <w:r>
        <w:t xml:space="preserve">[2] Judy Qiu, Shantenu Jha, Andre Luckow, and Geoffrey C. Fox, “Towards HPC-ABDS: An Initial High-Performance Big Data Stack,” Indiana University, August 8, 2014. </w:t>
      </w:r>
      <w:hyperlink r:id="rId10" w:history="1">
        <w:r>
          <w:rPr>
            <w:rStyle w:val="Hyperlink"/>
          </w:rPr>
          <w:t>http://grids.ucs.indiana.edu/ptliupages/publications/nist-hpc-abds.pdf</w:t>
        </w:r>
      </w:hyperlink>
      <w:r>
        <w:t xml:space="preserve">. </w:t>
      </w:r>
    </w:p>
    <w:p w:rsidR="00EF433A" w:rsidRDefault="00EF433A" w:rsidP="00EF433A">
      <w:pPr>
        <w:pStyle w:val="NoSpacing"/>
      </w:pPr>
      <w:r>
        <w:t xml:space="preserve">[3] Geoffrey Fox, Judy Qiu, and Shantenu Jha, “High Performance High Functionality Big Data Software Stack, in Big Data and Extreme-scale Computing (BDEC),” Indiana and Rutgers Universities, 2014. </w:t>
      </w:r>
      <w:hyperlink r:id="rId11" w:history="1">
        <w:r>
          <w:rPr>
            <w:rStyle w:val="Hyperlink"/>
          </w:rPr>
          <w:t>http://www.exascale.org/bdec/sites/www.exascale.org.bdec/files/whitepapers/fox.pdf</w:t>
        </w:r>
      </w:hyperlink>
      <w:r>
        <w:t xml:space="preserve">. </w:t>
      </w:r>
    </w:p>
    <w:p w:rsidR="00EF433A" w:rsidRDefault="00EF433A" w:rsidP="00EF433A">
      <w:pPr>
        <w:pStyle w:val="NoSpacing"/>
      </w:pPr>
      <w:r>
        <w:t xml:space="preserve">[4] Geoffrey C. Fox, Shantenu Jha, Judy Qiu, and Andre Luckow, “Towards an Understanding of Facets and Exemplars of Big Data Applications,” Indiana University, July 20, 2014. </w:t>
      </w:r>
      <w:hyperlink r:id="rId12" w:history="1">
        <w:r>
          <w:rPr>
            <w:rStyle w:val="Hyperlink"/>
          </w:rPr>
          <w:t>http://grids.ucs.indiana.edu/ptliupages/publications/OgrePaperv9.pdf</w:t>
        </w:r>
      </w:hyperlink>
      <w:r>
        <w:t xml:space="preserve">. </w:t>
      </w:r>
    </w:p>
    <w:p w:rsidR="00EF433A" w:rsidRDefault="00EF433A" w:rsidP="00EF433A">
      <w:pPr>
        <w:pStyle w:val="NoSpacing"/>
      </w:pPr>
      <w:r>
        <w:lastRenderedPageBreak/>
        <w:t xml:space="preserve">[5] Geoffrey Fox and Wo Chang, “Big Data Use Cases and Requirements,” Indiana University, August 10, 2014. </w:t>
      </w:r>
      <w:hyperlink r:id="rId13" w:history="1">
        <w:r>
          <w:rPr>
            <w:rStyle w:val="Hyperlink"/>
          </w:rPr>
          <w:t>http://grids.ucs.indiana.edu/ptliupages/publications/NISTUseCase.pdf</w:t>
        </w:r>
      </w:hyperlink>
      <w:r>
        <w:t xml:space="preserve">. </w:t>
      </w:r>
    </w:p>
    <w:p w:rsidR="00EF433A" w:rsidRDefault="00EF433A" w:rsidP="00EF433A">
      <w:pPr>
        <w:pStyle w:val="NoSpacing"/>
      </w:pPr>
      <w:r>
        <w:t xml:space="preserve">[6] Geoffrey Fox. “INFO 590 Indiana University Online Class: Big Data Open Source Software and Projects,” Indiana University, 2014 [accessed December 11, 2014], </w:t>
      </w:r>
      <w:hyperlink r:id="rId14" w:history="1">
        <w:r>
          <w:rPr>
            <w:rStyle w:val="Hyperlink"/>
          </w:rPr>
          <w:t>http://bigdataopensourceprojects.soic.indiana.edu/</w:t>
        </w:r>
      </w:hyperlink>
      <w:r>
        <w:t xml:space="preserve">. </w:t>
      </w:r>
    </w:p>
    <w:p w:rsidR="00EF433A" w:rsidRDefault="00EF433A" w:rsidP="00EF433A">
      <w:pPr>
        <w:pStyle w:val="NoSpacing"/>
      </w:pPr>
      <w:r>
        <w:t>[7] DRAFT Privacy Risk Management for Federal Information Systems</w:t>
      </w:r>
    </w:p>
    <w:p w:rsidR="00EF433A" w:rsidRDefault="00EF433A" w:rsidP="00EF433A">
      <w:pPr>
        <w:pStyle w:val="NoSpacing"/>
      </w:pPr>
      <w:hyperlink r:id="rId15" w:history="1">
        <w:r>
          <w:rPr>
            <w:rStyle w:val="Hyperlink"/>
          </w:rPr>
          <w:t>http://csrc.nist.gov/publications/drafts/nistir-8062/nistir_8062_draft.pdf</w:t>
        </w:r>
      </w:hyperlink>
      <w:r>
        <w:rPr>
          <w:lang w:val="en-GB"/>
        </w:rPr>
        <w:t xml:space="preserve"> </w:t>
      </w:r>
    </w:p>
    <w:p w:rsidR="00EF433A" w:rsidRDefault="00EF433A" w:rsidP="00EF433A"/>
    <w:p w:rsidR="00221763" w:rsidRPr="00EF433A" w:rsidRDefault="00221763" w:rsidP="00EF433A">
      <w:bookmarkStart w:id="0" w:name="_GoBack"/>
      <w:bookmarkEnd w:id="0"/>
    </w:p>
    <w:sectPr w:rsidR="00221763" w:rsidRPr="00EF433A" w:rsidSect="00D01EB7">
      <w:footerReference w:type="default" r:id="rId16"/>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268" w:rsidRDefault="00732268" w:rsidP="00D125C5">
      <w:r>
        <w:separator/>
      </w:r>
    </w:p>
  </w:endnote>
  <w:endnote w:type="continuationSeparator" w:id="0">
    <w:p w:rsidR="00732268" w:rsidRDefault="00732268"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EF433A">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268" w:rsidRDefault="00732268" w:rsidP="00D125C5">
      <w:r>
        <w:separator/>
      </w:r>
    </w:p>
  </w:footnote>
  <w:footnote w:type="continuationSeparator" w:id="0">
    <w:p w:rsidR="00732268" w:rsidRDefault="00732268" w:rsidP="00D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num>
  <w:num w:numId="8">
    <w:abstractNumId w:val="26"/>
  </w:num>
  <w:num w:numId="9">
    <w:abstractNumId w:val="16"/>
  </w:num>
  <w:num w:numId="10">
    <w:abstractNumId w:val="23"/>
  </w:num>
  <w:num w:numId="11">
    <w:abstractNumId w:val="10"/>
  </w:num>
  <w:num w:numId="12">
    <w:abstractNumId w:val="0"/>
  </w:num>
  <w:num w:numId="13">
    <w:abstractNumId w:val="17"/>
  </w:num>
  <w:num w:numId="14">
    <w:abstractNumId w:val="6"/>
  </w:num>
  <w:num w:numId="15">
    <w:abstractNumId w:val="1"/>
  </w:num>
  <w:num w:numId="16">
    <w:abstractNumId w:val="4"/>
  </w:num>
  <w:num w:numId="17">
    <w:abstractNumId w:val="29"/>
  </w:num>
  <w:num w:numId="18">
    <w:abstractNumId w:val="8"/>
  </w:num>
  <w:num w:numId="19">
    <w:abstractNumId w:val="21"/>
  </w:num>
  <w:num w:numId="20">
    <w:abstractNumId w:val="25"/>
  </w:num>
  <w:num w:numId="21">
    <w:abstractNumId w:val="19"/>
  </w:num>
  <w:num w:numId="22">
    <w:abstractNumId w:val="9"/>
  </w:num>
  <w:num w:numId="23">
    <w:abstractNumId w:val="24"/>
  </w:num>
  <w:num w:numId="24">
    <w:abstractNumId w:val="9"/>
  </w:num>
  <w:num w:numId="25">
    <w:abstractNumId w:val="27"/>
  </w:num>
  <w:num w:numId="26">
    <w:abstractNumId w:val="9"/>
  </w:num>
  <w:num w:numId="27">
    <w:abstractNumId w:val="20"/>
  </w:num>
  <w:num w:numId="28">
    <w:abstractNumId w:val="9"/>
  </w:num>
  <w:num w:numId="29">
    <w:abstractNumId w:val="28"/>
  </w:num>
  <w:num w:numId="30">
    <w:abstractNumId w:val="9"/>
  </w:num>
  <w:num w:numId="31">
    <w:abstractNumId w:val="18"/>
  </w:num>
  <w:num w:numId="32">
    <w:abstractNumId w:val="9"/>
  </w:num>
  <w:num w:numId="33">
    <w:abstractNumId w:val="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14"/>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7298"/>
    <w:rsid w:val="00122341"/>
    <w:rsid w:val="00132BEB"/>
    <w:rsid w:val="00136567"/>
    <w:rsid w:val="001448EF"/>
    <w:rsid w:val="00147064"/>
    <w:rsid w:val="001532EC"/>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788A"/>
    <w:rsid w:val="001B0177"/>
    <w:rsid w:val="001B039D"/>
    <w:rsid w:val="001B2B1B"/>
    <w:rsid w:val="001B4264"/>
    <w:rsid w:val="001B5626"/>
    <w:rsid w:val="001B7ADE"/>
    <w:rsid w:val="001C40E9"/>
    <w:rsid w:val="001C6762"/>
    <w:rsid w:val="001C7A63"/>
    <w:rsid w:val="001C7F4A"/>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2562"/>
    <w:rsid w:val="003A440E"/>
    <w:rsid w:val="003A624D"/>
    <w:rsid w:val="003B301B"/>
    <w:rsid w:val="003B7048"/>
    <w:rsid w:val="003C5B5A"/>
    <w:rsid w:val="003D1DBE"/>
    <w:rsid w:val="003D233A"/>
    <w:rsid w:val="003D3ABD"/>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6467"/>
    <w:rsid w:val="00543A72"/>
    <w:rsid w:val="00543F36"/>
    <w:rsid w:val="005444C6"/>
    <w:rsid w:val="00556EC4"/>
    <w:rsid w:val="005608CF"/>
    <w:rsid w:val="00562EE1"/>
    <w:rsid w:val="00567295"/>
    <w:rsid w:val="00567E6B"/>
    <w:rsid w:val="00570B30"/>
    <w:rsid w:val="00571F97"/>
    <w:rsid w:val="00573F11"/>
    <w:rsid w:val="00584187"/>
    <w:rsid w:val="00584617"/>
    <w:rsid w:val="00586841"/>
    <w:rsid w:val="00587FC7"/>
    <w:rsid w:val="0059113E"/>
    <w:rsid w:val="00595F3D"/>
    <w:rsid w:val="005A31BA"/>
    <w:rsid w:val="005B0C35"/>
    <w:rsid w:val="005B316C"/>
    <w:rsid w:val="005B5FD6"/>
    <w:rsid w:val="005D0A46"/>
    <w:rsid w:val="005D1D53"/>
    <w:rsid w:val="005D239B"/>
    <w:rsid w:val="005D56A4"/>
    <w:rsid w:val="005D5874"/>
    <w:rsid w:val="005E4F05"/>
    <w:rsid w:val="005E512F"/>
    <w:rsid w:val="005E51F7"/>
    <w:rsid w:val="005E75BE"/>
    <w:rsid w:val="005F1802"/>
    <w:rsid w:val="005F27F7"/>
    <w:rsid w:val="005F4D69"/>
    <w:rsid w:val="0060117B"/>
    <w:rsid w:val="00610BF1"/>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44FC"/>
    <w:rsid w:val="006836BA"/>
    <w:rsid w:val="00683F36"/>
    <w:rsid w:val="00684B6F"/>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68"/>
    <w:rsid w:val="0073680C"/>
    <w:rsid w:val="00742B77"/>
    <w:rsid w:val="007464C3"/>
    <w:rsid w:val="0075686D"/>
    <w:rsid w:val="007611B7"/>
    <w:rsid w:val="00773931"/>
    <w:rsid w:val="00784AB6"/>
    <w:rsid w:val="007855CE"/>
    <w:rsid w:val="007925BA"/>
    <w:rsid w:val="00794986"/>
    <w:rsid w:val="00794C8B"/>
    <w:rsid w:val="007B16BB"/>
    <w:rsid w:val="007B6A75"/>
    <w:rsid w:val="007D4C41"/>
    <w:rsid w:val="007D5ED1"/>
    <w:rsid w:val="007D6978"/>
    <w:rsid w:val="007D7298"/>
    <w:rsid w:val="007E0319"/>
    <w:rsid w:val="00800A75"/>
    <w:rsid w:val="00804D6D"/>
    <w:rsid w:val="00805DEE"/>
    <w:rsid w:val="00811AF8"/>
    <w:rsid w:val="008224D8"/>
    <w:rsid w:val="008229F9"/>
    <w:rsid w:val="00825E93"/>
    <w:rsid w:val="00826F8D"/>
    <w:rsid w:val="00842032"/>
    <w:rsid w:val="008650CC"/>
    <w:rsid w:val="00877A77"/>
    <w:rsid w:val="00880F94"/>
    <w:rsid w:val="008852DA"/>
    <w:rsid w:val="00892F3E"/>
    <w:rsid w:val="008A1668"/>
    <w:rsid w:val="008A1898"/>
    <w:rsid w:val="008B01C6"/>
    <w:rsid w:val="008B1E99"/>
    <w:rsid w:val="008B2EB1"/>
    <w:rsid w:val="008B6CC2"/>
    <w:rsid w:val="008B74F1"/>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3BC6"/>
    <w:rsid w:val="0094179D"/>
    <w:rsid w:val="00942AD0"/>
    <w:rsid w:val="00953014"/>
    <w:rsid w:val="00953468"/>
    <w:rsid w:val="00974F74"/>
    <w:rsid w:val="00975EB6"/>
    <w:rsid w:val="00983310"/>
    <w:rsid w:val="009864C7"/>
    <w:rsid w:val="00986767"/>
    <w:rsid w:val="009A031C"/>
    <w:rsid w:val="009A2195"/>
    <w:rsid w:val="009A59D4"/>
    <w:rsid w:val="009B2952"/>
    <w:rsid w:val="009B3174"/>
    <w:rsid w:val="009B41F9"/>
    <w:rsid w:val="009C09E7"/>
    <w:rsid w:val="009C0DC1"/>
    <w:rsid w:val="009C23B9"/>
    <w:rsid w:val="009C2B41"/>
    <w:rsid w:val="009C2B77"/>
    <w:rsid w:val="009C5A8D"/>
    <w:rsid w:val="009D04AA"/>
    <w:rsid w:val="009E2244"/>
    <w:rsid w:val="009E44E5"/>
    <w:rsid w:val="009E58FB"/>
    <w:rsid w:val="009F0BAE"/>
    <w:rsid w:val="00A0117B"/>
    <w:rsid w:val="00A03AC8"/>
    <w:rsid w:val="00A03EF4"/>
    <w:rsid w:val="00A0730B"/>
    <w:rsid w:val="00A10BB6"/>
    <w:rsid w:val="00A16CE8"/>
    <w:rsid w:val="00A17848"/>
    <w:rsid w:val="00A23323"/>
    <w:rsid w:val="00A316F3"/>
    <w:rsid w:val="00A37954"/>
    <w:rsid w:val="00A40EAE"/>
    <w:rsid w:val="00A41A04"/>
    <w:rsid w:val="00A44FE2"/>
    <w:rsid w:val="00A4679E"/>
    <w:rsid w:val="00A50459"/>
    <w:rsid w:val="00A51492"/>
    <w:rsid w:val="00A51B6A"/>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D1359"/>
    <w:rsid w:val="00BD49E3"/>
    <w:rsid w:val="00BE3345"/>
    <w:rsid w:val="00BE6B6F"/>
    <w:rsid w:val="00BF19EE"/>
    <w:rsid w:val="00BF6C3B"/>
    <w:rsid w:val="00BF71D1"/>
    <w:rsid w:val="00C03153"/>
    <w:rsid w:val="00C12E1A"/>
    <w:rsid w:val="00C24F2A"/>
    <w:rsid w:val="00C6039C"/>
    <w:rsid w:val="00C66F65"/>
    <w:rsid w:val="00C801B4"/>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D01EB7"/>
    <w:rsid w:val="00D07D6C"/>
    <w:rsid w:val="00D125C5"/>
    <w:rsid w:val="00D227E9"/>
    <w:rsid w:val="00D23A5E"/>
    <w:rsid w:val="00D33E46"/>
    <w:rsid w:val="00D444A5"/>
    <w:rsid w:val="00D54B29"/>
    <w:rsid w:val="00D54DF6"/>
    <w:rsid w:val="00D5678D"/>
    <w:rsid w:val="00D57DD2"/>
    <w:rsid w:val="00D57E9A"/>
    <w:rsid w:val="00D66A02"/>
    <w:rsid w:val="00D730C5"/>
    <w:rsid w:val="00DA21BD"/>
    <w:rsid w:val="00DC773E"/>
    <w:rsid w:val="00DD21D1"/>
    <w:rsid w:val="00DE1B19"/>
    <w:rsid w:val="00DE4703"/>
    <w:rsid w:val="00DE51C8"/>
    <w:rsid w:val="00DF034B"/>
    <w:rsid w:val="00E01E45"/>
    <w:rsid w:val="00E025A2"/>
    <w:rsid w:val="00E0696B"/>
    <w:rsid w:val="00E10F96"/>
    <w:rsid w:val="00E1288E"/>
    <w:rsid w:val="00E1702E"/>
    <w:rsid w:val="00E175C8"/>
    <w:rsid w:val="00E21BAA"/>
    <w:rsid w:val="00E366F2"/>
    <w:rsid w:val="00E441F3"/>
    <w:rsid w:val="00E44C4A"/>
    <w:rsid w:val="00E64D23"/>
    <w:rsid w:val="00E90005"/>
    <w:rsid w:val="00EB07CB"/>
    <w:rsid w:val="00EB7965"/>
    <w:rsid w:val="00EC2269"/>
    <w:rsid w:val="00EC4B80"/>
    <w:rsid w:val="00ED17F4"/>
    <w:rsid w:val="00ED7525"/>
    <w:rsid w:val="00ED7B77"/>
    <w:rsid w:val="00EE0CC2"/>
    <w:rsid w:val="00EF433A"/>
    <w:rsid w:val="00EF5BA4"/>
    <w:rsid w:val="00F04720"/>
    <w:rsid w:val="00F0617B"/>
    <w:rsid w:val="00F07B55"/>
    <w:rsid w:val="00F12716"/>
    <w:rsid w:val="00F16CD7"/>
    <w:rsid w:val="00F3328D"/>
    <w:rsid w:val="00F473D5"/>
    <w:rsid w:val="00F548C2"/>
    <w:rsid w:val="00F56565"/>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NISTUseCas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ids.ucs.indiana.edu/ptliupages/publications/OgrePaperv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scale.org/bdec/sites/www.exascale.org.bdec/files/whitepapers/fox.pdf" TargetMode="External"/><Relationship Id="rId5" Type="http://schemas.openxmlformats.org/officeDocument/2006/relationships/webSettings" Target="webSettings.xml"/><Relationship Id="rId15" Type="http://schemas.openxmlformats.org/officeDocument/2006/relationships/hyperlink" Target="http://csrc.nist.gov/publications/drafts/nistir-8062/nistir_8062_draft.pdf" TargetMode="External"/><Relationship Id="rId10" Type="http://schemas.openxmlformats.org/officeDocument/2006/relationships/hyperlink" Target="http://grids.ucs.indiana.edu/ptliupages/publications/nist-hpc-abds.pdf" TargetMode="External"/><Relationship Id="rId4" Type="http://schemas.openxmlformats.org/officeDocument/2006/relationships/settings" Target="settings.xml"/><Relationship Id="rId9" Type="http://schemas.openxmlformats.org/officeDocument/2006/relationships/hyperlink" Target="http://arxiv.org/abs/1403.1528" TargetMode="External"/><Relationship Id="rId14" Type="http://schemas.openxmlformats.org/officeDocument/2006/relationships/hyperlink" Target="http://bigdataopensourceprojects.soic.indi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CF51A-CCD6-40F0-ABDF-0B2515DD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2</cp:revision>
  <dcterms:created xsi:type="dcterms:W3CDTF">2016-02-09T14:45:00Z</dcterms:created>
  <dcterms:modified xsi:type="dcterms:W3CDTF">2016-02-09T14:45:00Z</dcterms:modified>
</cp:coreProperties>
</file>