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B0" w:rsidRDefault="00FA14B0" w:rsidP="00FA14B0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A14B0" w:rsidRDefault="00FA14B0" w:rsidP="00FA14B0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DC3480">
        <w:rPr>
          <w:rFonts w:ascii="Calibri Light" w:hAnsi="Calibri Light"/>
          <w:b/>
          <w:color w:val="FF0000"/>
          <w:sz w:val="44"/>
          <w:szCs w:val="44"/>
        </w:rPr>
        <w:t>M0555</w:t>
      </w:r>
      <w:bookmarkStart w:id="0" w:name="_GoBack"/>
      <w:bookmarkEnd w:id="0"/>
    </w:p>
    <w:p w:rsidR="00FA14B0" w:rsidRDefault="00FA14B0" w:rsidP="00FA14B0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A14B0" w:rsidRDefault="00FA14B0" w:rsidP="00FA14B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FA14B0" w:rsidRDefault="00FA14B0" w:rsidP="00FA14B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FA14B0" w:rsidRDefault="00FA14B0" w:rsidP="00FA14B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August 23, 2016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C:\underwood\gov\NIST\Big Data\</w:t>
      </w:r>
      <w:proofErr w:type="spellStart"/>
      <w:r>
        <w:rPr>
          <w:rFonts w:ascii="Segoe UI" w:hAnsi="Segoe UI" w:cs="Segoe UI"/>
          <w:b/>
          <w:bCs/>
          <w:color w:val="000000"/>
          <w:sz w:val="17"/>
          <w:szCs w:val="17"/>
        </w:rPr>
        <w:t>ChatLog</w:t>
      </w:r>
      <w:proofErr w:type="spellEnd"/>
      <w:r>
        <w:rPr>
          <w:rFonts w:ascii="Segoe UI" w:hAnsi="Segoe UI" w:cs="Segoe UI"/>
          <w:b/>
          <w:bCs/>
          <w:color w:val="000000"/>
          <w:sz w:val="17"/>
          <w:szCs w:val="17"/>
        </w:rPr>
        <w:t xml:space="preserve"> 2016_08_23 14_20.rtf</w:t>
      </w:r>
    </w:p>
    <w:p w:rsidR="00E60E38" w:rsidRDefault="00E60E3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David W. Boyd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Mark - this may end up being a short meeting since we have gotten no inputs to Vol 6.    I think what we will do is bring up the latest Vol 6 and talk through the outline and what we need input on.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David W. Boyd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We should also discuss how we can get more inputs/participation.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David W. Boyd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Let me know when you want to start.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Mark Underwood (to David W. Boyd)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Good to go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Mark Underwood (to David W. Boyd)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Hi Laurie!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Hi Laurie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1:10 PM: FYI https://en.wikipedia.org/wiki/Federal_enterprise_architecture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proofErr w:type="gram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Mark did you get my text for privacy?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Mark Underwood (to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>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1:18 PM: Yep, thx, just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ack'd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it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proofErr w:type="gram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thanks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Russell Reinsch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Nonsense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I also see the subject as an attribute of the data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An actor in the Unified Modeling Language (UML) "specifies a role played by a user or any other system that interacts with the subject." "An Actor models a type of role played by an entity that interacts with the subject (e.g., by exchanging signals and data), but which is external to the subject."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Is the Data Provider an aggregator data sources?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Jude - that is one example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Do we need to have a different role for person than is provided in this UML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def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Sounds like she is talking about Consumer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1:25 PM: My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intuitioin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that attribute is closer to Ann's aim vs. role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Mark - Thanks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Trying to use "role" in this way is swimming upstream a bit vs. the usual understanding for role. 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"i.e., folks using UML think they already have this covered (albeit weakly from this group's point of view)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Perhaps the specific concern is whether data provider as person is different from machine/agent providers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;  the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conventional view is that they are not different.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Data Provider is an empty placeholder. E.g., the stock brings the baby data.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In the real world, examples of data providers are the Large Hadron Collider IT system, the Hubble Space Telescope control center, London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cctv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IT system, Twitter, Web crawlers.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See https://en.wikipedia.org/wiki/Attribute-Based_Access_Control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Everyone should study the Dublin Core metadata. This is the single best starting point for beginners.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FITS is an outstanding example for scientific images' metadata.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@Tim &amp; FITS - thanks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Cavan, for Census an XML schema that defines raw census metadata could combine both data and metadata in each XML document. This works very well.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@Tim - Thanks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Dave- What seems relevant for today's call is to consider how attribute ("metadata") flows between elements in the RA.  Do we think it's handled via orchestration?  E.g., how is a role- or attribute set handed off from a provider to a consumer?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Yeah - I want to see a discussion about providing write ups to the three types of exchanges on the diagram.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Cavan, each subsequent edit / update could reference the original version or any specific updated version, together with the updated data. Referencing whole documents by URL / URI / URN is space efficient...and avoids spreading many different copies from many different sources...to avoid such confusion.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See also Audit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is there a testing activity?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@Tim, I agree about somehow referencing the original (almost like a bit chain), about the URL reference, if you are dealing with private data would a URL/URI be available?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There are some curiosities. ISO 42010 uses stakeholder vs. roles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2:03 PM: Mark, our world is imperfect. This is not 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greenfield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architecture.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Tim - I'm trying to rule out all work that we can avoid putting on our plate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Mark, Frank is going to do this work.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The misgiving I have here is that the Federal reference (the five threads) have a security model; ISO 42010 does not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Tim - agree; we have to bridge to the dominant frameworks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Note UML diagram being used in 42010 document. UML is another big standard from OMG.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From current 20547-3 draft: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3.2.1.</w:t>
      </w:r>
      <w:r>
        <w:rPr>
          <w:rFonts w:ascii="Segoe UI" w:hAnsi="Segoe UI" w:cs="Segoe UI"/>
          <w:color w:val="000000"/>
          <w:sz w:val="17"/>
          <w:szCs w:val="17"/>
        </w:rPr>
        <w:tab/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reference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architecture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Reference Architecture is an authoritative source of information about a specific subject area that guides and constrains the instantiations of multiple architectures and solutions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[SOURCE: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DoD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xxxx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]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NOTE Reference architectures generally serve as a foundation for solution architectures and may also be used for comparison and alignment of instantiations of architectures and solutions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[Editor’s note: need definitive source and need to reach out authors for ISO 42010 for reference architecture. To consider adding other definitions to 42010]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3.2.1.</w:t>
      </w:r>
      <w:r>
        <w:rPr>
          <w:rFonts w:ascii="Segoe UI" w:hAnsi="Segoe UI" w:cs="Segoe UI"/>
          <w:color w:val="000000"/>
          <w:sz w:val="17"/>
          <w:szCs w:val="17"/>
        </w:rPr>
        <w:tab/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role</w:t>
      </w:r>
      <w:proofErr w:type="gramEnd"/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set of activities (clause 3.2.1) that serves a common purpose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[SOURCE: ISO/IEC 17789:2014]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3.2.2.</w:t>
      </w:r>
      <w:r>
        <w:rPr>
          <w:rFonts w:ascii="Segoe UI" w:hAnsi="Segoe UI" w:cs="Segoe UI"/>
          <w:color w:val="000000"/>
          <w:sz w:val="17"/>
          <w:szCs w:val="17"/>
        </w:rPr>
        <w:tab/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sub-role</w:t>
      </w:r>
      <w:proofErr w:type="gramEnd"/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subset of the activities (clause 3.2.1) of a given role (clause 3.2.5)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2:19 PM: Agree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DoDAF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  Yes, when I've built a "reference architecture" is was in reference to "solution architectures" or "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inplementation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architectures"</w:t>
      </w:r>
    </w:p>
    <w:p w:rsidR="00E60E38" w:rsidRDefault="00FA14B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2</w:t>
      </w:r>
    </w:p>
    <w:sectPr w:rsidR="00E60E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B0"/>
    <w:rsid w:val="00DC3480"/>
    <w:rsid w:val="00E60E38"/>
    <w:rsid w:val="00F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C80417-CD99-40BE-9C5F-2920CA9C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A1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1061</Words>
  <Characters>5475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2016-12-29T21:45:00Z</dcterms:created>
  <dcterms:modified xsi:type="dcterms:W3CDTF">2016-12-29T22:28:00Z</dcterms:modified>
</cp:coreProperties>
</file>