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3343" w:type="dxa"/>
        <w:tblInd w:w="-185" w:type="dxa"/>
        <w:tblLayout w:type="fixed"/>
        <w:tblLook w:val="04A0" w:firstRow="1" w:lastRow="0" w:firstColumn="1" w:lastColumn="0" w:noHBand="0" w:noVBand="1"/>
      </w:tblPr>
      <w:tblGrid>
        <w:gridCol w:w="810"/>
        <w:gridCol w:w="833"/>
        <w:gridCol w:w="810"/>
        <w:gridCol w:w="720"/>
        <w:gridCol w:w="1208"/>
        <w:gridCol w:w="4732"/>
        <w:gridCol w:w="4230"/>
      </w:tblGrid>
      <w:tr w:rsidR="00E97FBA" w:rsidTr="00792D0C">
        <w:trPr>
          <w:tblHeader/>
        </w:trPr>
        <w:tc>
          <w:tcPr>
            <w:tcW w:w="810" w:type="dxa"/>
          </w:tcPr>
          <w:p w:rsidR="00E97FBA" w:rsidRPr="00E97FBA" w:rsidRDefault="00EC561C" w:rsidP="00EC561C">
            <w:pPr>
              <w:tabs>
                <w:tab w:val="center" w:pos="216"/>
              </w:tabs>
              <w:rPr>
                <w:b/>
              </w:rPr>
            </w:pPr>
            <w:r>
              <w:rPr>
                <w:b/>
              </w:rPr>
              <w:t xml:space="preserve">Item </w:t>
            </w:r>
            <w:r>
              <w:rPr>
                <w:b/>
              </w:rPr>
              <w:tab/>
            </w:r>
            <w:r w:rsidR="00E97FBA">
              <w:rPr>
                <w:b/>
              </w:rPr>
              <w:t>#</w:t>
            </w:r>
          </w:p>
        </w:tc>
        <w:tc>
          <w:tcPr>
            <w:tcW w:w="833" w:type="dxa"/>
          </w:tcPr>
          <w:p w:rsidR="00E97FBA" w:rsidRPr="00E97FBA" w:rsidRDefault="00E97FBA" w:rsidP="00E97FBA">
            <w:pPr>
              <w:jc w:val="center"/>
              <w:rPr>
                <w:b/>
              </w:rPr>
            </w:pPr>
            <w:r>
              <w:rPr>
                <w:b/>
              </w:rPr>
              <w:t>Type</w:t>
            </w:r>
          </w:p>
        </w:tc>
        <w:tc>
          <w:tcPr>
            <w:tcW w:w="810" w:type="dxa"/>
          </w:tcPr>
          <w:p w:rsidR="00E97FBA" w:rsidRPr="00E97FBA" w:rsidRDefault="00E97FBA" w:rsidP="00E97FBA">
            <w:pPr>
              <w:jc w:val="center"/>
              <w:rPr>
                <w:b/>
              </w:rPr>
            </w:pPr>
            <w:r>
              <w:rPr>
                <w:b/>
              </w:rPr>
              <w:t>Page #</w:t>
            </w:r>
          </w:p>
        </w:tc>
        <w:tc>
          <w:tcPr>
            <w:tcW w:w="720" w:type="dxa"/>
          </w:tcPr>
          <w:p w:rsidR="00E97FBA" w:rsidRPr="00E97FBA" w:rsidRDefault="00E97FBA" w:rsidP="00E97FBA">
            <w:pPr>
              <w:jc w:val="center"/>
              <w:rPr>
                <w:b/>
              </w:rPr>
            </w:pPr>
            <w:r>
              <w:rPr>
                <w:b/>
              </w:rPr>
              <w:t>Line #</w:t>
            </w:r>
          </w:p>
        </w:tc>
        <w:tc>
          <w:tcPr>
            <w:tcW w:w="1208" w:type="dxa"/>
          </w:tcPr>
          <w:p w:rsidR="00E97FBA" w:rsidRPr="00E97FBA" w:rsidRDefault="00E97FBA" w:rsidP="00E97FBA">
            <w:pPr>
              <w:jc w:val="center"/>
              <w:rPr>
                <w:b/>
              </w:rPr>
            </w:pPr>
            <w:r>
              <w:rPr>
                <w:b/>
              </w:rPr>
              <w:t>Section</w:t>
            </w:r>
          </w:p>
        </w:tc>
        <w:tc>
          <w:tcPr>
            <w:tcW w:w="4732" w:type="dxa"/>
          </w:tcPr>
          <w:p w:rsidR="00E97FBA" w:rsidRPr="00E97FBA" w:rsidRDefault="00E97FBA" w:rsidP="00E97FBA">
            <w:pPr>
              <w:jc w:val="center"/>
              <w:rPr>
                <w:b/>
              </w:rPr>
            </w:pPr>
            <w:r>
              <w:rPr>
                <w:b/>
              </w:rPr>
              <w:t>Comment (with rationale)</w:t>
            </w:r>
          </w:p>
        </w:tc>
        <w:tc>
          <w:tcPr>
            <w:tcW w:w="4230" w:type="dxa"/>
          </w:tcPr>
          <w:p w:rsidR="00E97FBA" w:rsidRPr="00E97FBA" w:rsidRDefault="00E97FBA" w:rsidP="00E97FBA">
            <w:pPr>
              <w:jc w:val="center"/>
              <w:rPr>
                <w:b/>
              </w:rPr>
            </w:pPr>
            <w:r>
              <w:rPr>
                <w:b/>
              </w:rPr>
              <w:t>Suggested Change</w:t>
            </w:r>
          </w:p>
        </w:tc>
      </w:tr>
      <w:tr w:rsidR="00E97FBA" w:rsidTr="00EC561C">
        <w:tc>
          <w:tcPr>
            <w:tcW w:w="810" w:type="dxa"/>
          </w:tcPr>
          <w:p w:rsidR="00E97FBA" w:rsidRDefault="0069617B" w:rsidP="00E97FBA">
            <w:r>
              <w:t>1</w:t>
            </w:r>
          </w:p>
        </w:tc>
        <w:tc>
          <w:tcPr>
            <w:tcW w:w="833" w:type="dxa"/>
          </w:tcPr>
          <w:p w:rsidR="00E97FBA" w:rsidRDefault="0069617B" w:rsidP="00E97FBA">
            <w:r>
              <w:t>E</w:t>
            </w:r>
          </w:p>
        </w:tc>
        <w:tc>
          <w:tcPr>
            <w:tcW w:w="810" w:type="dxa"/>
          </w:tcPr>
          <w:p w:rsidR="00E97FBA" w:rsidRDefault="0069617B" w:rsidP="00E97FBA">
            <w:r>
              <w:t>10</w:t>
            </w:r>
          </w:p>
        </w:tc>
        <w:tc>
          <w:tcPr>
            <w:tcW w:w="720" w:type="dxa"/>
          </w:tcPr>
          <w:p w:rsidR="00E97FBA" w:rsidRDefault="0069617B" w:rsidP="00E97FBA">
            <w:r>
              <w:t>316</w:t>
            </w:r>
          </w:p>
        </w:tc>
        <w:tc>
          <w:tcPr>
            <w:tcW w:w="1208" w:type="dxa"/>
          </w:tcPr>
          <w:p w:rsidR="00E97FBA" w:rsidRDefault="0069617B" w:rsidP="00E97FBA">
            <w:r>
              <w:t>3</w:t>
            </w:r>
          </w:p>
        </w:tc>
        <w:tc>
          <w:tcPr>
            <w:tcW w:w="4732" w:type="dxa"/>
          </w:tcPr>
          <w:p w:rsidR="00E97FBA" w:rsidRDefault="00C346EC" w:rsidP="00C346EC">
            <w:r>
              <w:t xml:space="preserve">Include a Purpose Domains layer to </w:t>
            </w:r>
            <w:r w:rsidR="0069617B">
              <w:t>Fig.2</w:t>
            </w:r>
            <w:r>
              <w:t xml:space="preserve"> reference architecture. </w:t>
            </w:r>
            <w:r w:rsidR="0069617B">
              <w:t xml:space="preserve"> </w:t>
            </w:r>
            <w:r>
              <w:t>The purpose domains layer provides specific context, purpose, and requirements to the big data pursuit.</w:t>
            </w:r>
          </w:p>
        </w:tc>
        <w:tc>
          <w:tcPr>
            <w:tcW w:w="4230" w:type="dxa"/>
          </w:tcPr>
          <w:p w:rsidR="00E97FBA" w:rsidRDefault="00C346EC" w:rsidP="00C346EC">
            <w:r>
              <w:t xml:space="preserve">Add a Purpose Domains layer </w:t>
            </w:r>
            <w:r w:rsidR="007F1ACD">
              <w:t xml:space="preserve">to the diagram </w:t>
            </w:r>
            <w:r>
              <w:t xml:space="preserve">and insert a subsection </w:t>
            </w:r>
            <w:r w:rsidR="0048266D">
              <w:t xml:space="preserve">3.1 </w:t>
            </w:r>
            <w:r>
              <w:t xml:space="preserve">text to define the layer and its expected roles in the architecture. (see </w:t>
            </w:r>
            <w:r>
              <w:fldChar w:fldCharType="begin"/>
            </w:r>
            <w:r>
              <w:instrText xml:space="preserve"> REF _Ref485719918 \h </w:instrText>
            </w:r>
            <w:r>
              <w:fldChar w:fldCharType="separate"/>
            </w:r>
            <w:r>
              <w:t>Item #1</w:t>
            </w:r>
            <w:r>
              <w:fldChar w:fldCharType="end"/>
            </w:r>
            <w:r>
              <w:t xml:space="preserve"> details)</w:t>
            </w:r>
          </w:p>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r w:rsidR="00E97FBA" w:rsidTr="00EC561C">
        <w:tc>
          <w:tcPr>
            <w:tcW w:w="810" w:type="dxa"/>
          </w:tcPr>
          <w:p w:rsidR="00E97FBA" w:rsidRDefault="00E97FBA" w:rsidP="00E97FBA"/>
        </w:tc>
        <w:tc>
          <w:tcPr>
            <w:tcW w:w="833" w:type="dxa"/>
          </w:tcPr>
          <w:p w:rsidR="00E97FBA" w:rsidRDefault="00E97FBA" w:rsidP="00E97FBA"/>
        </w:tc>
        <w:tc>
          <w:tcPr>
            <w:tcW w:w="810" w:type="dxa"/>
          </w:tcPr>
          <w:p w:rsidR="00E97FBA" w:rsidRDefault="00E97FBA" w:rsidP="00E97FBA"/>
        </w:tc>
        <w:tc>
          <w:tcPr>
            <w:tcW w:w="720" w:type="dxa"/>
          </w:tcPr>
          <w:p w:rsidR="00E97FBA" w:rsidRDefault="00E97FBA" w:rsidP="00E97FBA"/>
        </w:tc>
        <w:tc>
          <w:tcPr>
            <w:tcW w:w="1208" w:type="dxa"/>
          </w:tcPr>
          <w:p w:rsidR="00E97FBA" w:rsidRDefault="00E97FBA" w:rsidP="00E97FBA"/>
        </w:tc>
        <w:tc>
          <w:tcPr>
            <w:tcW w:w="4732" w:type="dxa"/>
          </w:tcPr>
          <w:p w:rsidR="00E97FBA" w:rsidRDefault="00E97FBA" w:rsidP="00E97FBA"/>
        </w:tc>
        <w:tc>
          <w:tcPr>
            <w:tcW w:w="4230" w:type="dxa"/>
          </w:tcPr>
          <w:p w:rsidR="00E97FBA" w:rsidRDefault="00E97FBA" w:rsidP="00E97FBA"/>
        </w:tc>
      </w:tr>
    </w:tbl>
    <w:p w:rsidR="00E97FBA" w:rsidRDefault="00E97FBA" w:rsidP="00E97FBA"/>
    <w:p w:rsidR="0069617B" w:rsidRDefault="0069617B" w:rsidP="0069617B">
      <w:pPr>
        <w:pStyle w:val="Heading1"/>
      </w:pPr>
      <w:bookmarkStart w:id="0" w:name="_Ref485719918"/>
      <w:r>
        <w:lastRenderedPageBreak/>
        <w:t>Item #1</w:t>
      </w:r>
      <w:bookmarkEnd w:id="0"/>
    </w:p>
    <w:p w:rsidR="0069617B" w:rsidRPr="0069617B" w:rsidRDefault="0069617B" w:rsidP="0069617B">
      <w:pPr>
        <w:pStyle w:val="Heading2"/>
      </w:pPr>
      <w:r>
        <w:t>Current:</w:t>
      </w:r>
    </w:p>
    <w:p w:rsidR="0069617B" w:rsidRDefault="0069617B" w:rsidP="0069617B">
      <w:r w:rsidRPr="00E24CE6">
        <w:rPr>
          <w:noProof/>
        </w:rPr>
        <w:drawing>
          <wp:inline distT="0" distB="0" distL="0" distR="0" wp14:anchorId="2B86B070" wp14:editId="692B9140">
            <wp:extent cx="4725681" cy="3549535"/>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26973" cy="3550505"/>
                    </a:xfrm>
                    <a:prstGeom prst="rect">
                      <a:avLst/>
                    </a:prstGeom>
                    <a:noFill/>
                    <a:ln>
                      <a:noFill/>
                    </a:ln>
                  </pic:spPr>
                </pic:pic>
              </a:graphicData>
            </a:graphic>
          </wp:inline>
        </w:drawing>
      </w:r>
    </w:p>
    <w:p w:rsidR="0069617B" w:rsidRDefault="0069617B" w:rsidP="006E62B5">
      <w:pPr>
        <w:pStyle w:val="BDFigureCaption"/>
        <w:jc w:val="left"/>
      </w:pPr>
      <w:bookmarkStart w:id="1" w:name="_Toc481570165"/>
      <w:bookmarkStart w:id="2" w:name="_Toc481570179"/>
      <w:bookmarkStart w:id="3" w:name="_Toc481570229"/>
      <w:bookmarkStart w:id="4" w:name="_Toc481570282"/>
      <w:bookmarkStart w:id="5" w:name="_Toc481570306"/>
      <w:r w:rsidRPr="00E24CE6">
        <w:t>Figure 2: NIST Big Data Reference Architecture (NBDRA)</w:t>
      </w:r>
      <w:bookmarkEnd w:id="1"/>
      <w:bookmarkEnd w:id="2"/>
      <w:bookmarkEnd w:id="3"/>
      <w:bookmarkEnd w:id="4"/>
      <w:bookmarkEnd w:id="5"/>
    </w:p>
    <w:p w:rsidR="0069617B" w:rsidRPr="00E24CE6" w:rsidRDefault="0069617B" w:rsidP="0069617B">
      <w:pPr>
        <w:pStyle w:val="Heading2"/>
      </w:pPr>
      <w:r>
        <w:lastRenderedPageBreak/>
        <w:t>Change to:</w:t>
      </w:r>
    </w:p>
    <w:p w:rsidR="0069617B" w:rsidRDefault="00C346EC" w:rsidP="0069617B">
      <w:r>
        <w:rPr>
          <w:noProof/>
        </w:rPr>
        <w:drawing>
          <wp:inline distT="0" distB="0" distL="0" distR="0" wp14:anchorId="089E8BE4" wp14:editId="633E9B5C">
            <wp:extent cx="5398422" cy="424060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8404" cy="4256297"/>
                    </a:xfrm>
                    <a:prstGeom prst="rect">
                      <a:avLst/>
                    </a:prstGeom>
                  </pic:spPr>
                </pic:pic>
              </a:graphicData>
            </a:graphic>
          </wp:inline>
        </w:drawing>
      </w:r>
    </w:p>
    <w:p w:rsidR="00C41175" w:rsidRDefault="00C41175" w:rsidP="0069617B"/>
    <w:p w:rsidR="00C41175" w:rsidRDefault="00C41175" w:rsidP="0069617B">
      <w:r>
        <w:t>Text to insert before the current section 3.1</w:t>
      </w:r>
      <w:r w:rsidR="00522DA3">
        <w:t xml:space="preserve"> (before line 378)</w:t>
      </w:r>
      <w:bookmarkStart w:id="6" w:name="_GoBack"/>
      <w:bookmarkEnd w:id="6"/>
      <w:r>
        <w:t>:</w:t>
      </w:r>
    </w:p>
    <w:p w:rsidR="00C41175" w:rsidRDefault="00C41175" w:rsidP="0069617B"/>
    <w:p w:rsidR="00C41175" w:rsidRDefault="00C41175" w:rsidP="0069617B">
      <w:r>
        <w:t>3.1 Purpose Domains</w:t>
      </w:r>
    </w:p>
    <w:p w:rsidR="00B3204A" w:rsidRDefault="00C41175" w:rsidP="0069617B">
      <w:r>
        <w:lastRenderedPageBreak/>
        <w:t>The Purpose Domains layer of the Reference Architecture indicates what context and purpose the bid data pursuit is operated in. This layer provides the business or mission context of the big data effort; the goals and objectives of the effort; the requirements and constraints; the environment, culture, and other background factors; the stakeholders;</w:t>
      </w:r>
      <w:r w:rsidR="00B3204A">
        <w:t xml:space="preserve"> and any o</w:t>
      </w:r>
      <w:r>
        <w:t xml:space="preserve">ther </w:t>
      </w:r>
      <w:r w:rsidR="00B3204A">
        <w:t>factors related to the specific business or mission domains.</w:t>
      </w:r>
    </w:p>
    <w:p w:rsidR="00B3204A" w:rsidRDefault="00B3204A" w:rsidP="0069617B"/>
    <w:p w:rsidR="00C41175" w:rsidRDefault="00B3204A" w:rsidP="0069617B">
      <w:r>
        <w:t xml:space="preserve">Those domain factors affect the value proposition, the direction, the requirements and constraints, and the choices of </w:t>
      </w:r>
      <w:r w:rsidR="00F97D00">
        <w:t xml:space="preserve">business, management, security, and technical </w:t>
      </w:r>
      <w:r>
        <w:t xml:space="preserve">decisions of any big data efforts.  </w:t>
      </w:r>
      <w:r w:rsidR="00F97D00">
        <w:t xml:space="preserve">The design of a big data architecture needs to incorporate the domain factors for the big data effort to assure delivering needed values </w:t>
      </w:r>
      <w:r w:rsidR="0076412F">
        <w:t xml:space="preserve">within constraints </w:t>
      </w:r>
      <w:r w:rsidR="00F97D00">
        <w:t>to the business.</w:t>
      </w:r>
    </w:p>
    <w:p w:rsidR="00F97D00" w:rsidRDefault="00F97D00" w:rsidP="0069617B"/>
    <w:p w:rsidR="00F97D00" w:rsidRDefault="00F97D00" w:rsidP="0069617B">
      <w:r>
        <w:t>The common factors in the Purpose Domains layer may include</w:t>
      </w:r>
      <w:r w:rsidR="00720312">
        <w:t xml:space="preserve">, but </w:t>
      </w:r>
      <w:r w:rsidR="008D792D">
        <w:t>are</w:t>
      </w:r>
      <w:r w:rsidR="00720312">
        <w:t xml:space="preserve"> not limited to</w:t>
      </w:r>
      <w:r>
        <w:t>:</w:t>
      </w:r>
    </w:p>
    <w:p w:rsidR="00F97D00" w:rsidRDefault="00720312" w:rsidP="00720312">
      <w:pPr>
        <w:pStyle w:val="ListParagraph"/>
        <w:numPr>
          <w:ilvl w:val="0"/>
          <w:numId w:val="1"/>
        </w:numPr>
      </w:pPr>
      <w:r>
        <w:t>The mission of the organization</w:t>
      </w:r>
    </w:p>
    <w:p w:rsidR="008D4D3C" w:rsidRDefault="008D4D3C" w:rsidP="00720312">
      <w:pPr>
        <w:pStyle w:val="ListParagraph"/>
        <w:numPr>
          <w:ilvl w:val="0"/>
          <w:numId w:val="1"/>
        </w:numPr>
      </w:pPr>
      <w:r>
        <w:t xml:space="preserve">The goals and objectives </w:t>
      </w:r>
      <w:r w:rsidR="001C2780">
        <w:t>of</w:t>
      </w:r>
      <w:r>
        <w:t xml:space="preserve"> the big data pursuit</w:t>
      </w:r>
    </w:p>
    <w:p w:rsidR="00720312" w:rsidRDefault="00720312" w:rsidP="00720312">
      <w:pPr>
        <w:pStyle w:val="ListParagraph"/>
        <w:numPr>
          <w:ilvl w:val="0"/>
          <w:numId w:val="1"/>
        </w:numPr>
      </w:pPr>
      <w:r>
        <w:t xml:space="preserve">The standard </w:t>
      </w:r>
      <w:r w:rsidR="008D792D">
        <w:t xml:space="preserve">processes </w:t>
      </w:r>
      <w:r>
        <w:t>or best practice of the industry</w:t>
      </w:r>
    </w:p>
    <w:p w:rsidR="00720312" w:rsidRDefault="00720312" w:rsidP="00720312">
      <w:pPr>
        <w:pStyle w:val="ListParagraph"/>
        <w:numPr>
          <w:ilvl w:val="0"/>
          <w:numId w:val="1"/>
        </w:numPr>
      </w:pPr>
      <w:r>
        <w:t>The types of business questions</w:t>
      </w:r>
      <w:r w:rsidR="008D4D3C">
        <w:t xml:space="preserve"> that need answers</w:t>
      </w:r>
    </w:p>
    <w:p w:rsidR="00720312" w:rsidRDefault="008D792D" w:rsidP="00720312">
      <w:pPr>
        <w:pStyle w:val="ListParagraph"/>
        <w:numPr>
          <w:ilvl w:val="0"/>
          <w:numId w:val="1"/>
        </w:numPr>
      </w:pPr>
      <w:r>
        <w:t>Stakeholders and their relevant needs</w:t>
      </w:r>
    </w:p>
    <w:p w:rsidR="008D792D" w:rsidRDefault="008D792D" w:rsidP="00720312">
      <w:pPr>
        <w:pStyle w:val="ListParagraph"/>
        <w:numPr>
          <w:ilvl w:val="0"/>
          <w:numId w:val="1"/>
        </w:numPr>
      </w:pPr>
      <w:r>
        <w:t>Regulatory and other mandates</w:t>
      </w:r>
    </w:p>
    <w:p w:rsidR="008D792D" w:rsidRDefault="008D792D" w:rsidP="00720312">
      <w:pPr>
        <w:pStyle w:val="ListParagraph"/>
        <w:numPr>
          <w:ilvl w:val="0"/>
          <w:numId w:val="1"/>
        </w:numPr>
      </w:pPr>
      <w:r>
        <w:t>Customer expectations</w:t>
      </w:r>
    </w:p>
    <w:p w:rsidR="008D792D" w:rsidRDefault="008D792D" w:rsidP="00720312">
      <w:pPr>
        <w:pStyle w:val="ListParagraph"/>
        <w:numPr>
          <w:ilvl w:val="0"/>
          <w:numId w:val="1"/>
        </w:numPr>
      </w:pPr>
      <w:r>
        <w:t>Budget and resources constraints</w:t>
      </w:r>
    </w:p>
    <w:p w:rsidR="008D792D" w:rsidRDefault="008D792D" w:rsidP="00720312">
      <w:pPr>
        <w:pStyle w:val="ListParagraph"/>
        <w:numPr>
          <w:ilvl w:val="0"/>
          <w:numId w:val="1"/>
        </w:numPr>
      </w:pPr>
      <w:r>
        <w:t>Time constraints</w:t>
      </w:r>
    </w:p>
    <w:p w:rsidR="002A082E" w:rsidRDefault="002A082E" w:rsidP="00720312">
      <w:pPr>
        <w:pStyle w:val="ListParagraph"/>
        <w:numPr>
          <w:ilvl w:val="0"/>
          <w:numId w:val="1"/>
        </w:numPr>
      </w:pPr>
      <w:r>
        <w:t>…</w:t>
      </w:r>
    </w:p>
    <w:p w:rsidR="002A082E" w:rsidRDefault="002A082E" w:rsidP="002A082E"/>
    <w:p w:rsidR="002A082E" w:rsidRDefault="002A082E" w:rsidP="002A082E">
      <w:r>
        <w:t xml:space="preserve">Explicitly </w:t>
      </w:r>
      <w:r w:rsidR="000E7111">
        <w:t>identifying</w:t>
      </w:r>
      <w:r>
        <w:t xml:space="preserve"> </w:t>
      </w:r>
      <w:r w:rsidR="001C2780">
        <w:t xml:space="preserve">and incorporating </w:t>
      </w:r>
      <w:r>
        <w:t xml:space="preserve">those purpose domain factors in the right stages of </w:t>
      </w:r>
      <w:r w:rsidR="000E7111">
        <w:t>a big data pursuit</w:t>
      </w:r>
      <w:r>
        <w:t xml:space="preserve"> will prevent the </w:t>
      </w:r>
      <w:r w:rsidR="000E7111">
        <w:t>pursuit</w:t>
      </w:r>
      <w:r>
        <w:t xml:space="preserve"> </w:t>
      </w:r>
      <w:r w:rsidR="001C2780">
        <w:t xml:space="preserve">from becoming a failure or a wasteful </w:t>
      </w:r>
      <w:r w:rsidR="000E7111">
        <w:t>effort</w:t>
      </w:r>
      <w:r w:rsidR="001C2780">
        <w:t>.</w:t>
      </w:r>
    </w:p>
    <w:p w:rsidR="008D792D" w:rsidRDefault="008D792D" w:rsidP="002A082E"/>
    <w:p w:rsidR="002A082E" w:rsidRPr="0069617B" w:rsidRDefault="002A082E" w:rsidP="002A082E"/>
    <w:sectPr w:rsidR="002A082E" w:rsidRPr="0069617B" w:rsidSect="00E97FBA">
      <w:headerReference w:type="default" r:id="rId9"/>
      <w:footerReference w:type="default" r:id="rId10"/>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248" w:rsidRDefault="00D77248" w:rsidP="00E97FBA">
      <w:r>
        <w:separator/>
      </w:r>
    </w:p>
  </w:endnote>
  <w:endnote w:type="continuationSeparator" w:id="0">
    <w:p w:rsidR="00D77248" w:rsidRDefault="00D77248" w:rsidP="00E97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roman"/>
    <w:pitch w:val="default"/>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CF1" w:rsidRDefault="00E97FBA" w:rsidP="005B1CF1">
    <w:pPr>
      <w:pStyle w:val="Footer"/>
    </w:pPr>
    <w:r>
      <w:t>Type: E = Editorial, G = General, T = Technical</w:t>
    </w:r>
  </w:p>
  <w:p w:rsidR="005B1CF1" w:rsidRDefault="005B1CF1" w:rsidP="005B1CF1">
    <w:pPr>
      <w:pStyle w:val="Footer"/>
    </w:pPr>
    <w:r>
      <w:t xml:space="preserve">(Disclaimer: </w:t>
    </w:r>
    <w:r>
      <w:rPr>
        <w:sz w:val="23"/>
        <w:szCs w:val="23"/>
      </w:rPr>
      <w:t xml:space="preserve">Views and opinions expressed are those of the </w:t>
    </w:r>
    <w:r>
      <w:rPr>
        <w:sz w:val="23"/>
        <w:szCs w:val="23"/>
      </w:rPr>
      <w:t>submitters</w:t>
    </w:r>
    <w:r>
      <w:rPr>
        <w:sz w:val="23"/>
        <w:szCs w:val="23"/>
      </w:rPr>
      <w:t xml:space="preserve"> and do not necessarily represent official positions or policy of the O</w:t>
    </w:r>
    <w:r>
      <w:rPr>
        <w:sz w:val="23"/>
        <w:szCs w:val="23"/>
      </w:rPr>
      <w:t xml:space="preserve">ffice of </w:t>
    </w:r>
    <w:r>
      <w:rPr>
        <w:sz w:val="23"/>
        <w:szCs w:val="23"/>
      </w:rPr>
      <w:t>F</w:t>
    </w:r>
    <w:r>
      <w:rPr>
        <w:sz w:val="23"/>
        <w:szCs w:val="23"/>
      </w:rPr>
      <w:t xml:space="preserve">inancial </w:t>
    </w:r>
    <w:r>
      <w:rPr>
        <w:sz w:val="23"/>
        <w:szCs w:val="23"/>
      </w:rPr>
      <w:t>R</w:t>
    </w:r>
    <w:r>
      <w:rPr>
        <w:sz w:val="23"/>
        <w:szCs w:val="23"/>
      </w:rPr>
      <w:t>esearch</w:t>
    </w:r>
    <w:r>
      <w:rPr>
        <w:sz w:val="23"/>
        <w:szCs w:val="23"/>
      </w:rPr>
      <w:t xml:space="preserve"> or the U.S. Department of the Treasury.</w:t>
    </w:r>
    <w:r>
      <w:rPr>
        <w:sz w:val="23"/>
        <w:szCs w:val="23"/>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248" w:rsidRDefault="00D77248" w:rsidP="00E97FBA">
      <w:r>
        <w:separator/>
      </w:r>
    </w:p>
  </w:footnote>
  <w:footnote w:type="continuationSeparator" w:id="0">
    <w:p w:rsidR="00D77248" w:rsidRDefault="00D77248" w:rsidP="00E97F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FBA" w:rsidRDefault="00EC561C" w:rsidP="00E97FBA">
    <w:pPr>
      <w:ind w:left="8010" w:hanging="8010"/>
    </w:pPr>
    <w:r>
      <w:t>Com</w:t>
    </w:r>
    <w:r w:rsidR="00214B9B">
      <w:t>ment Template for SP1500</w:t>
    </w:r>
    <w:r w:rsidR="004D51E1">
      <w:t>-</w:t>
    </w:r>
    <w:r w:rsidR="00770DCC">
      <w:t>6</w:t>
    </w:r>
    <w:r w:rsidR="009524A9">
      <w:t xml:space="preserve"> (</w:t>
    </w:r>
    <w:r w:rsidR="00770DCC">
      <w:t xml:space="preserve">file: </w:t>
    </w:r>
    <w:r w:rsidR="00770DCC" w:rsidRPr="00770DCC">
      <w:t>M0617_v1_7833648594.docx</w:t>
    </w:r>
    <w:r w:rsidR="00770DCC">
      <w:t>)</w:t>
    </w:r>
    <w:r w:rsidR="00E97FBA">
      <w:tab/>
      <w:t>Submitted by: _</w:t>
    </w:r>
    <w:r w:rsidR="00770DCC">
      <w:t>Haiping Luo</w:t>
    </w:r>
    <w:r w:rsidR="00E97FBA">
      <w:t>____________</w:t>
    </w:r>
  </w:p>
  <w:p w:rsidR="00682262" w:rsidRDefault="00770DCC" w:rsidP="00770DCC">
    <w:pPr>
      <w:ind w:left="9180"/>
    </w:pPr>
    <w:r>
      <w:t>Email:haiping.luo@ofr.treasury.gov</w:t>
    </w:r>
  </w:p>
  <w:p w:rsidR="00E97FBA" w:rsidRDefault="00E97FBA" w:rsidP="00E97FBA">
    <w:pPr>
      <w:ind w:left="9810" w:hanging="9810"/>
    </w:pPr>
    <w:r>
      <w:tab/>
      <w:t>Date: __</w:t>
    </w:r>
    <w:r w:rsidR="00770DCC">
      <w:t>6/20/2017</w:t>
    </w:r>
    <w:r>
      <w:t>______</w:t>
    </w:r>
  </w:p>
  <w:p w:rsidR="00E97FBA" w:rsidRDefault="00E97F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FA4E46"/>
    <w:multiLevelType w:val="hybridMultilevel"/>
    <w:tmpl w:val="46DCF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FBA"/>
    <w:rsid w:val="000C482C"/>
    <w:rsid w:val="000E7111"/>
    <w:rsid w:val="00140F54"/>
    <w:rsid w:val="001C2780"/>
    <w:rsid w:val="001F42BF"/>
    <w:rsid w:val="00214B9B"/>
    <w:rsid w:val="002250C1"/>
    <w:rsid w:val="00236207"/>
    <w:rsid w:val="00290183"/>
    <w:rsid w:val="002A082E"/>
    <w:rsid w:val="002E1996"/>
    <w:rsid w:val="002F3FE8"/>
    <w:rsid w:val="003869AA"/>
    <w:rsid w:val="0039394E"/>
    <w:rsid w:val="00437300"/>
    <w:rsid w:val="0048266D"/>
    <w:rsid w:val="004A7C5B"/>
    <w:rsid w:val="004D51E1"/>
    <w:rsid w:val="00522DA3"/>
    <w:rsid w:val="005B1CF1"/>
    <w:rsid w:val="00651E30"/>
    <w:rsid w:val="00682262"/>
    <w:rsid w:val="0069617B"/>
    <w:rsid w:val="006E62B5"/>
    <w:rsid w:val="00720312"/>
    <w:rsid w:val="0076412F"/>
    <w:rsid w:val="00770DCC"/>
    <w:rsid w:val="00792D0C"/>
    <w:rsid w:val="007F1ACD"/>
    <w:rsid w:val="008A0B8A"/>
    <w:rsid w:val="008D4D3C"/>
    <w:rsid w:val="008D792D"/>
    <w:rsid w:val="00933852"/>
    <w:rsid w:val="009524A9"/>
    <w:rsid w:val="00B138BC"/>
    <w:rsid w:val="00B3204A"/>
    <w:rsid w:val="00C346EC"/>
    <w:rsid w:val="00C41175"/>
    <w:rsid w:val="00D77248"/>
    <w:rsid w:val="00D80B77"/>
    <w:rsid w:val="00E97FBA"/>
    <w:rsid w:val="00EC561C"/>
    <w:rsid w:val="00F97D00"/>
    <w:rsid w:val="00FD0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efaultImageDpi w14:val="300"/>
  <w15:docId w15:val="{8583F19F-2459-41AF-BA62-D47B7E58C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617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9617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38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38BC"/>
    <w:rPr>
      <w:rFonts w:ascii="Lucida Grande" w:hAnsi="Lucida Grande" w:cs="Lucida Grande"/>
      <w:sz w:val="18"/>
      <w:szCs w:val="18"/>
    </w:rPr>
  </w:style>
  <w:style w:type="paragraph" w:styleId="Header">
    <w:name w:val="header"/>
    <w:basedOn w:val="Normal"/>
    <w:link w:val="HeaderChar"/>
    <w:uiPriority w:val="99"/>
    <w:unhideWhenUsed/>
    <w:rsid w:val="00E97FBA"/>
    <w:pPr>
      <w:tabs>
        <w:tab w:val="center" w:pos="4320"/>
        <w:tab w:val="right" w:pos="8640"/>
      </w:tabs>
    </w:pPr>
  </w:style>
  <w:style w:type="character" w:customStyle="1" w:styleId="HeaderChar">
    <w:name w:val="Header Char"/>
    <w:basedOn w:val="DefaultParagraphFont"/>
    <w:link w:val="Header"/>
    <w:uiPriority w:val="99"/>
    <w:rsid w:val="00E97FBA"/>
  </w:style>
  <w:style w:type="paragraph" w:styleId="Footer">
    <w:name w:val="footer"/>
    <w:basedOn w:val="Normal"/>
    <w:link w:val="FooterChar"/>
    <w:uiPriority w:val="99"/>
    <w:unhideWhenUsed/>
    <w:rsid w:val="00E97FBA"/>
    <w:pPr>
      <w:tabs>
        <w:tab w:val="center" w:pos="4320"/>
        <w:tab w:val="right" w:pos="8640"/>
      </w:tabs>
    </w:pPr>
  </w:style>
  <w:style w:type="character" w:customStyle="1" w:styleId="FooterChar">
    <w:name w:val="Footer Char"/>
    <w:basedOn w:val="DefaultParagraphFont"/>
    <w:link w:val="Footer"/>
    <w:uiPriority w:val="99"/>
    <w:rsid w:val="00E97FBA"/>
  </w:style>
  <w:style w:type="table" w:styleId="TableGrid">
    <w:name w:val="Table Grid"/>
    <w:basedOn w:val="TableNormal"/>
    <w:uiPriority w:val="59"/>
    <w:rsid w:val="00E97F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9617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9617B"/>
    <w:rPr>
      <w:rFonts w:asciiTheme="majorHAnsi" w:eastAsiaTheme="majorEastAsia" w:hAnsiTheme="majorHAnsi" w:cstheme="majorBidi"/>
      <w:color w:val="365F91" w:themeColor="accent1" w:themeShade="BF"/>
      <w:sz w:val="26"/>
      <w:szCs w:val="26"/>
    </w:rPr>
  </w:style>
  <w:style w:type="paragraph" w:customStyle="1" w:styleId="BDFigureCaption">
    <w:name w:val="BD Figure Caption"/>
    <w:qFormat/>
    <w:rsid w:val="0069617B"/>
    <w:pPr>
      <w:spacing w:before="120" w:after="240"/>
      <w:jc w:val="center"/>
    </w:pPr>
    <w:rPr>
      <w:rFonts w:ascii="Times New Roman" w:eastAsia="Calibri" w:hAnsi="Times New Roman" w:cs="Times New Roman"/>
      <w:b/>
      <w:i/>
      <w:noProof/>
      <w:sz w:val="18"/>
      <w:szCs w:val="20"/>
    </w:rPr>
  </w:style>
  <w:style w:type="paragraph" w:customStyle="1" w:styleId="Default">
    <w:name w:val="Default"/>
    <w:rsid w:val="005B1CF1"/>
    <w:pPr>
      <w:autoSpaceDE w:val="0"/>
      <w:autoSpaceDN w:val="0"/>
      <w:adjustRightInd w:val="0"/>
    </w:pPr>
    <w:rPr>
      <w:rFonts w:ascii="Garamond" w:hAnsi="Garamond" w:cs="Garamond"/>
      <w:color w:val="000000"/>
    </w:rPr>
  </w:style>
  <w:style w:type="paragraph" w:styleId="ListParagraph">
    <w:name w:val="List Paragraph"/>
    <w:basedOn w:val="Normal"/>
    <w:uiPriority w:val="34"/>
    <w:qFormat/>
    <w:rsid w:val="00720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wchang@nist.gov</dc:creator>
  <cp:keywords/>
  <dc:description/>
  <cp:lastModifiedBy>Luo, Haiping</cp:lastModifiedBy>
  <cp:revision>25</cp:revision>
  <dcterms:created xsi:type="dcterms:W3CDTF">2017-06-20T14:27:00Z</dcterms:created>
  <dcterms:modified xsi:type="dcterms:W3CDTF">2017-06-20T18:04:00Z</dcterms:modified>
</cp:coreProperties>
</file>