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343" w:type="dxa"/>
        <w:tblInd w:w="-185" w:type="dxa"/>
        <w:tblLayout w:type="fixed"/>
        <w:tblLook w:val="04A0" w:firstRow="1" w:lastRow="0" w:firstColumn="1" w:lastColumn="0" w:noHBand="0" w:noVBand="1"/>
      </w:tblPr>
      <w:tblGrid>
        <w:gridCol w:w="810"/>
        <w:gridCol w:w="833"/>
        <w:gridCol w:w="810"/>
        <w:gridCol w:w="720"/>
        <w:gridCol w:w="1208"/>
        <w:gridCol w:w="4732"/>
        <w:gridCol w:w="4230"/>
      </w:tblGrid>
      <w:tr w:rsidR="00E97FBA" w:rsidTr="00EC561C">
        <w:tc>
          <w:tcPr>
            <w:tcW w:w="810" w:type="dxa"/>
          </w:tcPr>
          <w:p w:rsidR="00E97FBA" w:rsidRPr="00E97FBA" w:rsidRDefault="00EC561C" w:rsidP="00EC561C">
            <w:pPr>
              <w:tabs>
                <w:tab w:val="center" w:pos="216"/>
              </w:tabs>
              <w:rPr>
                <w:b/>
              </w:rPr>
            </w:pPr>
            <w:r>
              <w:rPr>
                <w:b/>
              </w:rPr>
              <w:t xml:space="preserve">Item </w:t>
            </w:r>
            <w:r>
              <w:rPr>
                <w:b/>
              </w:rPr>
              <w:tab/>
            </w:r>
            <w:r w:rsidR="00E97FBA">
              <w:rPr>
                <w:b/>
              </w:rPr>
              <w:t>#</w:t>
            </w:r>
          </w:p>
        </w:tc>
        <w:tc>
          <w:tcPr>
            <w:tcW w:w="833" w:type="dxa"/>
          </w:tcPr>
          <w:p w:rsidR="00E97FBA" w:rsidRPr="00E97FBA" w:rsidRDefault="00E97FBA" w:rsidP="00E97FBA">
            <w:pPr>
              <w:jc w:val="center"/>
              <w:rPr>
                <w:b/>
              </w:rPr>
            </w:pPr>
            <w:r>
              <w:rPr>
                <w:b/>
              </w:rPr>
              <w:t>Type</w:t>
            </w:r>
          </w:p>
        </w:tc>
        <w:tc>
          <w:tcPr>
            <w:tcW w:w="810" w:type="dxa"/>
          </w:tcPr>
          <w:p w:rsidR="00E97FBA" w:rsidRPr="00E97FBA" w:rsidRDefault="00E97FBA" w:rsidP="00E97FBA">
            <w:pPr>
              <w:jc w:val="center"/>
              <w:rPr>
                <w:b/>
              </w:rPr>
            </w:pPr>
            <w:r>
              <w:rPr>
                <w:b/>
              </w:rPr>
              <w:t>Page #</w:t>
            </w:r>
          </w:p>
        </w:tc>
        <w:tc>
          <w:tcPr>
            <w:tcW w:w="720" w:type="dxa"/>
          </w:tcPr>
          <w:p w:rsidR="00E97FBA" w:rsidRPr="00E97FBA" w:rsidRDefault="00E97FBA" w:rsidP="00E97FBA">
            <w:pPr>
              <w:jc w:val="center"/>
              <w:rPr>
                <w:b/>
              </w:rPr>
            </w:pPr>
            <w:r>
              <w:rPr>
                <w:b/>
              </w:rPr>
              <w:t>Line #</w:t>
            </w:r>
          </w:p>
        </w:tc>
        <w:tc>
          <w:tcPr>
            <w:tcW w:w="1208" w:type="dxa"/>
          </w:tcPr>
          <w:p w:rsidR="00E97FBA" w:rsidRPr="00E97FBA" w:rsidRDefault="00E97FBA" w:rsidP="00E97FBA">
            <w:pPr>
              <w:jc w:val="center"/>
              <w:rPr>
                <w:b/>
              </w:rPr>
            </w:pPr>
            <w:r>
              <w:rPr>
                <w:b/>
              </w:rPr>
              <w:t>Section</w:t>
            </w:r>
          </w:p>
        </w:tc>
        <w:tc>
          <w:tcPr>
            <w:tcW w:w="4732" w:type="dxa"/>
          </w:tcPr>
          <w:p w:rsidR="00E97FBA" w:rsidRPr="00E97FBA" w:rsidRDefault="00E97FBA" w:rsidP="00E97FBA">
            <w:pPr>
              <w:jc w:val="center"/>
              <w:rPr>
                <w:b/>
              </w:rPr>
            </w:pPr>
            <w:r>
              <w:rPr>
                <w:b/>
              </w:rPr>
              <w:t>Comment (with rationale)</w:t>
            </w:r>
          </w:p>
        </w:tc>
        <w:tc>
          <w:tcPr>
            <w:tcW w:w="4230" w:type="dxa"/>
          </w:tcPr>
          <w:p w:rsidR="00E97FBA" w:rsidRPr="00E97FBA" w:rsidRDefault="00E97FBA" w:rsidP="00E97FBA">
            <w:pPr>
              <w:jc w:val="center"/>
              <w:rPr>
                <w:b/>
              </w:rPr>
            </w:pPr>
            <w:r>
              <w:rPr>
                <w:b/>
              </w:rPr>
              <w:t>Suggested Change</w:t>
            </w:r>
          </w:p>
        </w:tc>
      </w:tr>
      <w:tr w:rsidR="00E97FBA" w:rsidTr="00EC561C">
        <w:tc>
          <w:tcPr>
            <w:tcW w:w="810" w:type="dxa"/>
          </w:tcPr>
          <w:p w:rsidR="00E97FBA" w:rsidRDefault="00DD5EEA" w:rsidP="00E97FBA">
            <w:r>
              <w:t>1</w:t>
            </w:r>
          </w:p>
        </w:tc>
        <w:tc>
          <w:tcPr>
            <w:tcW w:w="833" w:type="dxa"/>
          </w:tcPr>
          <w:p w:rsidR="00E97FBA" w:rsidRDefault="00DD5EEA" w:rsidP="00E97FBA">
            <w:r>
              <w:t>g</w:t>
            </w:r>
          </w:p>
        </w:tc>
        <w:tc>
          <w:tcPr>
            <w:tcW w:w="810" w:type="dxa"/>
          </w:tcPr>
          <w:p w:rsidR="00E97FBA" w:rsidRDefault="00DD5EEA" w:rsidP="00E97FBA">
            <w:r>
              <w:t>1</w:t>
            </w:r>
          </w:p>
        </w:tc>
        <w:tc>
          <w:tcPr>
            <w:tcW w:w="720" w:type="dxa"/>
          </w:tcPr>
          <w:p w:rsidR="00E97FBA" w:rsidRDefault="00E97FBA" w:rsidP="00E97FBA"/>
        </w:tc>
        <w:tc>
          <w:tcPr>
            <w:tcW w:w="1208" w:type="dxa"/>
          </w:tcPr>
          <w:p w:rsidR="00E97FBA" w:rsidRDefault="00DD5EEA" w:rsidP="00E97FBA">
            <w:r w:rsidRPr="00DD5EEA">
              <w:t>Introduction, 1.1 Background last sentence</w:t>
            </w:r>
          </w:p>
        </w:tc>
        <w:tc>
          <w:tcPr>
            <w:tcW w:w="4732" w:type="dxa"/>
          </w:tcPr>
          <w:p w:rsidR="00DD5EEA" w:rsidRDefault="00DD5EEA" w:rsidP="00DD5EEA">
            <w:r>
              <w:t>Insert after “out of reach”. It is not only the potential answers but the resulting financial and revenues that those answers will generate.</w:t>
            </w:r>
          </w:p>
          <w:p w:rsidR="00E97FBA" w:rsidRDefault="00DD5EEA" w:rsidP="00DD5EEA">
            <w:r>
              <w:t>The value proposition the reader needs to consider is the value of the answers to which questions and in what context.</w:t>
            </w:r>
            <w:r w:rsidR="007E56EC">
              <w:t xml:space="preserve"> </w:t>
            </w:r>
          </w:p>
        </w:tc>
        <w:tc>
          <w:tcPr>
            <w:tcW w:w="4230" w:type="dxa"/>
          </w:tcPr>
          <w:p w:rsidR="00E97FBA" w:rsidRDefault="00DD5EEA" w:rsidP="00E97FBA">
            <w:r>
              <w:t xml:space="preserve">Insert </w:t>
            </w:r>
            <w:r w:rsidRPr="00DD5EEA">
              <w:t>“and that holds the potential to generate vast revenues”</w:t>
            </w:r>
          </w:p>
        </w:tc>
      </w:tr>
      <w:tr w:rsidR="00E97FBA" w:rsidTr="00EC561C">
        <w:tc>
          <w:tcPr>
            <w:tcW w:w="810" w:type="dxa"/>
          </w:tcPr>
          <w:p w:rsidR="00E97FBA" w:rsidRDefault="00DC2A12" w:rsidP="00E97FBA">
            <w:r>
              <w:t>2</w:t>
            </w:r>
          </w:p>
        </w:tc>
        <w:tc>
          <w:tcPr>
            <w:tcW w:w="833" w:type="dxa"/>
          </w:tcPr>
          <w:p w:rsidR="00E97FBA" w:rsidRDefault="00DC2A12" w:rsidP="00E97FBA">
            <w:r>
              <w:t>g</w:t>
            </w:r>
          </w:p>
        </w:tc>
        <w:tc>
          <w:tcPr>
            <w:tcW w:w="810" w:type="dxa"/>
          </w:tcPr>
          <w:p w:rsidR="00E97FBA" w:rsidRDefault="00DC2A12" w:rsidP="00E97FBA">
            <w:r>
              <w:t>6</w:t>
            </w:r>
          </w:p>
        </w:tc>
        <w:tc>
          <w:tcPr>
            <w:tcW w:w="720" w:type="dxa"/>
          </w:tcPr>
          <w:p w:rsidR="00E97FBA" w:rsidRDefault="00E97FBA" w:rsidP="00E97FBA"/>
        </w:tc>
        <w:tc>
          <w:tcPr>
            <w:tcW w:w="1208" w:type="dxa"/>
          </w:tcPr>
          <w:p w:rsidR="00E97FBA" w:rsidRDefault="007E56EC" w:rsidP="00E97FBA">
            <w:r>
              <w:t>1.6 Future Work</w:t>
            </w:r>
          </w:p>
        </w:tc>
        <w:tc>
          <w:tcPr>
            <w:tcW w:w="4732" w:type="dxa"/>
          </w:tcPr>
          <w:p w:rsidR="00E97FBA" w:rsidRDefault="00DC2A12" w:rsidP="00E97FBA">
            <w:r w:rsidRPr="00DC2A12">
              <w:t>For the 1500 Series to be credible and intelligible in addition to being aspirational, and it light of the recent release of the Draft NIST Special Publication 800-53 Revision 5, Security and Privacy Controls for Information Systems and Organizations along with related Risk Management guidance that makes it clear that “individuals” are a large component of Security and Privacy, it must be possible to address and locate ”individuals or data subjects ”in the definitions volume, the security and privacy volume and the reference architecture volume.</w:t>
            </w:r>
          </w:p>
        </w:tc>
        <w:tc>
          <w:tcPr>
            <w:tcW w:w="4230" w:type="dxa"/>
          </w:tcPr>
          <w:p w:rsidR="00E97FBA" w:rsidRDefault="00DC2A12" w:rsidP="00E97FBA">
            <w:r w:rsidRPr="00DC2A12">
              <w:t>insert after metrics; “the place, safeguarding and definition of individuals or data subjects (including in light of NIST.SP.800-53r5.pdf)”</w:t>
            </w:r>
          </w:p>
        </w:tc>
      </w:tr>
      <w:tr w:rsidR="00E97FBA" w:rsidTr="00EC561C">
        <w:tc>
          <w:tcPr>
            <w:tcW w:w="810" w:type="dxa"/>
          </w:tcPr>
          <w:p w:rsidR="00E97FBA" w:rsidRDefault="00DC2A12" w:rsidP="00E97FBA">
            <w:r>
              <w:t>2</w:t>
            </w:r>
          </w:p>
        </w:tc>
        <w:tc>
          <w:tcPr>
            <w:tcW w:w="833" w:type="dxa"/>
          </w:tcPr>
          <w:p w:rsidR="00E97FBA" w:rsidRDefault="00DC2A12" w:rsidP="00E97FBA">
            <w:r>
              <w:t>g</w:t>
            </w:r>
          </w:p>
        </w:tc>
        <w:tc>
          <w:tcPr>
            <w:tcW w:w="810" w:type="dxa"/>
          </w:tcPr>
          <w:p w:rsidR="00E97FBA" w:rsidRDefault="00DC2A12" w:rsidP="00E97FBA">
            <w:r>
              <w:t>6</w:t>
            </w:r>
          </w:p>
        </w:tc>
        <w:tc>
          <w:tcPr>
            <w:tcW w:w="720" w:type="dxa"/>
          </w:tcPr>
          <w:p w:rsidR="00E97FBA" w:rsidRDefault="00E97FBA" w:rsidP="00E97FBA"/>
        </w:tc>
        <w:tc>
          <w:tcPr>
            <w:tcW w:w="1208" w:type="dxa"/>
          </w:tcPr>
          <w:p w:rsidR="00E97FBA" w:rsidRDefault="00DC2A12" w:rsidP="00E97FBA">
            <w:r w:rsidRPr="00DC2A12">
              <w:t>1.6 Future Work</w:t>
            </w:r>
          </w:p>
        </w:tc>
        <w:tc>
          <w:tcPr>
            <w:tcW w:w="4732" w:type="dxa"/>
          </w:tcPr>
          <w:p w:rsidR="00E97FBA" w:rsidRDefault="00DC2A12" w:rsidP="00E97FBA">
            <w:r w:rsidRPr="00DC2A12">
              <w:t>Since both vast data and revenues are possible, for the 1500 Series to be credible and intelligible in addition to being aspirational,</w:t>
            </w:r>
          </w:p>
        </w:tc>
        <w:tc>
          <w:tcPr>
            <w:tcW w:w="4230" w:type="dxa"/>
          </w:tcPr>
          <w:p w:rsidR="00E97FBA" w:rsidRDefault="00DC2A12" w:rsidP="00E97FBA">
            <w:r w:rsidRPr="00DC2A12">
              <w:t>Insert “discuss data ownership and valuation</w:t>
            </w:r>
          </w:p>
        </w:tc>
      </w:tr>
      <w:tr w:rsidR="00E97FBA" w:rsidTr="00EC561C">
        <w:tc>
          <w:tcPr>
            <w:tcW w:w="810" w:type="dxa"/>
          </w:tcPr>
          <w:p w:rsidR="00E97FBA" w:rsidRDefault="00DC2A12" w:rsidP="00E97FBA">
            <w:r>
              <w:lastRenderedPageBreak/>
              <w:t>3</w:t>
            </w:r>
          </w:p>
        </w:tc>
        <w:tc>
          <w:tcPr>
            <w:tcW w:w="833" w:type="dxa"/>
          </w:tcPr>
          <w:p w:rsidR="00E97FBA" w:rsidRDefault="00DC2A12" w:rsidP="00E97FBA">
            <w:r>
              <w:t>g</w:t>
            </w:r>
          </w:p>
        </w:tc>
        <w:tc>
          <w:tcPr>
            <w:tcW w:w="810" w:type="dxa"/>
          </w:tcPr>
          <w:p w:rsidR="00E97FBA" w:rsidRDefault="00DC2A12" w:rsidP="00E97FBA">
            <w:r>
              <w:t>6</w:t>
            </w:r>
          </w:p>
        </w:tc>
        <w:tc>
          <w:tcPr>
            <w:tcW w:w="720" w:type="dxa"/>
          </w:tcPr>
          <w:p w:rsidR="00E97FBA" w:rsidRDefault="00E97FBA" w:rsidP="00E97FBA"/>
        </w:tc>
        <w:tc>
          <w:tcPr>
            <w:tcW w:w="1208" w:type="dxa"/>
          </w:tcPr>
          <w:p w:rsidR="00E97FBA" w:rsidRDefault="00DC2A12" w:rsidP="00E97FBA">
            <w:r w:rsidRPr="00DC2A12">
              <w:t>1.6 Future Work</w:t>
            </w:r>
          </w:p>
        </w:tc>
        <w:tc>
          <w:tcPr>
            <w:tcW w:w="4732" w:type="dxa"/>
          </w:tcPr>
          <w:p w:rsidR="00E97FBA" w:rsidRDefault="00DC2A12" w:rsidP="00E97FBA">
            <w:r w:rsidRPr="00DC2A12">
              <w:t>While agnosticism is mentioned in the working group charter it is not clear why this agnosticism is a desirable goal</w:t>
            </w:r>
          </w:p>
        </w:tc>
        <w:tc>
          <w:tcPr>
            <w:tcW w:w="4230" w:type="dxa"/>
          </w:tcPr>
          <w:p w:rsidR="00E97FBA" w:rsidRDefault="00DC2A12" w:rsidP="00E97FBA">
            <w:r w:rsidRPr="00DC2A12">
              <w:t>“Further identify and clarify the goal of technology-, infrastructure-, and vendor- agnosticism where system and data subject or individual anonymity has not been achieved.”</w:t>
            </w:r>
          </w:p>
        </w:tc>
      </w:tr>
      <w:tr w:rsidR="00E97FBA" w:rsidTr="00EC561C">
        <w:tc>
          <w:tcPr>
            <w:tcW w:w="810" w:type="dxa"/>
          </w:tcPr>
          <w:p w:rsidR="00E97FBA" w:rsidRDefault="00DC2A12" w:rsidP="00E97FBA">
            <w:r>
              <w:t>4</w:t>
            </w:r>
          </w:p>
        </w:tc>
        <w:tc>
          <w:tcPr>
            <w:tcW w:w="833" w:type="dxa"/>
          </w:tcPr>
          <w:p w:rsidR="00E97FBA" w:rsidRDefault="00DC2A12" w:rsidP="00E97FBA">
            <w:r>
              <w:t>g</w:t>
            </w:r>
          </w:p>
        </w:tc>
        <w:tc>
          <w:tcPr>
            <w:tcW w:w="810" w:type="dxa"/>
          </w:tcPr>
          <w:p w:rsidR="00E97FBA" w:rsidRDefault="00DC2A12" w:rsidP="00E97FBA">
            <w:r>
              <w:t>6</w:t>
            </w:r>
          </w:p>
        </w:tc>
        <w:tc>
          <w:tcPr>
            <w:tcW w:w="720" w:type="dxa"/>
          </w:tcPr>
          <w:p w:rsidR="00E97FBA" w:rsidRDefault="00E97FBA" w:rsidP="00E97FBA"/>
        </w:tc>
        <w:tc>
          <w:tcPr>
            <w:tcW w:w="1208" w:type="dxa"/>
          </w:tcPr>
          <w:p w:rsidR="00E97FBA" w:rsidRDefault="00DC2A12" w:rsidP="00E97FBA">
            <w:r>
              <w:t>1.6</w:t>
            </w:r>
          </w:p>
          <w:p w:rsidR="00DC2A12" w:rsidRDefault="00DC2A12" w:rsidP="00E97FBA">
            <w:r>
              <w:t>Future</w:t>
            </w:r>
          </w:p>
          <w:p w:rsidR="00DC2A12" w:rsidRDefault="00DC2A12" w:rsidP="00E97FBA">
            <w:r>
              <w:t>Work</w:t>
            </w:r>
          </w:p>
        </w:tc>
        <w:tc>
          <w:tcPr>
            <w:tcW w:w="4732" w:type="dxa"/>
          </w:tcPr>
          <w:p w:rsidR="00E97FBA" w:rsidRDefault="00DC2A12" w:rsidP="00E97FBA">
            <w:r w:rsidRPr="00DC2A12">
              <w:t>Governance has been impacted by big data</w:t>
            </w:r>
          </w:p>
        </w:tc>
        <w:tc>
          <w:tcPr>
            <w:tcW w:w="4230" w:type="dxa"/>
          </w:tcPr>
          <w:p w:rsidR="00DC2A12" w:rsidRDefault="00DC2A12" w:rsidP="00DC2A12">
            <w:pPr>
              <w:ind w:firstLine="720"/>
            </w:pPr>
            <w:r>
              <w:t xml:space="preserve">Insert ”discuss the movement of democratic governance from government to technologies of internet governance.1 </w:t>
            </w:r>
          </w:p>
          <w:p w:rsidR="00E97FBA" w:rsidRDefault="00DC2A12" w:rsidP="00DC2A12">
            <w:pPr>
              <w:ind w:firstLine="720"/>
            </w:pPr>
            <w:r>
              <w:t>1.</w:t>
            </w:r>
            <w:r>
              <w:tab/>
            </w:r>
            <w:proofErr w:type="spellStart"/>
            <w:r>
              <w:t>DeNardis</w:t>
            </w:r>
            <w:proofErr w:type="spellEnd"/>
            <w:r>
              <w:t>, Laura. The Global War for Internet Governance (p. 1). Yale University Press. Kindle Edition”</w:t>
            </w:r>
          </w:p>
        </w:tc>
      </w:tr>
      <w:tr w:rsidR="00E97FBA" w:rsidTr="00EC561C">
        <w:tc>
          <w:tcPr>
            <w:tcW w:w="810" w:type="dxa"/>
          </w:tcPr>
          <w:p w:rsidR="00E97FBA" w:rsidRDefault="00DC2A12" w:rsidP="00E97FBA">
            <w:r>
              <w:t>5</w:t>
            </w:r>
          </w:p>
        </w:tc>
        <w:tc>
          <w:tcPr>
            <w:tcW w:w="833" w:type="dxa"/>
          </w:tcPr>
          <w:p w:rsidR="00E97FBA" w:rsidRDefault="00DC2A12" w:rsidP="00E97FBA">
            <w:r>
              <w:t>g</w:t>
            </w:r>
            <w:bookmarkStart w:id="0" w:name="_GoBack"/>
            <w:bookmarkEnd w:id="0"/>
          </w:p>
        </w:tc>
        <w:tc>
          <w:tcPr>
            <w:tcW w:w="810" w:type="dxa"/>
          </w:tcPr>
          <w:p w:rsidR="00E97FBA" w:rsidRDefault="00DC2A12" w:rsidP="00E97FBA">
            <w:r>
              <w:t>6</w:t>
            </w:r>
          </w:p>
        </w:tc>
        <w:tc>
          <w:tcPr>
            <w:tcW w:w="720" w:type="dxa"/>
          </w:tcPr>
          <w:p w:rsidR="00E97FBA" w:rsidRDefault="00E97FBA" w:rsidP="00E97FBA"/>
        </w:tc>
        <w:tc>
          <w:tcPr>
            <w:tcW w:w="1208" w:type="dxa"/>
          </w:tcPr>
          <w:p w:rsidR="00E97FBA" w:rsidRDefault="00DC2A12" w:rsidP="00E97FBA">
            <w:r>
              <w:t>1.6</w:t>
            </w:r>
          </w:p>
          <w:p w:rsidR="00DC2A12" w:rsidRDefault="00DC2A12" w:rsidP="00E97FBA">
            <w:r>
              <w:t>Future Work</w:t>
            </w:r>
          </w:p>
        </w:tc>
        <w:tc>
          <w:tcPr>
            <w:tcW w:w="4732" w:type="dxa"/>
          </w:tcPr>
          <w:p w:rsidR="00E97FBA" w:rsidRDefault="00DC2A12" w:rsidP="00E97FBA">
            <w:r w:rsidRPr="00DC2A12">
              <w:t xml:space="preserve">Many concerns including the reality of system errors, biases, discriminations and gaming.  </w:t>
            </w:r>
          </w:p>
        </w:tc>
        <w:tc>
          <w:tcPr>
            <w:tcW w:w="4230" w:type="dxa"/>
          </w:tcPr>
          <w:p w:rsidR="00E97FBA" w:rsidRDefault="00DC2A12" w:rsidP="00E97FBA">
            <w:r w:rsidRPr="00DC2A12">
              <w:t>Insert “We are not ready to cut the democratic human judgement out of the system design”</w:t>
            </w:r>
          </w:p>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bl>
    <w:p w:rsidR="00E97FBA" w:rsidRPr="00E97FBA" w:rsidRDefault="00E97FBA" w:rsidP="00E97FBA"/>
    <w:sectPr w:rsidR="00E97FBA" w:rsidRPr="00E97FBA" w:rsidSect="00E97FBA">
      <w:headerReference w:type="default" r:id="rId6"/>
      <w:foot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88" w:rsidRDefault="00114788" w:rsidP="00E97FBA">
      <w:r>
        <w:separator/>
      </w:r>
    </w:p>
  </w:endnote>
  <w:endnote w:type="continuationSeparator" w:id="0">
    <w:p w:rsidR="00114788" w:rsidRDefault="00114788"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BA" w:rsidRDefault="00E97FBA">
    <w:pPr>
      <w:pStyle w:val="Footer"/>
    </w:pPr>
    <w:r>
      <w:t>Type: E = Editorial, G = General, T = Technical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88" w:rsidRDefault="00114788" w:rsidP="00E97FBA">
      <w:r>
        <w:separator/>
      </w:r>
    </w:p>
  </w:footnote>
  <w:footnote w:type="continuationSeparator" w:id="0">
    <w:p w:rsidR="00114788" w:rsidRDefault="00114788" w:rsidP="00E9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FBA" w:rsidRDefault="00EC561C" w:rsidP="00E97FBA">
    <w:pPr>
      <w:ind w:left="8010" w:hanging="8010"/>
    </w:pPr>
    <w:r>
      <w:t>Com</w:t>
    </w:r>
    <w:r w:rsidR="00214B9B">
      <w:t>ment Template for SP1500</w:t>
    </w:r>
    <w:r w:rsidR="004D51E1">
      <w:t>-</w:t>
    </w:r>
    <w:r w:rsidR="00D21D49">
      <w:rPr>
        <w:i/>
      </w:rPr>
      <w:t>4</w:t>
    </w:r>
    <w:r w:rsidR="009524A9">
      <w:t xml:space="preserve"> (replace </w:t>
    </w:r>
    <w:r w:rsidR="004D51E1" w:rsidRPr="004D51E1">
      <w:rPr>
        <w:i/>
      </w:rPr>
      <w:t>x</w:t>
    </w:r>
    <w:r w:rsidR="009524A9">
      <w:t xml:space="preserve"> with volume number)</w:t>
    </w:r>
    <w:r w:rsidR="00E97FBA">
      <w:tab/>
      <w:t>Submitted by: _</w:t>
    </w:r>
    <w:r w:rsidR="00D21D49">
      <w:t>Ann Racuya-Robbins</w:t>
    </w:r>
    <w:r w:rsidR="00E97FBA">
      <w:t>_________</w:t>
    </w:r>
  </w:p>
  <w:p w:rsidR="00682262" w:rsidRDefault="00682262" w:rsidP="00682262">
    <w:pPr>
      <w:ind w:left="9180" w:firstLine="180"/>
    </w:pPr>
    <w:r>
      <w:t>Email: __</w:t>
    </w:r>
    <w:r w:rsidR="00D21D49">
      <w:t>arr@worldknowledgebank.com</w:t>
    </w:r>
    <w:r>
      <w:t>__</w:t>
    </w:r>
  </w:p>
  <w:p w:rsidR="00E97FBA" w:rsidRDefault="00E97FBA" w:rsidP="00E97FBA">
    <w:pPr>
      <w:ind w:left="9810" w:hanging="9810"/>
    </w:pPr>
    <w:r>
      <w:tab/>
      <w:t>Date: __</w:t>
    </w:r>
    <w:r w:rsidR="00D21D49">
      <w:t>20170921</w:t>
    </w:r>
    <w:r>
      <w:t>___________________</w:t>
    </w:r>
  </w:p>
  <w:p w:rsidR="00E97FBA" w:rsidRDefault="00E97F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114788"/>
    <w:rsid w:val="00140F54"/>
    <w:rsid w:val="001432BA"/>
    <w:rsid w:val="00214B9B"/>
    <w:rsid w:val="00290183"/>
    <w:rsid w:val="002F3FE8"/>
    <w:rsid w:val="003869AA"/>
    <w:rsid w:val="0039394E"/>
    <w:rsid w:val="00437300"/>
    <w:rsid w:val="004D51E1"/>
    <w:rsid w:val="00642680"/>
    <w:rsid w:val="00682262"/>
    <w:rsid w:val="007E56EC"/>
    <w:rsid w:val="00933852"/>
    <w:rsid w:val="009524A9"/>
    <w:rsid w:val="00AC5EFD"/>
    <w:rsid w:val="00B138BC"/>
    <w:rsid w:val="00D21D49"/>
    <w:rsid w:val="00D77248"/>
    <w:rsid w:val="00DC2A12"/>
    <w:rsid w:val="00DD5EEA"/>
    <w:rsid w:val="00E97FBA"/>
    <w:rsid w:val="00EC561C"/>
    <w:rsid w:val="00F3680C"/>
    <w:rsid w:val="00FD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CDAD5"/>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Ann Racuya-Robbins</cp:lastModifiedBy>
  <cp:revision>2</cp:revision>
  <dcterms:created xsi:type="dcterms:W3CDTF">2017-09-21T20:23:00Z</dcterms:created>
  <dcterms:modified xsi:type="dcterms:W3CDTF">2017-09-21T20:23:00Z</dcterms:modified>
</cp:coreProperties>
</file>