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165"/>
        <w:gridCol w:w="5623"/>
        <w:gridCol w:w="3339"/>
      </w:tblGrid>
      <w:tr w:rsidR="00E97FBA" w:rsidTr="00480487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165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562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3339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480487">
        <w:tc>
          <w:tcPr>
            <w:tcW w:w="810" w:type="dxa"/>
          </w:tcPr>
          <w:p w:rsidR="00E97FBA" w:rsidRPr="00480487" w:rsidRDefault="00AD2306" w:rsidP="00AD230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3" w:type="dxa"/>
          </w:tcPr>
          <w:p w:rsidR="00E97FBA" w:rsidRPr="00480487" w:rsidRDefault="00284136" w:rsidP="00AD230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810" w:type="dxa"/>
          </w:tcPr>
          <w:p w:rsidR="00E97FBA" w:rsidRPr="00480487" w:rsidRDefault="00AD2306" w:rsidP="00AD230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720" w:type="dxa"/>
          </w:tcPr>
          <w:p w:rsidR="00E97FBA" w:rsidRPr="00480487" w:rsidRDefault="00AD2306" w:rsidP="00AD230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1165" w:type="dxa"/>
          </w:tcPr>
          <w:p w:rsidR="00E97FBA" w:rsidRPr="00480487" w:rsidRDefault="00AD2306" w:rsidP="00AD230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5623" w:type="dxa"/>
          </w:tcPr>
          <w:p w:rsidR="00E97FBA" w:rsidRPr="00480487" w:rsidRDefault="005B2AD1" w:rsidP="00BD5C0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words 'clean' and 'cleanse' are used interchangeably in the </w:t>
            </w:r>
            <w:r w:rsidR="00BD5C0E"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BDIF volumes and in the scientific and business </w:t>
            </w:r>
            <w:r w:rsidR="004763CF"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literature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generally in the data and analytics domain. Given the different, sometimes sub-conscious, associations with the literal use of the word clean, and the f</w:t>
            </w:r>
            <w:bookmarkStart w:id="0" w:name="_GoBack"/>
            <w:bookmarkEnd w:id="0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igurative use of the word cleanse [Clean: housecleaning, cleaning the floor, cleaning the cupboard, etc.; Cleanse: ethnic cleansing, cleansing from sin, purification, etc.], it would be preferable to use the word 'clean' and avoid the word 'cleanse' in the technical context of data quality and management.</w:t>
            </w:r>
          </w:p>
        </w:tc>
        <w:tc>
          <w:tcPr>
            <w:tcW w:w="3339" w:type="dxa"/>
          </w:tcPr>
          <w:p w:rsidR="00E97FBA" w:rsidRPr="00480487" w:rsidRDefault="00AD2306" w:rsidP="005B2AD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Replace all instances of the word “cleanse” and its variants (cleansed, cleansing, </w:t>
            </w:r>
            <w:proofErr w:type="spellStart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etc</w:t>
            </w:r>
            <w:proofErr w:type="spellEnd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) with the word “clean” </w:t>
            </w:r>
            <w:r w:rsidR="005B2AD1"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and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its</w:t>
            </w:r>
            <w:r w:rsidR="005B2AD1"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corresponding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variants (e.g., cleaned, cleaning, </w:t>
            </w:r>
            <w:proofErr w:type="spellStart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etc</w:t>
            </w:r>
            <w:proofErr w:type="spellEnd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  <w:r w:rsidR="005B2AD1"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in volumes 1-9.</w:t>
            </w:r>
          </w:p>
        </w:tc>
      </w:tr>
      <w:tr w:rsidR="004869CE" w:rsidTr="00480487">
        <w:trPr>
          <w:trHeight w:val="89"/>
        </w:trPr>
        <w:tc>
          <w:tcPr>
            <w:tcW w:w="810" w:type="dxa"/>
          </w:tcPr>
          <w:p w:rsidR="004869CE" w:rsidRPr="00480487" w:rsidRDefault="004869CE" w:rsidP="004869C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3" w:type="dxa"/>
          </w:tcPr>
          <w:p w:rsidR="004869CE" w:rsidRPr="00480487" w:rsidRDefault="00284136" w:rsidP="004869C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810" w:type="dxa"/>
          </w:tcPr>
          <w:p w:rsidR="004869CE" w:rsidRPr="00480487" w:rsidRDefault="004869CE" w:rsidP="004869C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720" w:type="dxa"/>
          </w:tcPr>
          <w:p w:rsidR="004869CE" w:rsidRPr="00480487" w:rsidRDefault="004869CE" w:rsidP="004869C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1165" w:type="dxa"/>
          </w:tcPr>
          <w:p w:rsidR="004869CE" w:rsidRPr="00480487" w:rsidRDefault="004869CE" w:rsidP="004869C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</w:t>
            </w:r>
          </w:p>
        </w:tc>
        <w:tc>
          <w:tcPr>
            <w:tcW w:w="5623" w:type="dxa"/>
          </w:tcPr>
          <w:p w:rsidR="004869CE" w:rsidRPr="00480487" w:rsidRDefault="00BD5C0E" w:rsidP="00BD5C0E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Currently, the list of references at the end of N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BDIF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volumes version 3 includes NBDIF volumes version 2. T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here are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instances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where text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in one version 3 volume cross-references text, figures, or tables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in another volume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that exist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only in version 3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 Therefore, the list of references at the end of each volume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should be to NBDIF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version 3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not v2.</w:t>
            </w:r>
          </w:p>
          <w:p w:rsidR="00BD5C0E" w:rsidRPr="00480487" w:rsidRDefault="00480487" w:rsidP="00BD5C0E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NBDIF version 3 supersedes version 2, so it does not make sense to have version 2 in the list of references.</w:t>
            </w:r>
          </w:p>
          <w:p w:rsidR="00480487" w:rsidRPr="00480487" w:rsidRDefault="00480487" w:rsidP="00BD5C0E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There is a need to provide a path to the (now superseded) NBDIF version 1 and 2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continuity and traceability</w:t>
            </w: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. This </w:t>
            </w:r>
            <w:proofErr w:type="gramStart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should be done</w:t>
            </w:r>
            <w:proofErr w:type="gramEnd"/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in the Front matter, not in the list of references at the end of the volumes. </w:t>
            </w:r>
          </w:p>
        </w:tc>
        <w:tc>
          <w:tcPr>
            <w:tcW w:w="3339" w:type="dxa"/>
          </w:tcPr>
          <w:p w:rsidR="004869CE" w:rsidRDefault="00480487" w:rsidP="00480487">
            <w:pPr>
              <w:pStyle w:val="ListParagraph"/>
              <w:numPr>
                <w:ilvl w:val="0"/>
                <w:numId w:val="2"/>
              </w:numPr>
              <w:ind w:left="322" w:hanging="322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At the end of each NBDIF volume change the NBDIF Vol 1-9 references from version </w:t>
            </w:r>
            <w:r w:rsidR="00A630F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version </w:t>
            </w:r>
            <w:r w:rsidR="00A630F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 and provide the DOI for version 3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:rsidR="00480487" w:rsidRPr="00480487" w:rsidRDefault="00480487" w:rsidP="00480487">
            <w:pPr>
              <w:pStyle w:val="ListParagraph"/>
              <w:numPr>
                <w:ilvl w:val="0"/>
                <w:numId w:val="2"/>
              </w:numPr>
              <w:ind w:left="322" w:hanging="322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In the front matter of each NBDIF volume, include a link to the repository that contains the NBDIF versions 2 and 3. </w:t>
            </w:r>
          </w:p>
        </w:tc>
      </w:tr>
      <w:tr w:rsidR="00A630F9" w:rsidTr="00480487">
        <w:tc>
          <w:tcPr>
            <w:tcW w:w="810" w:type="dxa"/>
          </w:tcPr>
          <w:p w:rsidR="00A630F9" w:rsidRPr="00480487" w:rsidRDefault="00A630F9" w:rsidP="00A630F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33" w:type="dxa"/>
          </w:tcPr>
          <w:p w:rsidR="00A630F9" w:rsidRPr="00480487" w:rsidRDefault="00A630F9" w:rsidP="00A630F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804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810" w:type="dxa"/>
          </w:tcPr>
          <w:p w:rsidR="00A630F9" w:rsidRPr="00480487" w:rsidRDefault="00A630F9" w:rsidP="00A630F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720" w:type="dxa"/>
          </w:tcPr>
          <w:p w:rsidR="00A630F9" w:rsidRPr="00480487" w:rsidRDefault="00D15E11" w:rsidP="00A630F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968</w:t>
            </w:r>
          </w:p>
        </w:tc>
        <w:tc>
          <w:tcPr>
            <w:tcW w:w="1165" w:type="dxa"/>
          </w:tcPr>
          <w:p w:rsidR="00A630F9" w:rsidRPr="00480487" w:rsidRDefault="00A630F9" w:rsidP="00A630F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6.1</w:t>
            </w:r>
          </w:p>
        </w:tc>
        <w:tc>
          <w:tcPr>
            <w:tcW w:w="5623" w:type="dxa"/>
          </w:tcPr>
          <w:p w:rsidR="00A630F9" w:rsidRDefault="00A630F9" w:rsidP="00D15E11">
            <w:r>
              <w:t>Figure 7</w:t>
            </w:r>
            <w:r w:rsidR="00D15E11">
              <w:t xml:space="preserve"> in volume 9</w:t>
            </w:r>
            <w:r>
              <w:t xml:space="preserve"> first appears in volume</w:t>
            </w:r>
            <w:r w:rsidR="00D15E11">
              <w:t xml:space="preserve"> 2.</w:t>
            </w:r>
            <w:r>
              <w:t xml:space="preserve">  </w:t>
            </w:r>
          </w:p>
        </w:tc>
        <w:tc>
          <w:tcPr>
            <w:tcW w:w="3339" w:type="dxa"/>
          </w:tcPr>
          <w:p w:rsidR="00A630F9" w:rsidRDefault="00D15E11" w:rsidP="00D15E11">
            <w:r>
              <w:t>On line 968, add a reference to Figure 1, volume 2.</w:t>
            </w:r>
          </w:p>
        </w:tc>
      </w:tr>
    </w:tbl>
    <w:p w:rsidR="00E97FBA" w:rsidRPr="00E97FBA" w:rsidRDefault="00E97FBA" w:rsidP="00E97FBA"/>
    <w:sectPr w:rsidR="00E97FBA" w:rsidRPr="00E97FBA" w:rsidSect="00E97FBA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C43" w:rsidRDefault="00017C43" w:rsidP="00E97FBA">
      <w:r>
        <w:separator/>
      </w:r>
    </w:p>
  </w:endnote>
  <w:endnote w:type="continuationSeparator" w:id="0">
    <w:p w:rsidR="00017C43" w:rsidRDefault="00017C43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97FBA">
    <w:pPr>
      <w:pStyle w:val="Footer"/>
    </w:pPr>
    <w:r>
      <w:t>Type: E = Editorial, G = General, T = Technical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C43" w:rsidRDefault="00017C43" w:rsidP="00E97FBA">
      <w:r>
        <w:separator/>
      </w:r>
    </w:p>
  </w:footnote>
  <w:footnote w:type="continuationSeparator" w:id="0">
    <w:p w:rsidR="00017C43" w:rsidRDefault="00017C43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C561C" w:rsidP="00AD2306">
    <w:pPr>
      <w:tabs>
        <w:tab w:val="left" w:pos="10065"/>
      </w:tabs>
      <w:ind w:left="8364" w:hanging="8364"/>
    </w:pPr>
    <w:r>
      <w:t>Com</w:t>
    </w:r>
    <w:r w:rsidR="00214B9B">
      <w:t>ment Template for SP1500</w:t>
    </w:r>
    <w:r w:rsidR="004D51E1">
      <w:t>-</w:t>
    </w:r>
    <w:r w:rsidR="00AD2306">
      <w:t>ALL VOLUMES</w:t>
    </w:r>
    <w:r w:rsidR="00E97FBA">
      <w:tab/>
      <w:t xml:space="preserve">Submitted by: </w:t>
    </w:r>
    <w:r w:rsidR="00AD2306">
      <w:tab/>
      <w:t>Claire C. Austin</w:t>
    </w:r>
  </w:p>
  <w:p w:rsidR="00682262" w:rsidRDefault="00682262" w:rsidP="00AD2306">
    <w:pPr>
      <w:tabs>
        <w:tab w:val="left" w:pos="10065"/>
      </w:tabs>
      <w:ind w:left="8364"/>
    </w:pPr>
    <w:r>
      <w:t xml:space="preserve">Email: </w:t>
    </w:r>
    <w:r w:rsidR="00AD2306">
      <w:tab/>
    </w:r>
    <w:hyperlink r:id="rId1" w:history="1">
      <w:r w:rsidR="00AD2306" w:rsidRPr="003A7889">
        <w:rPr>
          <w:rStyle w:val="Hyperlink"/>
        </w:rPr>
        <w:t>claire.austin@canada.ca</w:t>
      </w:r>
    </w:hyperlink>
    <w:r w:rsidR="00AD2306">
      <w:t xml:space="preserve"> </w:t>
    </w:r>
  </w:p>
  <w:p w:rsidR="00E97FBA" w:rsidRDefault="00E97FBA" w:rsidP="00AD2306">
    <w:pPr>
      <w:tabs>
        <w:tab w:val="left" w:pos="10065"/>
      </w:tabs>
      <w:ind w:left="9810" w:hanging="1446"/>
    </w:pPr>
    <w:r>
      <w:t xml:space="preserve">Date: </w:t>
    </w:r>
    <w:r w:rsidR="00AD2306">
      <w:tab/>
    </w:r>
    <w:r w:rsidR="00AD2306">
      <w:tab/>
      <w:t>April 11, 2019</w:t>
    </w:r>
  </w:p>
  <w:p w:rsidR="00E97FBA" w:rsidRDefault="00E97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3CAC"/>
    <w:multiLevelType w:val="hybridMultilevel"/>
    <w:tmpl w:val="0646FF24"/>
    <w:lvl w:ilvl="0" w:tplc="49302D58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41A2"/>
    <w:multiLevelType w:val="hybridMultilevel"/>
    <w:tmpl w:val="0646FF24"/>
    <w:lvl w:ilvl="0" w:tplc="49302D58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017C43"/>
    <w:rsid w:val="00140F54"/>
    <w:rsid w:val="00214B9B"/>
    <w:rsid w:val="00284136"/>
    <w:rsid w:val="00290183"/>
    <w:rsid w:val="002F3FE8"/>
    <w:rsid w:val="003869AA"/>
    <w:rsid w:val="0039394E"/>
    <w:rsid w:val="00437300"/>
    <w:rsid w:val="004763CF"/>
    <w:rsid w:val="00480487"/>
    <w:rsid w:val="004869CE"/>
    <w:rsid w:val="004D51E1"/>
    <w:rsid w:val="005B2AD1"/>
    <w:rsid w:val="00682262"/>
    <w:rsid w:val="00933852"/>
    <w:rsid w:val="009524A9"/>
    <w:rsid w:val="00A630F9"/>
    <w:rsid w:val="00AC0BE4"/>
    <w:rsid w:val="00AD2306"/>
    <w:rsid w:val="00B138BC"/>
    <w:rsid w:val="00BD5C0E"/>
    <w:rsid w:val="00C91948"/>
    <w:rsid w:val="00D15E11"/>
    <w:rsid w:val="00D77248"/>
    <w:rsid w:val="00E97FBA"/>
    <w:rsid w:val="00EC561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17D8E5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ire.austin@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Austin,Claire [NCR]</cp:lastModifiedBy>
  <cp:revision>7</cp:revision>
  <dcterms:created xsi:type="dcterms:W3CDTF">2019-04-11T19:05:00Z</dcterms:created>
  <dcterms:modified xsi:type="dcterms:W3CDTF">2019-04-11T20:59:00Z</dcterms:modified>
</cp:coreProperties>
</file>