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3A0FF" w14:textId="7FE59CE4" w:rsidR="00D77BEC" w:rsidRPr="006A085E" w:rsidRDefault="00B64F25">
      <w:pPr>
        <w:rPr>
          <w:b/>
          <w:bCs/>
          <w:u w:val="single"/>
        </w:rPr>
      </w:pPr>
      <w:r w:rsidRPr="006A085E">
        <w:rPr>
          <w:b/>
          <w:bCs/>
          <w:u w:val="single"/>
        </w:rPr>
        <w:t>EERC Page Components and Formulas</w:t>
      </w:r>
    </w:p>
    <w:p w14:paraId="4EAE0606" w14:textId="7E3206FD" w:rsidR="00724461" w:rsidRDefault="00B5393D" w:rsidP="008F4D5F">
      <w:pPr>
        <w:keepNext/>
        <w:spacing w:before="100" w:beforeAutospacing="1" w:after="100" w:afterAutospacing="1"/>
        <w:rPr>
          <w:szCs w:val="24"/>
        </w:rPr>
      </w:pPr>
      <w:r w:rsidRPr="00B5393D">
        <w:rPr>
          <w:szCs w:val="24"/>
        </w:rPr>
        <w:t xml:space="preserve">This is a combination of the </w:t>
      </w:r>
      <w:r>
        <w:rPr>
          <w:szCs w:val="24"/>
        </w:rPr>
        <w:t xml:space="preserve">user guide and additional information on the </w:t>
      </w:r>
      <w:r w:rsidR="00AC621B">
        <w:rPr>
          <w:szCs w:val="24"/>
        </w:rPr>
        <w:t xml:space="preserve">interface design. Let’s try to replicate the look of BLCC. </w:t>
      </w:r>
      <w:r w:rsidR="00AD4804">
        <w:rPr>
          <w:szCs w:val="24"/>
        </w:rPr>
        <w:t>U</w:t>
      </w:r>
      <w:r w:rsidR="00AC621B">
        <w:rPr>
          <w:szCs w:val="24"/>
        </w:rPr>
        <w:t>se the same component designs when feasible.</w:t>
      </w:r>
      <w:r w:rsidR="00923FB6">
        <w:rPr>
          <w:szCs w:val="24"/>
        </w:rPr>
        <w:t xml:space="preserve"> Also, use the same data tables as BLCC</w:t>
      </w:r>
      <w:r w:rsidR="009A6B35">
        <w:rPr>
          <w:szCs w:val="24"/>
        </w:rPr>
        <w:t xml:space="preserve"> because it uses the same underlying data. The functions </w:t>
      </w:r>
      <w:r w:rsidR="00FF2A32">
        <w:rPr>
          <w:szCs w:val="24"/>
        </w:rPr>
        <w:t xml:space="preserve">for the calculations </w:t>
      </w:r>
      <w:r w:rsidR="009A6B35">
        <w:rPr>
          <w:szCs w:val="24"/>
        </w:rPr>
        <w:t>are included below</w:t>
      </w:r>
      <w:r w:rsidR="00FF2A32">
        <w:rPr>
          <w:szCs w:val="24"/>
        </w:rPr>
        <w:t>. Use the current EERC data and compare to the EERC tool</w:t>
      </w:r>
      <w:r w:rsidR="00936F0E">
        <w:rPr>
          <w:szCs w:val="24"/>
        </w:rPr>
        <w:t xml:space="preserve"> results to ensure we are producing the same results</w:t>
      </w:r>
      <w:r w:rsidR="00FF2A32">
        <w:rPr>
          <w:szCs w:val="24"/>
        </w:rPr>
        <w:t>.</w:t>
      </w:r>
      <w:r w:rsidR="00A12377">
        <w:rPr>
          <w:szCs w:val="24"/>
        </w:rPr>
        <w:t xml:space="preserve"> Note that the current E</w:t>
      </w:r>
      <w:r w:rsidR="007164FE">
        <w:rPr>
          <w:szCs w:val="24"/>
        </w:rPr>
        <w:t>E</w:t>
      </w:r>
      <w:r w:rsidR="00A12377">
        <w:rPr>
          <w:szCs w:val="24"/>
        </w:rPr>
        <w:t xml:space="preserve">RC </w:t>
      </w:r>
      <w:r w:rsidR="007164FE">
        <w:rPr>
          <w:szCs w:val="24"/>
        </w:rPr>
        <w:t xml:space="preserve">uses Census region data. We will rebuild EERC with division level data. To validate, we can </w:t>
      </w:r>
      <w:r w:rsidR="00FC21F7">
        <w:rPr>
          <w:szCs w:val="24"/>
        </w:rPr>
        <w:t>start by using the same data for each division within a given region. Then we can update the data with division level data.</w:t>
      </w:r>
      <w:r w:rsidR="000F6171">
        <w:rPr>
          <w:szCs w:val="24"/>
        </w:rPr>
        <w:t xml:space="preserve"> </w:t>
      </w:r>
      <w:r w:rsidR="00724461">
        <w:rPr>
          <w:szCs w:val="24"/>
        </w:rPr>
        <w:t>A</w:t>
      </w:r>
      <w:r w:rsidR="00BF7879">
        <w:rPr>
          <w:szCs w:val="24"/>
        </w:rPr>
        <w:t>ccess to the EERC code</w:t>
      </w:r>
      <w:r w:rsidR="00724461">
        <w:rPr>
          <w:szCs w:val="24"/>
        </w:rPr>
        <w:t xml:space="preserve">: </w:t>
      </w:r>
      <w:hyperlink r:id="rId5" w:history="1">
        <w:r w:rsidR="00724461" w:rsidRPr="00AE3B33">
          <w:rPr>
            <w:rStyle w:val="Hyperlink"/>
            <w:szCs w:val="24"/>
          </w:rPr>
          <w:t>https://github.com/usnistgov/eerc</w:t>
        </w:r>
      </w:hyperlink>
      <w:r w:rsidR="00724461">
        <w:rPr>
          <w:szCs w:val="24"/>
        </w:rPr>
        <w:t>.</w:t>
      </w:r>
      <w:r w:rsidR="000F6171">
        <w:rPr>
          <w:szCs w:val="24"/>
        </w:rPr>
        <w:t xml:space="preserve"> Steve Barber is the contact for this code. He transitioned it to the web app.</w:t>
      </w:r>
    </w:p>
    <w:p w14:paraId="0BF0513E" w14:textId="167FECE3" w:rsidR="006A085E" w:rsidRPr="00726FF7" w:rsidRDefault="006A085E" w:rsidP="008F4D5F">
      <w:pPr>
        <w:keepNext/>
        <w:spacing w:before="100" w:beforeAutospacing="1" w:after="100" w:afterAutospacing="1"/>
        <w:rPr>
          <w:b/>
          <w:bCs/>
          <w:szCs w:val="24"/>
          <w:u w:val="single"/>
        </w:rPr>
      </w:pPr>
      <w:r w:rsidRPr="00726FF7">
        <w:rPr>
          <w:b/>
          <w:bCs/>
          <w:szCs w:val="24"/>
          <w:u w:val="single"/>
        </w:rPr>
        <w:t>Heading</w:t>
      </w:r>
      <w:r w:rsidR="007B1079" w:rsidRPr="00726FF7">
        <w:rPr>
          <w:b/>
          <w:bCs/>
          <w:szCs w:val="24"/>
          <w:u w:val="single"/>
        </w:rPr>
        <w:t xml:space="preserve"> Text</w:t>
      </w:r>
      <w:r w:rsidRPr="00726FF7">
        <w:rPr>
          <w:b/>
          <w:bCs/>
          <w:szCs w:val="24"/>
          <w:u w:val="single"/>
        </w:rPr>
        <w:t>:</w:t>
      </w:r>
    </w:p>
    <w:p w14:paraId="0FD248C5" w14:textId="6795BEA6" w:rsidR="006A085E" w:rsidRDefault="006A085E" w:rsidP="008F4D5F">
      <w:pPr>
        <w:keepNext/>
        <w:spacing w:before="100" w:beforeAutospacing="1" w:after="100" w:afterAutospacing="1"/>
        <w:rPr>
          <w:szCs w:val="24"/>
        </w:rPr>
      </w:pPr>
      <w:r w:rsidRPr="004E18B1">
        <w:rPr>
          <w:szCs w:val="24"/>
        </w:rPr>
        <w:t>NIST Energy Escalation Rate Calculator</w:t>
      </w:r>
    </w:p>
    <w:p w14:paraId="4A061C7C" w14:textId="3575B923" w:rsidR="004E18B1" w:rsidRPr="004E18B1" w:rsidRDefault="004E18B1" w:rsidP="004E18B1">
      <w:pPr>
        <w:keepNext/>
        <w:spacing w:before="100" w:beforeAutospacing="1" w:after="100" w:afterAutospacing="1"/>
        <w:rPr>
          <w:szCs w:val="24"/>
        </w:rPr>
      </w:pPr>
      <w:r w:rsidRPr="004E18B1">
        <w:rPr>
          <w:szCs w:val="24"/>
        </w:rPr>
        <w:t xml:space="preserve">To use, complete all form fields. Computed results are shown </w:t>
      </w:r>
      <w:r w:rsidR="00DD69B3" w:rsidRPr="004E18B1">
        <w:rPr>
          <w:szCs w:val="24"/>
        </w:rPr>
        <w:t>immediately</w:t>
      </w:r>
      <w:r w:rsidRPr="004E18B1">
        <w:rPr>
          <w:szCs w:val="24"/>
        </w:rPr>
        <w:t xml:space="preserve"> at the bottom of the page.</w:t>
      </w:r>
    </w:p>
    <w:p w14:paraId="76BFC336" w14:textId="40958AE7" w:rsidR="004E18B1" w:rsidRPr="004E18B1" w:rsidRDefault="004E18B1" w:rsidP="004E18B1">
      <w:pPr>
        <w:keepNext/>
        <w:spacing w:before="100" w:beforeAutospacing="1" w:after="100" w:afterAutospacing="1"/>
        <w:rPr>
          <w:szCs w:val="24"/>
        </w:rPr>
      </w:pPr>
      <w:r w:rsidRPr="004E18B1">
        <w:rPr>
          <w:szCs w:val="24"/>
        </w:rPr>
        <w:t xml:space="preserve">The EERC User Guide is here:  </w:t>
      </w:r>
      <w:proofErr w:type="gramStart"/>
      <w:r w:rsidRPr="004E18B1">
        <w:rPr>
          <w:szCs w:val="24"/>
        </w:rPr>
        <w:t>HTML  PDF</w:t>
      </w:r>
      <w:proofErr w:type="gramEnd"/>
      <w:r>
        <w:rPr>
          <w:szCs w:val="24"/>
        </w:rPr>
        <w:t xml:space="preserve"> (links to </w:t>
      </w:r>
      <w:r w:rsidR="00DD69B3">
        <w:rPr>
          <w:szCs w:val="24"/>
        </w:rPr>
        <w:t>user guide in both formats</w:t>
      </w:r>
      <w:r w:rsidR="00BF3FD6">
        <w:rPr>
          <w:szCs w:val="24"/>
        </w:rPr>
        <w:t>; I will provide the user guide to use</w:t>
      </w:r>
      <w:r w:rsidR="007B1079">
        <w:rPr>
          <w:szCs w:val="24"/>
        </w:rPr>
        <w:t>)</w:t>
      </w:r>
    </w:p>
    <w:p w14:paraId="6F37D08E" w14:textId="77777777" w:rsidR="000775BD" w:rsidRDefault="00D144FA" w:rsidP="008F4D5F">
      <w:pPr>
        <w:keepNext/>
        <w:spacing w:before="100" w:beforeAutospacing="1" w:after="100" w:afterAutospacing="1"/>
        <w:rPr>
          <w:szCs w:val="24"/>
        </w:rPr>
      </w:pPr>
      <w:r w:rsidRPr="000775BD">
        <w:rPr>
          <w:szCs w:val="24"/>
        </w:rPr>
        <w:t>Date of last data update</w:t>
      </w:r>
      <w:r w:rsidR="00AC6001" w:rsidRPr="000775BD">
        <w:rPr>
          <w:szCs w:val="24"/>
        </w:rPr>
        <w:t>:</w:t>
      </w:r>
      <w:r w:rsidR="000775BD" w:rsidRPr="000775BD">
        <w:rPr>
          <w:szCs w:val="24"/>
        </w:rPr>
        <w:t xml:space="preserve"> </w:t>
      </w:r>
      <w:r w:rsidR="00B03D39">
        <w:rPr>
          <w:szCs w:val="24"/>
        </w:rPr>
        <w:t>Month / Day / Year</w:t>
      </w:r>
    </w:p>
    <w:p w14:paraId="20698392" w14:textId="3330B90C" w:rsidR="008F4D5F" w:rsidRDefault="008F4D5F" w:rsidP="008F4D5F">
      <w:pPr>
        <w:keepNext/>
        <w:spacing w:before="100" w:beforeAutospacing="1" w:after="100" w:afterAutospacing="1"/>
        <w:rPr>
          <w:b/>
          <w:bCs/>
          <w:szCs w:val="24"/>
        </w:rPr>
      </w:pPr>
      <w:r w:rsidRPr="00726FF7">
        <w:rPr>
          <w:b/>
          <w:bCs/>
          <w:szCs w:val="24"/>
          <w:u w:val="single"/>
        </w:rPr>
        <w:t>Inputs</w:t>
      </w:r>
      <w:r w:rsidR="00A25A19">
        <w:rPr>
          <w:b/>
          <w:bCs/>
          <w:szCs w:val="24"/>
        </w:rPr>
        <w:t>:</w:t>
      </w:r>
    </w:p>
    <w:p w14:paraId="0B5BF582" w14:textId="408FB852" w:rsidR="00D144FA" w:rsidRDefault="00D144FA" w:rsidP="008F4D5F">
      <w:pPr>
        <w:keepNext/>
        <w:spacing w:before="100" w:beforeAutospacing="1" w:after="100" w:afterAutospacing="1"/>
        <w:rPr>
          <w:b/>
          <w:bCs/>
          <w:szCs w:val="24"/>
        </w:rPr>
      </w:pPr>
      <w:r>
        <w:rPr>
          <w:b/>
          <w:bCs/>
          <w:szCs w:val="24"/>
        </w:rPr>
        <w:t>Select Data Vintage</w:t>
      </w:r>
      <w:r w:rsidR="009E70A3">
        <w:rPr>
          <w:b/>
          <w:bCs/>
          <w:szCs w:val="24"/>
        </w:rPr>
        <w:t>:</w:t>
      </w:r>
      <w:r w:rsidR="00BD395F">
        <w:rPr>
          <w:b/>
          <w:bCs/>
          <w:szCs w:val="24"/>
        </w:rPr>
        <w:t xml:space="preserve"> (not in current EERC)</w:t>
      </w:r>
    </w:p>
    <w:p w14:paraId="2A658B1C" w14:textId="6C1DFDC1" w:rsidR="008A775D" w:rsidRDefault="009E70A3" w:rsidP="009E70A3">
      <w:pPr>
        <w:numPr>
          <w:ilvl w:val="0"/>
          <w:numId w:val="1"/>
        </w:numPr>
        <w:spacing w:before="100" w:beforeAutospacing="1" w:after="0" w:line="240" w:lineRule="auto"/>
        <w:rPr>
          <w:szCs w:val="24"/>
        </w:rPr>
      </w:pPr>
      <w:r w:rsidRPr="0010780E">
        <w:rPr>
          <w:szCs w:val="24"/>
        </w:rPr>
        <w:t>Default</w:t>
      </w:r>
      <w:r>
        <w:rPr>
          <w:szCs w:val="24"/>
        </w:rPr>
        <w:t xml:space="preserve"> to newest</w:t>
      </w:r>
      <w:r w:rsidRPr="0010780E">
        <w:rPr>
          <w:szCs w:val="24"/>
        </w:rPr>
        <w:t xml:space="preserve"> </w:t>
      </w:r>
      <w:r>
        <w:rPr>
          <w:szCs w:val="24"/>
        </w:rPr>
        <w:t xml:space="preserve">year’s </w:t>
      </w:r>
      <w:r w:rsidR="008A775D">
        <w:rPr>
          <w:szCs w:val="24"/>
        </w:rPr>
        <w:t>data</w:t>
      </w:r>
    </w:p>
    <w:p w14:paraId="22847F72" w14:textId="7C2B2A09" w:rsidR="009E70A3" w:rsidRDefault="00763550" w:rsidP="009E70A3">
      <w:pPr>
        <w:numPr>
          <w:ilvl w:val="0"/>
          <w:numId w:val="1"/>
        </w:numPr>
        <w:spacing w:before="100" w:beforeAutospacing="1" w:after="0" w:line="240" w:lineRule="auto"/>
        <w:rPr>
          <w:szCs w:val="24"/>
        </w:rPr>
      </w:pPr>
      <w:r>
        <w:rPr>
          <w:szCs w:val="24"/>
        </w:rPr>
        <w:t xml:space="preserve">Drop down menu with each year of available </w:t>
      </w:r>
      <w:proofErr w:type="gramStart"/>
      <w:r>
        <w:rPr>
          <w:szCs w:val="24"/>
        </w:rPr>
        <w:t>data</w:t>
      </w:r>
      <w:proofErr w:type="gramEnd"/>
    </w:p>
    <w:p w14:paraId="1EF8A284" w14:textId="62084640" w:rsidR="00763550" w:rsidRPr="009E70A3" w:rsidRDefault="00763550" w:rsidP="009E70A3">
      <w:pPr>
        <w:numPr>
          <w:ilvl w:val="0"/>
          <w:numId w:val="1"/>
        </w:numPr>
        <w:spacing w:before="100" w:beforeAutospacing="1" w:after="0" w:line="240" w:lineRule="auto"/>
        <w:rPr>
          <w:szCs w:val="24"/>
        </w:rPr>
      </w:pPr>
      <w:r>
        <w:rPr>
          <w:szCs w:val="24"/>
        </w:rPr>
        <w:t xml:space="preserve">Will add </w:t>
      </w:r>
      <w:r w:rsidR="00712DC6">
        <w:rPr>
          <w:szCs w:val="24"/>
        </w:rPr>
        <w:t xml:space="preserve">new </w:t>
      </w:r>
      <w:r>
        <w:rPr>
          <w:szCs w:val="24"/>
        </w:rPr>
        <w:t>data</w:t>
      </w:r>
      <w:r w:rsidR="00712DC6">
        <w:rPr>
          <w:szCs w:val="24"/>
        </w:rPr>
        <w:t>, not replace data (this is different than the current design)</w:t>
      </w:r>
    </w:p>
    <w:p w14:paraId="0AE94E6F" w14:textId="70763F6E" w:rsidR="008F4D5F" w:rsidRDefault="008F4D5F" w:rsidP="008F4D5F">
      <w:pPr>
        <w:spacing w:before="100" w:beforeAutospacing="1"/>
        <w:rPr>
          <w:szCs w:val="24"/>
        </w:rPr>
      </w:pPr>
      <w:r w:rsidRPr="0010780E">
        <w:rPr>
          <w:b/>
          <w:bCs/>
          <w:szCs w:val="24"/>
        </w:rPr>
        <w:t>Percent of Energy Cost Savings</w:t>
      </w:r>
      <w:r w:rsidRPr="0010780E">
        <w:rPr>
          <w:szCs w:val="24"/>
        </w:rPr>
        <w:t>:</w:t>
      </w:r>
    </w:p>
    <w:p w14:paraId="3372BC5C" w14:textId="5E6E4965" w:rsidR="008F4D5F" w:rsidRPr="0010780E" w:rsidRDefault="008F4D5F" w:rsidP="008F4D5F">
      <w:pPr>
        <w:numPr>
          <w:ilvl w:val="0"/>
          <w:numId w:val="1"/>
        </w:numPr>
        <w:spacing w:before="100" w:beforeAutospacing="1" w:after="0" w:line="240" w:lineRule="auto"/>
        <w:rPr>
          <w:szCs w:val="24"/>
        </w:rPr>
      </w:pPr>
      <w:r w:rsidRPr="0010780E">
        <w:rPr>
          <w:szCs w:val="24"/>
        </w:rPr>
        <w:t>Percentage of energy cost savings in dollars that is attributable to one or more of the fuel types used in the project. This input is used to weight the escalation rate.</w:t>
      </w:r>
    </w:p>
    <w:p w14:paraId="53B0EC90" w14:textId="1D474FA4" w:rsidR="008F4D5F" w:rsidRDefault="008F4D5F" w:rsidP="008F4D5F">
      <w:pPr>
        <w:numPr>
          <w:ilvl w:val="0"/>
          <w:numId w:val="1"/>
        </w:numPr>
        <w:spacing w:before="100" w:beforeAutospacing="1" w:after="0" w:line="240" w:lineRule="auto"/>
        <w:rPr>
          <w:szCs w:val="24"/>
        </w:rPr>
      </w:pPr>
      <w:r w:rsidRPr="0010780E">
        <w:rPr>
          <w:szCs w:val="24"/>
        </w:rPr>
        <w:t xml:space="preserve">Default values are </w:t>
      </w:r>
      <w:proofErr w:type="gramStart"/>
      <w:r w:rsidRPr="0010780E">
        <w:rPr>
          <w:szCs w:val="24"/>
        </w:rPr>
        <w:t>zeros</w:t>
      </w:r>
      <w:proofErr w:type="gramEnd"/>
    </w:p>
    <w:p w14:paraId="53C70F42" w14:textId="64CBBC5B" w:rsidR="00EB1E28" w:rsidRPr="0010780E" w:rsidRDefault="00EB1E28" w:rsidP="008F4D5F">
      <w:pPr>
        <w:numPr>
          <w:ilvl w:val="0"/>
          <w:numId w:val="1"/>
        </w:numPr>
        <w:spacing w:before="100" w:beforeAutospacing="1" w:after="0" w:line="240" w:lineRule="auto"/>
        <w:rPr>
          <w:szCs w:val="24"/>
        </w:rPr>
      </w:pPr>
      <w:r>
        <w:rPr>
          <w:szCs w:val="24"/>
        </w:rPr>
        <w:t xml:space="preserve">Display </w:t>
      </w:r>
      <w:r w:rsidR="00D7384A">
        <w:rPr>
          <w:szCs w:val="24"/>
        </w:rPr>
        <w:t xml:space="preserve">units </w:t>
      </w:r>
      <w:r>
        <w:rPr>
          <w:szCs w:val="24"/>
        </w:rPr>
        <w:t>as % values</w:t>
      </w:r>
      <w:r w:rsidR="00D51182">
        <w:rPr>
          <w:szCs w:val="24"/>
        </w:rPr>
        <w:t xml:space="preserve"> (input 25 = 25%)</w:t>
      </w:r>
    </w:p>
    <w:p w14:paraId="457033AB" w14:textId="3145E7CB" w:rsidR="008F4D5F" w:rsidRDefault="008F4D5F" w:rsidP="008F4D5F">
      <w:pPr>
        <w:numPr>
          <w:ilvl w:val="0"/>
          <w:numId w:val="1"/>
        </w:numPr>
        <w:spacing w:before="100" w:beforeAutospacing="1" w:after="0" w:line="240" w:lineRule="auto"/>
        <w:rPr>
          <w:szCs w:val="24"/>
        </w:rPr>
      </w:pPr>
      <w:r w:rsidRPr="0010780E">
        <w:rPr>
          <w:szCs w:val="24"/>
        </w:rPr>
        <w:t>Inputted values must sum to 100%</w:t>
      </w:r>
    </w:p>
    <w:p w14:paraId="61DA2173" w14:textId="0802AB2E" w:rsidR="00496B9F" w:rsidRDefault="00496B9F" w:rsidP="008F4D5F">
      <w:pPr>
        <w:numPr>
          <w:ilvl w:val="0"/>
          <w:numId w:val="1"/>
        </w:numPr>
        <w:spacing w:before="100" w:beforeAutospacing="1" w:after="0" w:line="240" w:lineRule="auto"/>
        <w:rPr>
          <w:szCs w:val="24"/>
        </w:rPr>
      </w:pPr>
      <w:r>
        <w:rPr>
          <w:szCs w:val="24"/>
        </w:rPr>
        <w:t>Fuel types</w:t>
      </w:r>
      <w:r w:rsidR="00374F36">
        <w:rPr>
          <w:szCs w:val="24"/>
        </w:rPr>
        <w:t xml:space="preserve"> for input fields</w:t>
      </w:r>
    </w:p>
    <w:p w14:paraId="3A16B33C" w14:textId="05AB68F7" w:rsidR="00496B9F" w:rsidRDefault="00496B9F" w:rsidP="00496B9F">
      <w:pPr>
        <w:numPr>
          <w:ilvl w:val="1"/>
          <w:numId w:val="1"/>
        </w:numPr>
        <w:spacing w:before="100" w:beforeAutospacing="1" w:after="0" w:line="240" w:lineRule="auto"/>
        <w:rPr>
          <w:szCs w:val="24"/>
        </w:rPr>
      </w:pPr>
      <w:r>
        <w:rPr>
          <w:szCs w:val="24"/>
        </w:rPr>
        <w:t>Coal</w:t>
      </w:r>
    </w:p>
    <w:p w14:paraId="1BE68966" w14:textId="1ED53196" w:rsidR="00496B9F" w:rsidRDefault="00496B9F" w:rsidP="00496B9F">
      <w:pPr>
        <w:numPr>
          <w:ilvl w:val="1"/>
          <w:numId w:val="1"/>
        </w:numPr>
        <w:spacing w:before="100" w:beforeAutospacing="1" w:after="0" w:line="240" w:lineRule="auto"/>
        <w:rPr>
          <w:szCs w:val="24"/>
        </w:rPr>
      </w:pPr>
      <w:r>
        <w:rPr>
          <w:szCs w:val="24"/>
        </w:rPr>
        <w:t>Distillate Oil</w:t>
      </w:r>
    </w:p>
    <w:p w14:paraId="73DC0634" w14:textId="36C17C4F" w:rsidR="00496B9F" w:rsidRDefault="00496B9F" w:rsidP="00496B9F">
      <w:pPr>
        <w:numPr>
          <w:ilvl w:val="1"/>
          <w:numId w:val="1"/>
        </w:numPr>
        <w:spacing w:before="100" w:beforeAutospacing="1" w:after="0" w:line="240" w:lineRule="auto"/>
        <w:rPr>
          <w:szCs w:val="24"/>
        </w:rPr>
      </w:pPr>
      <w:r>
        <w:rPr>
          <w:szCs w:val="24"/>
        </w:rPr>
        <w:t>Electricity</w:t>
      </w:r>
    </w:p>
    <w:p w14:paraId="37CAA742" w14:textId="7C72B0B5" w:rsidR="00496B9F" w:rsidRDefault="00496B9F" w:rsidP="00496B9F">
      <w:pPr>
        <w:numPr>
          <w:ilvl w:val="1"/>
          <w:numId w:val="1"/>
        </w:numPr>
        <w:spacing w:before="100" w:beforeAutospacing="1" w:after="0" w:line="240" w:lineRule="auto"/>
        <w:rPr>
          <w:szCs w:val="24"/>
        </w:rPr>
      </w:pPr>
      <w:r>
        <w:rPr>
          <w:szCs w:val="24"/>
        </w:rPr>
        <w:t>Natural Gas</w:t>
      </w:r>
    </w:p>
    <w:p w14:paraId="56F2180C" w14:textId="649EEF43" w:rsidR="00496B9F" w:rsidRDefault="00496B9F" w:rsidP="00496B9F">
      <w:pPr>
        <w:numPr>
          <w:ilvl w:val="1"/>
          <w:numId w:val="1"/>
        </w:numPr>
        <w:spacing w:before="100" w:beforeAutospacing="1" w:after="0" w:line="240" w:lineRule="auto"/>
        <w:rPr>
          <w:szCs w:val="24"/>
        </w:rPr>
      </w:pPr>
      <w:r>
        <w:rPr>
          <w:szCs w:val="24"/>
        </w:rPr>
        <w:t>Residual</w:t>
      </w:r>
    </w:p>
    <w:p w14:paraId="404DD680" w14:textId="696DC7D2" w:rsidR="00A81A04" w:rsidRDefault="00A81A04" w:rsidP="00496B9F">
      <w:pPr>
        <w:numPr>
          <w:ilvl w:val="1"/>
          <w:numId w:val="1"/>
        </w:numPr>
        <w:spacing w:before="100" w:beforeAutospacing="1" w:after="0" w:line="240" w:lineRule="auto"/>
        <w:rPr>
          <w:szCs w:val="24"/>
        </w:rPr>
      </w:pPr>
      <w:r>
        <w:rPr>
          <w:szCs w:val="24"/>
        </w:rPr>
        <w:t>Total (automatically calculated)</w:t>
      </w:r>
    </w:p>
    <w:p w14:paraId="3397A166" w14:textId="5939BE44" w:rsidR="00374F36" w:rsidRDefault="00374F36" w:rsidP="00374F36">
      <w:pPr>
        <w:numPr>
          <w:ilvl w:val="0"/>
          <w:numId w:val="1"/>
        </w:numPr>
        <w:spacing w:before="100" w:beforeAutospacing="1" w:after="0" w:line="240" w:lineRule="auto"/>
        <w:rPr>
          <w:szCs w:val="24"/>
        </w:rPr>
      </w:pPr>
      <w:r>
        <w:rPr>
          <w:szCs w:val="24"/>
        </w:rPr>
        <w:t xml:space="preserve">Set restriction on </w:t>
      </w:r>
      <w:r w:rsidR="008B0E72">
        <w:rPr>
          <w:szCs w:val="24"/>
        </w:rPr>
        <w:t xml:space="preserve">selection of </w:t>
      </w:r>
      <w:proofErr w:type="gramStart"/>
      <w:r w:rsidR="008B0E72">
        <w:rPr>
          <w:szCs w:val="24"/>
        </w:rPr>
        <w:t>coal</w:t>
      </w:r>
      <w:proofErr w:type="gramEnd"/>
    </w:p>
    <w:p w14:paraId="17450B60" w14:textId="1FBF8D5B" w:rsidR="008B0E72" w:rsidRDefault="008B0E72" w:rsidP="008B0E72">
      <w:pPr>
        <w:numPr>
          <w:ilvl w:val="1"/>
          <w:numId w:val="1"/>
        </w:numPr>
        <w:spacing w:before="100" w:beforeAutospacing="1" w:after="0" w:line="240" w:lineRule="auto"/>
        <w:rPr>
          <w:szCs w:val="24"/>
        </w:rPr>
      </w:pPr>
      <w:r>
        <w:rPr>
          <w:szCs w:val="24"/>
        </w:rPr>
        <w:lastRenderedPageBreak/>
        <w:t xml:space="preserve">Available if sector is </w:t>
      </w:r>
      <w:proofErr w:type="gramStart"/>
      <w:r>
        <w:rPr>
          <w:szCs w:val="24"/>
        </w:rPr>
        <w:t>industrial</w:t>
      </w:r>
      <w:proofErr w:type="gramEnd"/>
    </w:p>
    <w:p w14:paraId="129E8E90" w14:textId="5A9B8500" w:rsidR="008B0E72" w:rsidRDefault="008B0E72" w:rsidP="008B0E72">
      <w:pPr>
        <w:numPr>
          <w:ilvl w:val="1"/>
          <w:numId w:val="1"/>
        </w:numPr>
        <w:spacing w:before="100" w:beforeAutospacing="1" w:after="0" w:line="240" w:lineRule="auto"/>
        <w:rPr>
          <w:szCs w:val="24"/>
        </w:rPr>
      </w:pPr>
      <w:r>
        <w:rPr>
          <w:szCs w:val="24"/>
        </w:rPr>
        <w:t xml:space="preserve">No Available if </w:t>
      </w:r>
      <w:r w:rsidR="001A3E1D">
        <w:rPr>
          <w:szCs w:val="24"/>
        </w:rPr>
        <w:t xml:space="preserve">sector is </w:t>
      </w:r>
      <w:proofErr w:type="gramStart"/>
      <w:r w:rsidR="001A3E1D">
        <w:rPr>
          <w:szCs w:val="24"/>
        </w:rPr>
        <w:t>commercial</w:t>
      </w:r>
      <w:proofErr w:type="gramEnd"/>
    </w:p>
    <w:p w14:paraId="1B4A35A2" w14:textId="78425BD4" w:rsidR="001A3E1D" w:rsidRPr="0010780E" w:rsidRDefault="001A3E1D" w:rsidP="008B0E72">
      <w:pPr>
        <w:numPr>
          <w:ilvl w:val="1"/>
          <w:numId w:val="1"/>
        </w:numPr>
        <w:spacing w:before="100" w:beforeAutospacing="1" w:after="0" w:line="240" w:lineRule="auto"/>
        <w:rPr>
          <w:szCs w:val="24"/>
        </w:rPr>
      </w:pPr>
      <w:r>
        <w:rPr>
          <w:szCs w:val="24"/>
        </w:rPr>
        <w:t xml:space="preserve">Question: Should we add residential? Not currently in EERC, but would be easy to </w:t>
      </w:r>
      <w:proofErr w:type="gramStart"/>
      <w:r>
        <w:rPr>
          <w:szCs w:val="24"/>
        </w:rPr>
        <w:t>include</w:t>
      </w:r>
      <w:proofErr w:type="gramEnd"/>
    </w:p>
    <w:p w14:paraId="7C7AFB69" w14:textId="77777777" w:rsidR="008F4D5F" w:rsidRPr="0010780E" w:rsidRDefault="008F4D5F" w:rsidP="008F4D5F">
      <w:pPr>
        <w:spacing w:before="100" w:beforeAutospacing="1"/>
        <w:rPr>
          <w:szCs w:val="24"/>
        </w:rPr>
      </w:pPr>
      <w:r w:rsidRPr="0010780E">
        <w:rPr>
          <w:b/>
          <w:bCs/>
          <w:szCs w:val="24"/>
        </w:rPr>
        <w:t>Fuel Rate Information:</w:t>
      </w:r>
    </w:p>
    <w:p w14:paraId="6DBACD4B" w14:textId="77777777" w:rsidR="00A81A04" w:rsidRPr="00A81A04" w:rsidRDefault="008F4D5F" w:rsidP="008F4D5F">
      <w:pPr>
        <w:numPr>
          <w:ilvl w:val="0"/>
          <w:numId w:val="2"/>
        </w:numPr>
        <w:spacing w:before="100" w:beforeAutospacing="1" w:after="0" w:line="240" w:lineRule="auto"/>
        <w:rPr>
          <w:szCs w:val="24"/>
        </w:rPr>
      </w:pPr>
      <w:r w:rsidRPr="00A81A04">
        <w:rPr>
          <w:szCs w:val="24"/>
        </w:rPr>
        <w:t>Location</w:t>
      </w:r>
    </w:p>
    <w:p w14:paraId="150BF89D" w14:textId="26304093" w:rsidR="008F4D5F" w:rsidRDefault="008F4D5F" w:rsidP="00A81A04">
      <w:pPr>
        <w:numPr>
          <w:ilvl w:val="1"/>
          <w:numId w:val="2"/>
        </w:numPr>
        <w:spacing w:before="100" w:beforeAutospacing="1" w:after="0" w:line="240" w:lineRule="auto"/>
        <w:rPr>
          <w:szCs w:val="24"/>
        </w:rPr>
      </w:pPr>
      <w:r w:rsidRPr="00A81A04">
        <w:rPr>
          <w:szCs w:val="24"/>
        </w:rPr>
        <w:t>Selection of the state in which the project is located allows the program to select the energy price escalation rates for the corresponding census region</w:t>
      </w:r>
      <w:r w:rsidR="008E5E88">
        <w:rPr>
          <w:szCs w:val="24"/>
        </w:rPr>
        <w:t>/division</w:t>
      </w:r>
      <w:r w:rsidRPr="00A81A04">
        <w:rPr>
          <w:szCs w:val="24"/>
        </w:rPr>
        <w:t>.</w:t>
      </w:r>
    </w:p>
    <w:p w14:paraId="242A1554" w14:textId="0AB4FDB3" w:rsidR="00A0199C" w:rsidRDefault="00A0199C" w:rsidP="00A0199C">
      <w:pPr>
        <w:numPr>
          <w:ilvl w:val="2"/>
          <w:numId w:val="2"/>
        </w:numPr>
        <w:spacing w:before="100" w:beforeAutospacing="1" w:after="0" w:line="240" w:lineRule="auto"/>
        <w:rPr>
          <w:szCs w:val="24"/>
        </w:rPr>
      </w:pPr>
      <w:r>
        <w:rPr>
          <w:szCs w:val="24"/>
        </w:rPr>
        <w:t xml:space="preserve">Drop down with </w:t>
      </w:r>
      <w:r w:rsidR="00AA53CE">
        <w:rPr>
          <w:szCs w:val="24"/>
        </w:rPr>
        <w:t xml:space="preserve">list of US </w:t>
      </w:r>
      <w:proofErr w:type="gramStart"/>
      <w:r w:rsidR="00AA53CE">
        <w:rPr>
          <w:szCs w:val="24"/>
        </w:rPr>
        <w:t>states</w:t>
      </w:r>
      <w:proofErr w:type="gramEnd"/>
    </w:p>
    <w:p w14:paraId="43BB5A49" w14:textId="326BB072" w:rsidR="00A81A04" w:rsidRDefault="00DB7077" w:rsidP="00A81A04">
      <w:pPr>
        <w:numPr>
          <w:ilvl w:val="1"/>
          <w:numId w:val="2"/>
        </w:numPr>
        <w:spacing w:before="100" w:beforeAutospacing="1" w:after="0" w:line="240" w:lineRule="auto"/>
        <w:rPr>
          <w:szCs w:val="24"/>
        </w:rPr>
      </w:pPr>
      <w:r>
        <w:rPr>
          <w:szCs w:val="24"/>
        </w:rPr>
        <w:t xml:space="preserve">Selection of ZIP code to map to </w:t>
      </w:r>
      <w:r w:rsidR="00C11A03">
        <w:rPr>
          <w:szCs w:val="24"/>
        </w:rPr>
        <w:t xml:space="preserve">GHG emissions </w:t>
      </w:r>
      <w:r w:rsidR="00593554">
        <w:rPr>
          <w:szCs w:val="24"/>
        </w:rPr>
        <w:t>(not in current EERC)</w:t>
      </w:r>
    </w:p>
    <w:p w14:paraId="685CE28C" w14:textId="4FEE6F37" w:rsidR="00712052" w:rsidRPr="00A81A04" w:rsidRDefault="00712052" w:rsidP="00712052">
      <w:pPr>
        <w:numPr>
          <w:ilvl w:val="2"/>
          <w:numId w:val="2"/>
        </w:numPr>
        <w:spacing w:before="100" w:beforeAutospacing="1" w:after="0" w:line="240" w:lineRule="auto"/>
        <w:rPr>
          <w:szCs w:val="24"/>
        </w:rPr>
      </w:pPr>
      <w:r>
        <w:rPr>
          <w:szCs w:val="24"/>
        </w:rPr>
        <w:t xml:space="preserve">Searchable drop down that is </w:t>
      </w:r>
      <w:r w:rsidR="001F4965">
        <w:rPr>
          <w:szCs w:val="24"/>
        </w:rPr>
        <w:t>filtered by state selection</w:t>
      </w:r>
      <w:r w:rsidR="000806A8">
        <w:rPr>
          <w:szCs w:val="24"/>
        </w:rPr>
        <w:t xml:space="preserve"> to </w:t>
      </w:r>
      <w:r w:rsidR="00A07986">
        <w:rPr>
          <w:szCs w:val="24"/>
        </w:rPr>
        <w:t xml:space="preserve">ZIP codes in the </w:t>
      </w:r>
      <w:proofErr w:type="gramStart"/>
      <w:r w:rsidR="00A07986">
        <w:rPr>
          <w:szCs w:val="24"/>
        </w:rPr>
        <w:t>state</w:t>
      </w:r>
      <w:proofErr w:type="gramEnd"/>
    </w:p>
    <w:p w14:paraId="496D733C" w14:textId="77777777" w:rsidR="00340986" w:rsidRDefault="008F4D5F" w:rsidP="008F4D5F">
      <w:pPr>
        <w:numPr>
          <w:ilvl w:val="0"/>
          <w:numId w:val="2"/>
        </w:numPr>
        <w:spacing w:before="100" w:beforeAutospacing="1" w:after="0" w:line="240" w:lineRule="auto"/>
        <w:rPr>
          <w:szCs w:val="24"/>
        </w:rPr>
      </w:pPr>
      <w:r w:rsidRPr="00A81A04">
        <w:rPr>
          <w:szCs w:val="24"/>
        </w:rPr>
        <w:t>Sector</w:t>
      </w:r>
    </w:p>
    <w:p w14:paraId="074D501E" w14:textId="0EE0CC3B" w:rsidR="008F4D5F" w:rsidRDefault="008F4D5F" w:rsidP="00340986">
      <w:pPr>
        <w:numPr>
          <w:ilvl w:val="1"/>
          <w:numId w:val="2"/>
        </w:numPr>
        <w:spacing w:before="100" w:beforeAutospacing="1" w:after="0" w:line="240" w:lineRule="auto"/>
        <w:rPr>
          <w:szCs w:val="24"/>
        </w:rPr>
      </w:pPr>
      <w:r w:rsidRPr="00A81A04">
        <w:rPr>
          <w:szCs w:val="24"/>
        </w:rPr>
        <w:t>Selection of commercial or industrial sector determines the type of utility rate schedule applied to the energy cost calculation.</w:t>
      </w:r>
    </w:p>
    <w:p w14:paraId="6107B61E" w14:textId="3113B4C9" w:rsidR="00374F36" w:rsidRDefault="00374F36" w:rsidP="00340986">
      <w:pPr>
        <w:numPr>
          <w:ilvl w:val="1"/>
          <w:numId w:val="2"/>
        </w:numPr>
        <w:spacing w:before="100" w:beforeAutospacing="1" w:after="0" w:line="240" w:lineRule="auto"/>
        <w:rPr>
          <w:szCs w:val="24"/>
        </w:rPr>
      </w:pPr>
      <w:r>
        <w:rPr>
          <w:szCs w:val="24"/>
        </w:rPr>
        <w:t xml:space="preserve">Drop down </w:t>
      </w:r>
      <w:proofErr w:type="gramStart"/>
      <w:r>
        <w:rPr>
          <w:szCs w:val="24"/>
        </w:rPr>
        <w:t>menu</w:t>
      </w:r>
      <w:proofErr w:type="gramEnd"/>
    </w:p>
    <w:p w14:paraId="5C0B5118" w14:textId="4F5D7A90" w:rsidR="00374F36" w:rsidRDefault="00A07986" w:rsidP="00374F36">
      <w:pPr>
        <w:numPr>
          <w:ilvl w:val="2"/>
          <w:numId w:val="2"/>
        </w:numPr>
        <w:spacing w:before="100" w:beforeAutospacing="1" w:after="0" w:line="240" w:lineRule="auto"/>
        <w:rPr>
          <w:szCs w:val="24"/>
        </w:rPr>
      </w:pPr>
      <w:r>
        <w:rPr>
          <w:szCs w:val="24"/>
        </w:rPr>
        <w:t>Commercial</w:t>
      </w:r>
    </w:p>
    <w:p w14:paraId="5033C313" w14:textId="4D516F3A" w:rsidR="00A07986" w:rsidRPr="00A81A04" w:rsidRDefault="00A07986" w:rsidP="00374F36">
      <w:pPr>
        <w:numPr>
          <w:ilvl w:val="2"/>
          <w:numId w:val="2"/>
        </w:numPr>
        <w:spacing w:before="100" w:beforeAutospacing="1" w:after="0" w:line="240" w:lineRule="auto"/>
        <w:rPr>
          <w:szCs w:val="24"/>
        </w:rPr>
      </w:pPr>
      <w:r>
        <w:rPr>
          <w:szCs w:val="24"/>
        </w:rPr>
        <w:t>Industrial</w:t>
      </w:r>
    </w:p>
    <w:p w14:paraId="3C074167" w14:textId="48210F05" w:rsidR="008F4D5F" w:rsidRPr="00A81A04" w:rsidRDefault="008F4D5F" w:rsidP="00891BEA">
      <w:pPr>
        <w:numPr>
          <w:ilvl w:val="0"/>
          <w:numId w:val="2"/>
        </w:numPr>
        <w:spacing w:before="100" w:beforeAutospacing="1" w:after="0" w:line="240" w:lineRule="auto"/>
        <w:rPr>
          <w:szCs w:val="24"/>
        </w:rPr>
      </w:pPr>
      <w:r w:rsidRPr="00A81A04">
        <w:rPr>
          <w:szCs w:val="24"/>
        </w:rPr>
        <w:t xml:space="preserve">User must make a selection of </w:t>
      </w:r>
      <w:r w:rsidR="00891BEA">
        <w:rPr>
          <w:szCs w:val="24"/>
        </w:rPr>
        <w:t>all 3</w:t>
      </w:r>
      <w:r w:rsidRPr="00A81A04">
        <w:rPr>
          <w:szCs w:val="24"/>
        </w:rPr>
        <w:t xml:space="preserve"> </w:t>
      </w:r>
      <w:proofErr w:type="gramStart"/>
      <w:r w:rsidRPr="00A81A04">
        <w:rPr>
          <w:szCs w:val="24"/>
        </w:rPr>
        <w:t>inputs</w:t>
      </w:r>
      <w:proofErr w:type="gramEnd"/>
    </w:p>
    <w:p w14:paraId="7D64D03A" w14:textId="77777777" w:rsidR="008F4D5F" w:rsidRPr="0010780E" w:rsidRDefault="008F4D5F" w:rsidP="008F4D5F">
      <w:pPr>
        <w:spacing w:before="100" w:beforeAutospacing="1"/>
        <w:rPr>
          <w:szCs w:val="24"/>
        </w:rPr>
      </w:pPr>
      <w:r>
        <w:rPr>
          <w:b/>
          <w:bCs/>
          <w:szCs w:val="24"/>
        </w:rPr>
        <w:t>Contract Term</w:t>
      </w:r>
      <w:r w:rsidRPr="0010780E">
        <w:rPr>
          <w:b/>
          <w:bCs/>
          <w:szCs w:val="24"/>
        </w:rPr>
        <w:t>:</w:t>
      </w:r>
    </w:p>
    <w:p w14:paraId="1F9529AC" w14:textId="77777777" w:rsidR="008F4D5F" w:rsidRPr="00683BCE" w:rsidRDefault="008F4D5F" w:rsidP="008F4D5F">
      <w:pPr>
        <w:numPr>
          <w:ilvl w:val="0"/>
          <w:numId w:val="3"/>
        </w:numPr>
        <w:spacing w:before="100" w:beforeAutospacing="1" w:after="0" w:line="240" w:lineRule="auto"/>
        <w:rPr>
          <w:szCs w:val="24"/>
        </w:rPr>
      </w:pPr>
      <w:r w:rsidRPr="00683BCE">
        <w:rPr>
          <w:szCs w:val="24"/>
        </w:rPr>
        <w:t>Start Date: Year of contract award/signing.</w:t>
      </w:r>
    </w:p>
    <w:p w14:paraId="386C74D7" w14:textId="77777777" w:rsidR="008F4D5F" w:rsidRPr="00683BCE" w:rsidRDefault="008F4D5F" w:rsidP="008F4D5F">
      <w:pPr>
        <w:numPr>
          <w:ilvl w:val="1"/>
          <w:numId w:val="3"/>
        </w:numPr>
        <w:tabs>
          <w:tab w:val="left" w:pos="720"/>
        </w:tabs>
        <w:spacing w:before="100" w:beforeAutospacing="1" w:after="0" w:line="240" w:lineRule="auto"/>
        <w:rPr>
          <w:szCs w:val="24"/>
        </w:rPr>
      </w:pPr>
      <w:r w:rsidRPr="00683BCE">
        <w:rPr>
          <w:szCs w:val="24"/>
        </w:rPr>
        <w:t xml:space="preserve">User must select a start date </w:t>
      </w:r>
      <w:proofErr w:type="gramStart"/>
      <w:r w:rsidRPr="00683BCE">
        <w:rPr>
          <w:szCs w:val="24"/>
        </w:rPr>
        <w:t>year</w:t>
      </w:r>
      <w:proofErr w:type="gramEnd"/>
    </w:p>
    <w:p w14:paraId="7394A484" w14:textId="1323C209" w:rsidR="00D7384A" w:rsidRDefault="00D7384A" w:rsidP="008F4D5F">
      <w:pPr>
        <w:numPr>
          <w:ilvl w:val="1"/>
          <w:numId w:val="3"/>
        </w:numPr>
        <w:tabs>
          <w:tab w:val="left" w:pos="720"/>
        </w:tabs>
        <w:spacing w:before="100" w:beforeAutospacing="1" w:after="0" w:line="240" w:lineRule="auto"/>
        <w:rPr>
          <w:szCs w:val="24"/>
        </w:rPr>
      </w:pPr>
      <w:r>
        <w:rPr>
          <w:szCs w:val="24"/>
        </w:rPr>
        <w:t xml:space="preserve">Drop down menu with </w:t>
      </w:r>
      <w:proofErr w:type="gramStart"/>
      <w:r>
        <w:rPr>
          <w:szCs w:val="24"/>
        </w:rPr>
        <w:t>years</w:t>
      </w:r>
      <w:proofErr w:type="gramEnd"/>
    </w:p>
    <w:p w14:paraId="33CB2F47" w14:textId="1FAE0F7B" w:rsidR="008F4D5F" w:rsidRPr="00683BCE" w:rsidRDefault="008F4D5F" w:rsidP="00D7384A">
      <w:pPr>
        <w:numPr>
          <w:ilvl w:val="2"/>
          <w:numId w:val="3"/>
        </w:numPr>
        <w:tabs>
          <w:tab w:val="left" w:pos="720"/>
        </w:tabs>
        <w:spacing w:before="100" w:beforeAutospacing="1" w:after="0" w:line="240" w:lineRule="auto"/>
        <w:rPr>
          <w:szCs w:val="24"/>
        </w:rPr>
      </w:pPr>
      <w:r w:rsidRPr="00683BCE">
        <w:rPr>
          <w:szCs w:val="24"/>
        </w:rPr>
        <w:t xml:space="preserve">Options are limited to the next 3 </w:t>
      </w:r>
      <w:proofErr w:type="gramStart"/>
      <w:r w:rsidRPr="00683BCE">
        <w:rPr>
          <w:szCs w:val="24"/>
        </w:rPr>
        <w:t>years</w:t>
      </w:r>
      <w:proofErr w:type="gramEnd"/>
    </w:p>
    <w:p w14:paraId="14E18219" w14:textId="77777777" w:rsidR="008F4D5F" w:rsidRPr="00683BCE" w:rsidRDefault="008F4D5F" w:rsidP="008F4D5F">
      <w:pPr>
        <w:numPr>
          <w:ilvl w:val="0"/>
          <w:numId w:val="3"/>
        </w:numPr>
        <w:spacing w:before="100" w:beforeAutospacing="1" w:after="0" w:line="240" w:lineRule="auto"/>
        <w:rPr>
          <w:szCs w:val="24"/>
        </w:rPr>
      </w:pPr>
      <w:r w:rsidRPr="00683BCE">
        <w:rPr>
          <w:szCs w:val="24"/>
        </w:rPr>
        <w:t>Years Duration: Number of years of the contract term.</w:t>
      </w:r>
    </w:p>
    <w:p w14:paraId="2A48C19D" w14:textId="77777777" w:rsidR="008F4D5F" w:rsidRPr="00683BCE" w:rsidRDefault="008F4D5F" w:rsidP="008F4D5F">
      <w:pPr>
        <w:numPr>
          <w:ilvl w:val="1"/>
          <w:numId w:val="3"/>
        </w:numPr>
        <w:tabs>
          <w:tab w:val="left" w:pos="720"/>
        </w:tabs>
        <w:spacing w:before="100" w:beforeAutospacing="1" w:after="0" w:line="240" w:lineRule="auto"/>
        <w:rPr>
          <w:szCs w:val="24"/>
        </w:rPr>
      </w:pPr>
      <w:r w:rsidRPr="00683BCE">
        <w:rPr>
          <w:szCs w:val="24"/>
        </w:rPr>
        <w:t xml:space="preserve">User must make a selection for the </w:t>
      </w:r>
      <w:proofErr w:type="gramStart"/>
      <w:r w:rsidRPr="00683BCE">
        <w:rPr>
          <w:szCs w:val="24"/>
        </w:rPr>
        <w:t>duration</w:t>
      </w:r>
      <w:proofErr w:type="gramEnd"/>
    </w:p>
    <w:p w14:paraId="44387748" w14:textId="50CFA8D0" w:rsidR="008F4D5F" w:rsidRPr="007B1978" w:rsidRDefault="008F4D5F" w:rsidP="008F4D5F">
      <w:pPr>
        <w:numPr>
          <w:ilvl w:val="1"/>
          <w:numId w:val="3"/>
        </w:numPr>
        <w:tabs>
          <w:tab w:val="left" w:pos="720"/>
        </w:tabs>
        <w:spacing w:before="100" w:beforeAutospacing="1" w:after="0" w:line="240" w:lineRule="auto"/>
        <w:rPr>
          <w:b/>
          <w:bCs/>
          <w:szCs w:val="24"/>
        </w:rPr>
      </w:pPr>
      <w:r w:rsidRPr="00683BCE">
        <w:rPr>
          <w:szCs w:val="24"/>
        </w:rPr>
        <w:t xml:space="preserve">The duration is limited between 10 years and 25 </w:t>
      </w:r>
      <w:proofErr w:type="gramStart"/>
      <w:r w:rsidRPr="00683BCE">
        <w:rPr>
          <w:szCs w:val="24"/>
        </w:rPr>
        <w:t>years</w:t>
      </w:r>
      <w:proofErr w:type="gramEnd"/>
    </w:p>
    <w:p w14:paraId="498C1AF7" w14:textId="50BC8B93" w:rsidR="007B1978" w:rsidRPr="007B1978" w:rsidRDefault="007B1978" w:rsidP="007B1978">
      <w:pPr>
        <w:numPr>
          <w:ilvl w:val="0"/>
          <w:numId w:val="3"/>
        </w:numPr>
        <w:tabs>
          <w:tab w:val="left" w:pos="720"/>
        </w:tabs>
        <w:spacing w:before="100" w:beforeAutospacing="1" w:after="0" w:line="240" w:lineRule="auto"/>
        <w:rPr>
          <w:b/>
          <w:bCs/>
          <w:szCs w:val="24"/>
        </w:rPr>
      </w:pPr>
      <w:r>
        <w:rPr>
          <w:szCs w:val="24"/>
        </w:rPr>
        <w:t xml:space="preserve">Display </w:t>
      </w:r>
      <w:r w:rsidR="00226783">
        <w:rPr>
          <w:szCs w:val="24"/>
        </w:rPr>
        <w:t xml:space="preserve">duration as a start year and end year based on </w:t>
      </w:r>
      <w:proofErr w:type="gramStart"/>
      <w:r w:rsidR="00226783">
        <w:rPr>
          <w:szCs w:val="24"/>
        </w:rPr>
        <w:t>inputs</w:t>
      </w:r>
      <w:proofErr w:type="gramEnd"/>
    </w:p>
    <w:p w14:paraId="768262FD" w14:textId="6E230034" w:rsidR="007B1978" w:rsidRPr="00247C78" w:rsidRDefault="00247C78" w:rsidP="007B1978">
      <w:pPr>
        <w:numPr>
          <w:ilvl w:val="1"/>
          <w:numId w:val="3"/>
        </w:numPr>
        <w:tabs>
          <w:tab w:val="left" w:pos="720"/>
        </w:tabs>
        <w:spacing w:before="100" w:beforeAutospacing="1" w:after="0" w:line="240" w:lineRule="auto"/>
        <w:rPr>
          <w:szCs w:val="24"/>
        </w:rPr>
      </w:pPr>
      <w:r w:rsidRPr="00247C78">
        <w:rPr>
          <w:szCs w:val="24"/>
        </w:rPr>
        <w:t>XXXX-YYYY</w:t>
      </w:r>
    </w:p>
    <w:p w14:paraId="535CC8EA" w14:textId="53DED410" w:rsidR="00E52557" w:rsidRDefault="008F4D5F" w:rsidP="008F4D5F">
      <w:pPr>
        <w:spacing w:before="100" w:beforeAutospacing="1"/>
        <w:rPr>
          <w:szCs w:val="24"/>
        </w:rPr>
      </w:pPr>
      <w:r>
        <w:rPr>
          <w:b/>
          <w:bCs/>
          <w:szCs w:val="24"/>
        </w:rPr>
        <w:t>Social Cost of Carbon (SCC) Assumptions</w:t>
      </w:r>
      <w:r w:rsidRPr="0010780E">
        <w:rPr>
          <w:b/>
          <w:bCs/>
          <w:szCs w:val="24"/>
        </w:rPr>
        <w:t>:</w:t>
      </w:r>
    </w:p>
    <w:p w14:paraId="6A934B8A" w14:textId="1382C474" w:rsidR="00E52557" w:rsidRPr="00683BCE" w:rsidRDefault="002240AB" w:rsidP="00E52557">
      <w:pPr>
        <w:numPr>
          <w:ilvl w:val="0"/>
          <w:numId w:val="3"/>
        </w:numPr>
        <w:spacing w:before="100" w:beforeAutospacing="1" w:after="0" w:line="240" w:lineRule="auto"/>
        <w:rPr>
          <w:szCs w:val="24"/>
        </w:rPr>
      </w:pPr>
      <w:r>
        <w:rPr>
          <w:szCs w:val="24"/>
        </w:rPr>
        <w:t xml:space="preserve">SCC </w:t>
      </w:r>
      <w:r w:rsidR="00246BA4">
        <w:rPr>
          <w:szCs w:val="24"/>
        </w:rPr>
        <w:t>Scenario</w:t>
      </w:r>
      <w:r>
        <w:rPr>
          <w:szCs w:val="24"/>
        </w:rPr>
        <w:t>s</w:t>
      </w:r>
    </w:p>
    <w:p w14:paraId="2FC5D73C" w14:textId="0A099844" w:rsidR="00E52557" w:rsidRDefault="00F40FF7" w:rsidP="00E52557">
      <w:pPr>
        <w:numPr>
          <w:ilvl w:val="1"/>
          <w:numId w:val="3"/>
        </w:numPr>
        <w:tabs>
          <w:tab w:val="left" w:pos="720"/>
        </w:tabs>
        <w:spacing w:before="100" w:beforeAutospacing="1" w:after="0" w:line="240" w:lineRule="auto"/>
        <w:rPr>
          <w:szCs w:val="24"/>
        </w:rPr>
      </w:pPr>
      <w:r>
        <w:rPr>
          <w:szCs w:val="24"/>
        </w:rPr>
        <w:t xml:space="preserve">Drop down </w:t>
      </w:r>
      <w:proofErr w:type="gramStart"/>
      <w:r>
        <w:rPr>
          <w:szCs w:val="24"/>
        </w:rPr>
        <w:t>menu</w:t>
      </w:r>
      <w:proofErr w:type="gramEnd"/>
    </w:p>
    <w:p w14:paraId="2D231E47" w14:textId="2C7D34DE" w:rsidR="00F40FF7" w:rsidRDefault="00101855" w:rsidP="00101855">
      <w:pPr>
        <w:numPr>
          <w:ilvl w:val="2"/>
          <w:numId w:val="3"/>
        </w:numPr>
        <w:tabs>
          <w:tab w:val="left" w:pos="720"/>
        </w:tabs>
        <w:spacing w:before="100" w:beforeAutospacing="1" w:after="0" w:line="240" w:lineRule="auto"/>
        <w:rPr>
          <w:szCs w:val="24"/>
        </w:rPr>
      </w:pPr>
      <w:r>
        <w:rPr>
          <w:szCs w:val="24"/>
        </w:rPr>
        <w:t xml:space="preserve">Matched by data vintage </w:t>
      </w:r>
      <w:proofErr w:type="gramStart"/>
      <w:r>
        <w:rPr>
          <w:szCs w:val="24"/>
        </w:rPr>
        <w:t>selected</w:t>
      </w:r>
      <w:proofErr w:type="gramEnd"/>
    </w:p>
    <w:p w14:paraId="5A61E2A4" w14:textId="5C0A9DEC" w:rsidR="00101855" w:rsidRDefault="00CE3BFE" w:rsidP="00101855">
      <w:pPr>
        <w:numPr>
          <w:ilvl w:val="2"/>
          <w:numId w:val="3"/>
        </w:numPr>
        <w:tabs>
          <w:tab w:val="left" w:pos="720"/>
        </w:tabs>
        <w:spacing w:before="100" w:beforeAutospacing="1" w:after="0" w:line="240" w:lineRule="auto"/>
        <w:rPr>
          <w:szCs w:val="24"/>
        </w:rPr>
      </w:pPr>
      <w:r>
        <w:rPr>
          <w:szCs w:val="24"/>
        </w:rPr>
        <w:t>Options</w:t>
      </w:r>
      <w:r w:rsidR="00695ABB">
        <w:rPr>
          <w:szCs w:val="24"/>
        </w:rPr>
        <w:t xml:space="preserve"> are based on that vintage </w:t>
      </w:r>
      <w:proofErr w:type="gramStart"/>
      <w:r w:rsidR="00695ABB">
        <w:rPr>
          <w:szCs w:val="24"/>
        </w:rPr>
        <w:t>year</w:t>
      </w:r>
      <w:proofErr w:type="gramEnd"/>
    </w:p>
    <w:p w14:paraId="1E5950E9" w14:textId="490F7F4A" w:rsidR="00695ABB" w:rsidRDefault="00695ABB" w:rsidP="00C82615">
      <w:pPr>
        <w:numPr>
          <w:ilvl w:val="3"/>
          <w:numId w:val="3"/>
        </w:numPr>
        <w:tabs>
          <w:tab w:val="left" w:pos="720"/>
        </w:tabs>
        <w:spacing w:before="100" w:beforeAutospacing="1" w:after="0" w:line="240" w:lineRule="auto"/>
        <w:rPr>
          <w:szCs w:val="24"/>
        </w:rPr>
      </w:pPr>
      <w:r>
        <w:rPr>
          <w:szCs w:val="24"/>
        </w:rPr>
        <w:t>YEAR – No SCC</w:t>
      </w:r>
      <w:r w:rsidR="00C82615">
        <w:rPr>
          <w:szCs w:val="24"/>
        </w:rPr>
        <w:t xml:space="preserve"> - $X</w:t>
      </w:r>
    </w:p>
    <w:p w14:paraId="5AC69991" w14:textId="0ED8B859" w:rsidR="00695ABB" w:rsidRDefault="00695ABB" w:rsidP="00C82615">
      <w:pPr>
        <w:numPr>
          <w:ilvl w:val="3"/>
          <w:numId w:val="3"/>
        </w:numPr>
        <w:tabs>
          <w:tab w:val="left" w:pos="720"/>
        </w:tabs>
        <w:spacing w:before="100" w:beforeAutospacing="1" w:after="0" w:line="240" w:lineRule="auto"/>
        <w:rPr>
          <w:szCs w:val="24"/>
        </w:rPr>
      </w:pPr>
      <w:r>
        <w:rPr>
          <w:szCs w:val="24"/>
        </w:rPr>
        <w:t xml:space="preserve">YEAR </w:t>
      </w:r>
      <w:r w:rsidR="00C82615">
        <w:rPr>
          <w:szCs w:val="24"/>
        </w:rPr>
        <w:t>–</w:t>
      </w:r>
      <w:r>
        <w:rPr>
          <w:szCs w:val="24"/>
        </w:rPr>
        <w:t xml:space="preserve"> </w:t>
      </w:r>
      <w:r w:rsidR="00C82615">
        <w:rPr>
          <w:szCs w:val="24"/>
        </w:rPr>
        <w:t>Low</w:t>
      </w:r>
      <w:r w:rsidR="00C82615">
        <w:rPr>
          <w:szCs w:val="24"/>
        </w:rPr>
        <w:t xml:space="preserve"> - $X</w:t>
      </w:r>
    </w:p>
    <w:p w14:paraId="11A8423D" w14:textId="2B24EF99" w:rsidR="00C82615" w:rsidRDefault="00C82615" w:rsidP="00C82615">
      <w:pPr>
        <w:numPr>
          <w:ilvl w:val="3"/>
          <w:numId w:val="3"/>
        </w:numPr>
        <w:tabs>
          <w:tab w:val="left" w:pos="720"/>
        </w:tabs>
        <w:spacing w:before="100" w:beforeAutospacing="1" w:after="0" w:line="240" w:lineRule="auto"/>
        <w:rPr>
          <w:szCs w:val="24"/>
        </w:rPr>
      </w:pPr>
      <w:r>
        <w:rPr>
          <w:szCs w:val="24"/>
        </w:rPr>
        <w:t>YEAR – Medium</w:t>
      </w:r>
      <w:r>
        <w:rPr>
          <w:szCs w:val="24"/>
        </w:rPr>
        <w:t xml:space="preserve"> - $X</w:t>
      </w:r>
    </w:p>
    <w:p w14:paraId="7C4A6983" w14:textId="06328087" w:rsidR="00C82615" w:rsidRPr="00C82615" w:rsidRDefault="00C82615" w:rsidP="00C82615">
      <w:pPr>
        <w:numPr>
          <w:ilvl w:val="3"/>
          <w:numId w:val="3"/>
        </w:numPr>
        <w:tabs>
          <w:tab w:val="left" w:pos="720"/>
        </w:tabs>
        <w:spacing w:before="100" w:beforeAutospacing="1" w:after="0" w:line="240" w:lineRule="auto"/>
        <w:rPr>
          <w:szCs w:val="24"/>
        </w:rPr>
      </w:pPr>
      <w:r>
        <w:rPr>
          <w:szCs w:val="24"/>
        </w:rPr>
        <w:t>YEAR – High</w:t>
      </w:r>
      <w:r>
        <w:rPr>
          <w:szCs w:val="24"/>
        </w:rPr>
        <w:t xml:space="preserve"> - $X</w:t>
      </w:r>
    </w:p>
    <w:p w14:paraId="4544D76D" w14:textId="467360FE" w:rsidR="008F4D5F" w:rsidRPr="0010780E" w:rsidRDefault="008F4D5F" w:rsidP="008F4D5F">
      <w:pPr>
        <w:spacing w:before="100" w:beforeAutospacing="1"/>
        <w:rPr>
          <w:szCs w:val="24"/>
        </w:rPr>
      </w:pPr>
      <w:r w:rsidRPr="0010780E">
        <w:rPr>
          <w:szCs w:val="24"/>
        </w:rPr>
        <w:t>Selection of one of the following carbon pricing scenarios:</w:t>
      </w:r>
    </w:p>
    <w:p w14:paraId="7D095B5E" w14:textId="77777777" w:rsidR="008F4D5F" w:rsidRPr="0010780E" w:rsidRDefault="008F4D5F" w:rsidP="008F4D5F">
      <w:pPr>
        <w:numPr>
          <w:ilvl w:val="0"/>
          <w:numId w:val="4"/>
        </w:numPr>
        <w:spacing w:after="0" w:line="240" w:lineRule="auto"/>
        <w:rPr>
          <w:szCs w:val="24"/>
        </w:rPr>
      </w:pPr>
      <w:r>
        <w:rPr>
          <w:szCs w:val="24"/>
        </w:rPr>
        <w:t xml:space="preserve">No SCC - $0 </w:t>
      </w:r>
    </w:p>
    <w:p w14:paraId="6B031F21" w14:textId="77777777" w:rsidR="008F4D5F" w:rsidRPr="0010780E" w:rsidRDefault="008F4D5F" w:rsidP="008F4D5F">
      <w:pPr>
        <w:numPr>
          <w:ilvl w:val="1"/>
          <w:numId w:val="4"/>
        </w:numPr>
        <w:spacing w:after="0" w:line="240" w:lineRule="auto"/>
        <w:rPr>
          <w:szCs w:val="24"/>
        </w:rPr>
      </w:pPr>
      <w:r w:rsidRPr="0010780E">
        <w:rPr>
          <w:szCs w:val="24"/>
        </w:rPr>
        <w:t xml:space="preserve">Assumes that </w:t>
      </w:r>
      <w:r>
        <w:rPr>
          <w:szCs w:val="24"/>
        </w:rPr>
        <w:t xml:space="preserve">SCC is zero for the entire contract </w:t>
      </w:r>
      <w:proofErr w:type="gramStart"/>
      <w:r>
        <w:rPr>
          <w:szCs w:val="24"/>
        </w:rPr>
        <w:t>term</w:t>
      </w:r>
      <w:proofErr w:type="gramEnd"/>
    </w:p>
    <w:p w14:paraId="71CE2A19" w14:textId="77777777" w:rsidR="008F4D5F" w:rsidRPr="0010780E" w:rsidRDefault="008F4D5F" w:rsidP="008F4D5F">
      <w:pPr>
        <w:numPr>
          <w:ilvl w:val="1"/>
          <w:numId w:val="4"/>
        </w:numPr>
        <w:spacing w:after="0" w:line="240" w:lineRule="auto"/>
        <w:rPr>
          <w:szCs w:val="24"/>
        </w:rPr>
      </w:pPr>
      <w:r w:rsidRPr="0010780E">
        <w:rPr>
          <w:szCs w:val="24"/>
        </w:rPr>
        <w:lastRenderedPageBreak/>
        <w:t xml:space="preserve">Uses annual energy price forecasts of the Energy Information Administration, which do not account for </w:t>
      </w:r>
      <w:r>
        <w:rPr>
          <w:szCs w:val="24"/>
        </w:rPr>
        <w:t xml:space="preserve">estimated </w:t>
      </w:r>
      <w:proofErr w:type="gramStart"/>
      <w:r>
        <w:rPr>
          <w:szCs w:val="24"/>
        </w:rPr>
        <w:t>SCC</w:t>
      </w:r>
      <w:proofErr w:type="gramEnd"/>
    </w:p>
    <w:p w14:paraId="0D31FDB1" w14:textId="77777777" w:rsidR="008F4D5F" w:rsidRDefault="008F4D5F" w:rsidP="008F4D5F">
      <w:pPr>
        <w:numPr>
          <w:ilvl w:val="0"/>
          <w:numId w:val="4"/>
        </w:numPr>
        <w:spacing w:after="0" w:line="240" w:lineRule="auto"/>
        <w:rPr>
          <w:szCs w:val="24"/>
        </w:rPr>
      </w:pPr>
      <w:r w:rsidRPr="00A77053">
        <w:rPr>
          <w:szCs w:val="24"/>
        </w:rPr>
        <w:t>Low - $1</w:t>
      </w:r>
      <w:r>
        <w:rPr>
          <w:szCs w:val="24"/>
        </w:rPr>
        <w:t>8</w:t>
      </w:r>
      <w:r w:rsidRPr="00A77053">
        <w:rPr>
          <w:szCs w:val="24"/>
        </w:rPr>
        <w:t xml:space="preserve"> in 202</w:t>
      </w:r>
      <w:r>
        <w:rPr>
          <w:szCs w:val="24"/>
        </w:rPr>
        <w:t>3</w:t>
      </w:r>
    </w:p>
    <w:p w14:paraId="51DE2579" w14:textId="77777777" w:rsidR="008F4D5F" w:rsidRPr="00344AE2" w:rsidRDefault="008F4D5F" w:rsidP="008F4D5F">
      <w:pPr>
        <w:numPr>
          <w:ilvl w:val="1"/>
          <w:numId w:val="4"/>
        </w:numPr>
        <w:spacing w:after="0" w:line="240" w:lineRule="auto"/>
        <w:rPr>
          <w:szCs w:val="24"/>
        </w:rPr>
      </w:pPr>
      <w:r>
        <w:rPr>
          <w:szCs w:val="24"/>
        </w:rPr>
        <w:t>A</w:t>
      </w:r>
      <w:r w:rsidRPr="001D2EBF">
        <w:rPr>
          <w:szCs w:val="24"/>
        </w:rPr>
        <w:t xml:space="preserve">verage </w:t>
      </w:r>
      <w:r>
        <w:rPr>
          <w:szCs w:val="24"/>
        </w:rPr>
        <w:t>SCC</w:t>
      </w:r>
      <w:r w:rsidRPr="001D2EBF">
        <w:rPr>
          <w:szCs w:val="24"/>
        </w:rPr>
        <w:t xml:space="preserve"> assuming a 5 % discount rate</w:t>
      </w:r>
      <w:r>
        <w:rPr>
          <w:szCs w:val="24"/>
        </w:rPr>
        <w:t xml:space="preserve"> (i.e., </w:t>
      </w:r>
      <w:r w:rsidRPr="00094217">
        <w:rPr>
          <w:color w:val="201F1E"/>
          <w:szCs w:val="24"/>
          <w:shd w:val="clear" w:color="auto" w:fill="FFFFFF"/>
        </w:rPr>
        <w:t>5</w:t>
      </w:r>
      <w:r>
        <w:rPr>
          <w:color w:val="201F1E"/>
          <w:szCs w:val="24"/>
          <w:shd w:val="clear" w:color="auto" w:fill="FFFFFF"/>
        </w:rPr>
        <w:t xml:space="preserve"> </w:t>
      </w:r>
      <w:r w:rsidRPr="00094217">
        <w:rPr>
          <w:color w:val="201F1E"/>
          <w:szCs w:val="24"/>
          <w:shd w:val="clear" w:color="auto" w:fill="FFFFFF"/>
        </w:rPr>
        <w:t>% DR (</w:t>
      </w:r>
      <w:r>
        <w:rPr>
          <w:color w:val="201F1E"/>
          <w:szCs w:val="24"/>
          <w:shd w:val="clear" w:color="auto" w:fill="FFFFFF"/>
        </w:rPr>
        <w:t>and a</w:t>
      </w:r>
      <w:r w:rsidRPr="00094217">
        <w:rPr>
          <w:color w:val="201F1E"/>
          <w:szCs w:val="24"/>
          <w:shd w:val="clear" w:color="auto" w:fill="FFFFFF"/>
        </w:rPr>
        <w:t>verage</w:t>
      </w:r>
      <w:r>
        <w:rPr>
          <w:color w:val="201F1E"/>
          <w:szCs w:val="24"/>
          <w:shd w:val="clear" w:color="auto" w:fill="FFFFFF"/>
        </w:rPr>
        <w:t xml:space="preserve"> assumption of estimated carbon damages</w:t>
      </w:r>
      <w:r w:rsidRPr="00094217">
        <w:rPr>
          <w:color w:val="201F1E"/>
          <w:szCs w:val="24"/>
          <w:shd w:val="clear" w:color="auto" w:fill="FFFFFF"/>
        </w:rPr>
        <w:t>)</w:t>
      </w:r>
      <w:r>
        <w:rPr>
          <w:color w:val="201F1E"/>
          <w:szCs w:val="24"/>
          <w:shd w:val="clear" w:color="auto" w:fill="FFFFFF"/>
        </w:rPr>
        <w:t>)</w:t>
      </w:r>
    </w:p>
    <w:p w14:paraId="5250794F" w14:textId="77777777" w:rsidR="008F4D5F" w:rsidRDefault="008F4D5F" w:rsidP="008F4D5F">
      <w:pPr>
        <w:numPr>
          <w:ilvl w:val="1"/>
          <w:numId w:val="4"/>
        </w:numPr>
        <w:spacing w:after="0" w:line="240" w:lineRule="auto"/>
        <w:rPr>
          <w:szCs w:val="24"/>
        </w:rPr>
      </w:pPr>
      <w:r>
        <w:rPr>
          <w:color w:val="201F1E"/>
          <w:szCs w:val="24"/>
          <w:shd w:val="clear" w:color="auto" w:fill="FFFFFF"/>
        </w:rPr>
        <w:t xml:space="preserve">SCC starts at $18 in 2023 and increases over </w:t>
      </w:r>
      <w:proofErr w:type="gramStart"/>
      <w:r>
        <w:rPr>
          <w:color w:val="201F1E"/>
          <w:szCs w:val="24"/>
          <w:shd w:val="clear" w:color="auto" w:fill="FFFFFF"/>
        </w:rPr>
        <w:t>time</w:t>
      </w:r>
      <w:proofErr w:type="gramEnd"/>
    </w:p>
    <w:p w14:paraId="744AAA2E" w14:textId="77777777" w:rsidR="008F4D5F" w:rsidRPr="00767DC0" w:rsidRDefault="008F4D5F" w:rsidP="008F4D5F">
      <w:pPr>
        <w:numPr>
          <w:ilvl w:val="1"/>
          <w:numId w:val="4"/>
        </w:numPr>
        <w:tabs>
          <w:tab w:val="left" w:pos="720"/>
        </w:tabs>
        <w:spacing w:after="0" w:line="240" w:lineRule="auto"/>
        <w:rPr>
          <w:szCs w:val="24"/>
        </w:rPr>
      </w:pPr>
      <w:r>
        <w:rPr>
          <w:szCs w:val="24"/>
        </w:rPr>
        <w:t xml:space="preserve">Lower </w:t>
      </w:r>
      <w:r w:rsidRPr="00CD05E5">
        <w:rPr>
          <w:szCs w:val="24"/>
        </w:rPr>
        <w:t>SCC values</w:t>
      </w:r>
      <w:r>
        <w:rPr>
          <w:szCs w:val="24"/>
        </w:rPr>
        <w:t xml:space="preserve"> than with a </w:t>
      </w:r>
      <w:r w:rsidRPr="001D2EBF">
        <w:rPr>
          <w:szCs w:val="24"/>
        </w:rPr>
        <w:t xml:space="preserve">3 % DR </w:t>
      </w:r>
      <w:r>
        <w:rPr>
          <w:szCs w:val="24"/>
        </w:rPr>
        <w:t xml:space="preserve">because future values have a lower present value than in the Medium </w:t>
      </w:r>
      <w:proofErr w:type="gramStart"/>
      <w:r>
        <w:rPr>
          <w:szCs w:val="24"/>
        </w:rPr>
        <w:t>case</w:t>
      </w:r>
      <w:proofErr w:type="gramEnd"/>
    </w:p>
    <w:p w14:paraId="6F6FA8C9" w14:textId="77777777" w:rsidR="008F4D5F" w:rsidRDefault="008F4D5F" w:rsidP="008F4D5F">
      <w:pPr>
        <w:numPr>
          <w:ilvl w:val="0"/>
          <w:numId w:val="4"/>
        </w:numPr>
        <w:spacing w:after="0" w:line="240" w:lineRule="auto"/>
        <w:rPr>
          <w:szCs w:val="24"/>
        </w:rPr>
      </w:pPr>
      <w:r>
        <w:rPr>
          <w:szCs w:val="24"/>
        </w:rPr>
        <w:t>Medium</w:t>
      </w:r>
      <w:r w:rsidRPr="00A77053">
        <w:rPr>
          <w:szCs w:val="24"/>
        </w:rPr>
        <w:t xml:space="preserve"> - $</w:t>
      </w:r>
      <w:r>
        <w:rPr>
          <w:szCs w:val="24"/>
        </w:rPr>
        <w:t>61</w:t>
      </w:r>
      <w:r w:rsidRPr="00A77053">
        <w:rPr>
          <w:szCs w:val="24"/>
        </w:rPr>
        <w:t xml:space="preserve"> in 202</w:t>
      </w:r>
      <w:r>
        <w:rPr>
          <w:szCs w:val="24"/>
        </w:rPr>
        <w:t>3</w:t>
      </w:r>
    </w:p>
    <w:p w14:paraId="29AB0D73" w14:textId="77777777" w:rsidR="008F4D5F" w:rsidRPr="00344AE2" w:rsidRDefault="008F4D5F" w:rsidP="008F4D5F">
      <w:pPr>
        <w:numPr>
          <w:ilvl w:val="1"/>
          <w:numId w:val="4"/>
        </w:numPr>
        <w:spacing w:after="0" w:line="240" w:lineRule="auto"/>
        <w:rPr>
          <w:szCs w:val="24"/>
        </w:rPr>
      </w:pPr>
      <w:r>
        <w:rPr>
          <w:szCs w:val="24"/>
        </w:rPr>
        <w:t>Average SCC</w:t>
      </w:r>
      <w:r w:rsidRPr="001D2EBF">
        <w:rPr>
          <w:szCs w:val="24"/>
        </w:rPr>
        <w:t xml:space="preserve"> assuming a 3 % discount </w:t>
      </w:r>
      <w:proofErr w:type="gramStart"/>
      <w:r w:rsidRPr="001D2EBF">
        <w:rPr>
          <w:szCs w:val="24"/>
        </w:rPr>
        <w:t>rate</w:t>
      </w:r>
      <w:r>
        <w:rPr>
          <w:szCs w:val="24"/>
        </w:rPr>
        <w:t xml:space="preserve">  (</w:t>
      </w:r>
      <w:proofErr w:type="gramEnd"/>
      <w:r>
        <w:rPr>
          <w:szCs w:val="24"/>
        </w:rPr>
        <w:t xml:space="preserve">i.e., </w:t>
      </w:r>
      <w:r>
        <w:rPr>
          <w:color w:val="201F1E"/>
          <w:szCs w:val="24"/>
          <w:shd w:val="clear" w:color="auto" w:fill="FFFFFF"/>
        </w:rPr>
        <w:t xml:space="preserve">3 </w:t>
      </w:r>
      <w:r w:rsidRPr="00094217">
        <w:rPr>
          <w:color w:val="201F1E"/>
          <w:szCs w:val="24"/>
          <w:shd w:val="clear" w:color="auto" w:fill="FFFFFF"/>
        </w:rPr>
        <w:t>% DR (</w:t>
      </w:r>
      <w:r>
        <w:rPr>
          <w:color w:val="201F1E"/>
          <w:szCs w:val="24"/>
          <w:shd w:val="clear" w:color="auto" w:fill="FFFFFF"/>
        </w:rPr>
        <w:t>and a</w:t>
      </w:r>
      <w:r w:rsidRPr="00094217">
        <w:rPr>
          <w:color w:val="201F1E"/>
          <w:szCs w:val="24"/>
          <w:shd w:val="clear" w:color="auto" w:fill="FFFFFF"/>
        </w:rPr>
        <w:t>verage</w:t>
      </w:r>
      <w:r>
        <w:rPr>
          <w:color w:val="201F1E"/>
          <w:szCs w:val="24"/>
          <w:shd w:val="clear" w:color="auto" w:fill="FFFFFF"/>
        </w:rPr>
        <w:t xml:space="preserve"> assumption of estimated carbon damages</w:t>
      </w:r>
      <w:r w:rsidRPr="00094217">
        <w:rPr>
          <w:color w:val="201F1E"/>
          <w:szCs w:val="24"/>
          <w:shd w:val="clear" w:color="auto" w:fill="FFFFFF"/>
        </w:rPr>
        <w:t>)</w:t>
      </w:r>
      <w:r>
        <w:rPr>
          <w:color w:val="201F1E"/>
          <w:szCs w:val="24"/>
          <w:shd w:val="clear" w:color="auto" w:fill="FFFFFF"/>
        </w:rPr>
        <w:t>)</w:t>
      </w:r>
    </w:p>
    <w:p w14:paraId="222FB3F2" w14:textId="77777777" w:rsidR="008F4D5F" w:rsidRDefault="008F4D5F" w:rsidP="008F4D5F">
      <w:pPr>
        <w:numPr>
          <w:ilvl w:val="1"/>
          <w:numId w:val="4"/>
        </w:numPr>
        <w:spacing w:after="0" w:line="240" w:lineRule="auto"/>
        <w:rPr>
          <w:szCs w:val="24"/>
        </w:rPr>
      </w:pPr>
      <w:r>
        <w:rPr>
          <w:color w:val="201F1E"/>
          <w:szCs w:val="24"/>
          <w:shd w:val="clear" w:color="auto" w:fill="FFFFFF"/>
        </w:rPr>
        <w:t xml:space="preserve">SCC starts at $61 in 2023 and increases over </w:t>
      </w:r>
      <w:proofErr w:type="gramStart"/>
      <w:r>
        <w:rPr>
          <w:color w:val="201F1E"/>
          <w:szCs w:val="24"/>
          <w:shd w:val="clear" w:color="auto" w:fill="FFFFFF"/>
        </w:rPr>
        <w:t>time</w:t>
      </w:r>
      <w:proofErr w:type="gramEnd"/>
    </w:p>
    <w:p w14:paraId="1B17031D" w14:textId="77777777" w:rsidR="008F4D5F" w:rsidRDefault="008F4D5F" w:rsidP="008F4D5F">
      <w:pPr>
        <w:numPr>
          <w:ilvl w:val="1"/>
          <w:numId w:val="4"/>
        </w:numPr>
        <w:spacing w:after="0" w:line="240" w:lineRule="auto"/>
        <w:rPr>
          <w:szCs w:val="24"/>
        </w:rPr>
      </w:pPr>
      <w:r>
        <w:rPr>
          <w:szCs w:val="24"/>
        </w:rPr>
        <w:t>R</w:t>
      </w:r>
      <w:r w:rsidRPr="001D2EBF">
        <w:rPr>
          <w:szCs w:val="24"/>
        </w:rPr>
        <w:t xml:space="preserve">epresents the assumptions that best align with the DOE and OMB discount </w:t>
      </w:r>
      <w:proofErr w:type="gramStart"/>
      <w:r w:rsidRPr="001D2EBF">
        <w:rPr>
          <w:szCs w:val="24"/>
        </w:rPr>
        <w:t>rates</w:t>
      </w:r>
      <w:proofErr w:type="gramEnd"/>
    </w:p>
    <w:p w14:paraId="5CDF2BDA" w14:textId="77777777" w:rsidR="008F4D5F" w:rsidRDefault="008F4D5F" w:rsidP="008F4D5F">
      <w:pPr>
        <w:numPr>
          <w:ilvl w:val="0"/>
          <w:numId w:val="4"/>
        </w:numPr>
        <w:spacing w:after="0" w:line="240" w:lineRule="auto"/>
        <w:rPr>
          <w:szCs w:val="24"/>
        </w:rPr>
      </w:pPr>
      <w:r w:rsidRPr="008B5BD6">
        <w:rPr>
          <w:szCs w:val="24"/>
        </w:rPr>
        <w:t>High - $1</w:t>
      </w:r>
      <w:r>
        <w:rPr>
          <w:szCs w:val="24"/>
        </w:rPr>
        <w:t>83</w:t>
      </w:r>
      <w:r w:rsidRPr="008B5BD6">
        <w:rPr>
          <w:szCs w:val="24"/>
        </w:rPr>
        <w:t xml:space="preserve"> in 202</w:t>
      </w:r>
      <w:r>
        <w:rPr>
          <w:szCs w:val="24"/>
        </w:rPr>
        <w:t>3</w:t>
      </w:r>
    </w:p>
    <w:p w14:paraId="78A22C80" w14:textId="77777777" w:rsidR="008F4D5F" w:rsidRPr="00D2336C" w:rsidRDefault="008F4D5F" w:rsidP="008F4D5F">
      <w:pPr>
        <w:numPr>
          <w:ilvl w:val="1"/>
          <w:numId w:val="4"/>
        </w:numPr>
        <w:spacing w:after="0" w:line="240" w:lineRule="auto"/>
        <w:rPr>
          <w:szCs w:val="24"/>
        </w:rPr>
      </w:pPr>
      <w:r w:rsidRPr="001D2EBF">
        <w:rPr>
          <w:szCs w:val="24"/>
        </w:rPr>
        <w:t xml:space="preserve">95th percentile </w:t>
      </w:r>
      <w:r>
        <w:rPr>
          <w:szCs w:val="24"/>
        </w:rPr>
        <w:t>SCC</w:t>
      </w:r>
      <w:r w:rsidRPr="001D2EBF">
        <w:rPr>
          <w:szCs w:val="24"/>
        </w:rPr>
        <w:t xml:space="preserve"> assuming a 3 % discount </w:t>
      </w:r>
      <w:proofErr w:type="gramStart"/>
      <w:r w:rsidRPr="001D2EBF">
        <w:rPr>
          <w:szCs w:val="24"/>
        </w:rPr>
        <w:t>rate</w:t>
      </w:r>
      <w:r>
        <w:rPr>
          <w:szCs w:val="24"/>
        </w:rPr>
        <w:t xml:space="preserve">  (</w:t>
      </w:r>
      <w:proofErr w:type="gramEnd"/>
      <w:r>
        <w:rPr>
          <w:szCs w:val="24"/>
        </w:rPr>
        <w:t xml:space="preserve">i.e., </w:t>
      </w:r>
      <w:r>
        <w:rPr>
          <w:color w:val="201F1E"/>
          <w:szCs w:val="24"/>
          <w:shd w:val="clear" w:color="auto" w:fill="FFFFFF"/>
        </w:rPr>
        <w:t xml:space="preserve">3 </w:t>
      </w:r>
      <w:r w:rsidRPr="00094217">
        <w:rPr>
          <w:color w:val="201F1E"/>
          <w:szCs w:val="24"/>
          <w:shd w:val="clear" w:color="auto" w:fill="FFFFFF"/>
        </w:rPr>
        <w:t>% DR (</w:t>
      </w:r>
      <w:r>
        <w:rPr>
          <w:color w:val="201F1E"/>
          <w:szCs w:val="24"/>
          <w:shd w:val="clear" w:color="auto" w:fill="FFFFFF"/>
        </w:rPr>
        <w:t>95</w:t>
      </w:r>
      <w:r w:rsidRPr="00C1598D">
        <w:rPr>
          <w:color w:val="201F1E"/>
          <w:szCs w:val="24"/>
          <w:shd w:val="clear" w:color="auto" w:fill="FFFFFF"/>
          <w:vertAlign w:val="superscript"/>
        </w:rPr>
        <w:t>th</w:t>
      </w:r>
      <w:r>
        <w:rPr>
          <w:color w:val="201F1E"/>
          <w:szCs w:val="24"/>
          <w:shd w:val="clear" w:color="auto" w:fill="FFFFFF"/>
        </w:rPr>
        <w:t xml:space="preserve"> percentile of estimated carbon damages</w:t>
      </w:r>
      <w:r w:rsidRPr="00094217">
        <w:rPr>
          <w:color w:val="201F1E"/>
          <w:szCs w:val="24"/>
          <w:shd w:val="clear" w:color="auto" w:fill="FFFFFF"/>
        </w:rPr>
        <w:t>)</w:t>
      </w:r>
      <w:r>
        <w:rPr>
          <w:color w:val="201F1E"/>
          <w:szCs w:val="24"/>
          <w:shd w:val="clear" w:color="auto" w:fill="FFFFFF"/>
        </w:rPr>
        <w:t>)</w:t>
      </w:r>
    </w:p>
    <w:p w14:paraId="00921055" w14:textId="77777777" w:rsidR="008F4D5F" w:rsidRDefault="008F4D5F" w:rsidP="008F4D5F">
      <w:pPr>
        <w:numPr>
          <w:ilvl w:val="1"/>
          <w:numId w:val="4"/>
        </w:numPr>
        <w:spacing w:after="0" w:line="240" w:lineRule="auto"/>
        <w:rPr>
          <w:szCs w:val="24"/>
        </w:rPr>
      </w:pPr>
      <w:r>
        <w:rPr>
          <w:color w:val="201F1E"/>
          <w:szCs w:val="24"/>
          <w:shd w:val="clear" w:color="auto" w:fill="FFFFFF"/>
        </w:rPr>
        <w:t xml:space="preserve">SCC starts at $183 in 2023 and increases over </w:t>
      </w:r>
      <w:proofErr w:type="gramStart"/>
      <w:r>
        <w:rPr>
          <w:color w:val="201F1E"/>
          <w:szCs w:val="24"/>
          <w:shd w:val="clear" w:color="auto" w:fill="FFFFFF"/>
        </w:rPr>
        <w:t>time</w:t>
      </w:r>
      <w:proofErr w:type="gramEnd"/>
    </w:p>
    <w:p w14:paraId="7E893AA8" w14:textId="77777777" w:rsidR="008F4D5F" w:rsidRPr="00C82615" w:rsidRDefault="008F4D5F" w:rsidP="008F4D5F">
      <w:pPr>
        <w:pStyle w:val="ListParagraph"/>
        <w:numPr>
          <w:ilvl w:val="1"/>
          <w:numId w:val="4"/>
        </w:numPr>
        <w:tabs>
          <w:tab w:val="clear" w:pos="720"/>
          <w:tab w:val="clear" w:pos="5760"/>
        </w:tabs>
        <w:ind w:right="0"/>
        <w:rPr>
          <w:rFonts w:asciiTheme="minorHAnsi" w:eastAsiaTheme="minorHAnsi" w:hAnsiTheme="minorHAnsi" w:cstheme="minorBidi"/>
          <w:color w:val="auto"/>
          <w:sz w:val="22"/>
          <w:szCs w:val="24"/>
        </w:rPr>
      </w:pPr>
      <w:r w:rsidRPr="00C82615">
        <w:rPr>
          <w:rFonts w:asciiTheme="minorHAnsi" w:eastAsiaTheme="minorHAnsi" w:hAnsiTheme="minorHAnsi" w:cstheme="minorBidi"/>
          <w:color w:val="auto"/>
          <w:sz w:val="22"/>
          <w:szCs w:val="24"/>
        </w:rPr>
        <w:t xml:space="preserve">Higher SCC values than with 3 % DR average because the estimated damages are greater (95th percentile) than in the </w:t>
      </w:r>
      <w:proofErr w:type="gramStart"/>
      <w:r w:rsidRPr="00C82615">
        <w:rPr>
          <w:rFonts w:asciiTheme="minorHAnsi" w:eastAsiaTheme="minorHAnsi" w:hAnsiTheme="minorHAnsi" w:cstheme="minorBidi"/>
          <w:color w:val="auto"/>
          <w:sz w:val="22"/>
          <w:szCs w:val="24"/>
        </w:rPr>
        <w:t>Medium</w:t>
      </w:r>
      <w:proofErr w:type="gramEnd"/>
      <w:r w:rsidRPr="00C82615">
        <w:rPr>
          <w:rFonts w:asciiTheme="minorHAnsi" w:eastAsiaTheme="minorHAnsi" w:hAnsiTheme="minorHAnsi" w:cstheme="minorBidi"/>
          <w:color w:val="auto"/>
          <w:sz w:val="22"/>
          <w:szCs w:val="24"/>
        </w:rPr>
        <w:t xml:space="preserve"> case (50th percentile)</w:t>
      </w:r>
    </w:p>
    <w:p w14:paraId="719C3E8F" w14:textId="77777777" w:rsidR="008F4D5F" w:rsidRDefault="008F4D5F" w:rsidP="008F4D5F">
      <w:pPr>
        <w:rPr>
          <w:b/>
          <w:bCs/>
          <w:szCs w:val="24"/>
        </w:rPr>
      </w:pPr>
    </w:p>
    <w:p w14:paraId="1218DF2D" w14:textId="77777777" w:rsidR="008F4D5F" w:rsidRPr="00D77C40" w:rsidRDefault="008F4D5F" w:rsidP="008F4D5F">
      <w:pPr>
        <w:rPr>
          <w:szCs w:val="24"/>
        </w:rPr>
      </w:pPr>
      <w:r w:rsidRPr="00D77C40">
        <w:rPr>
          <w:b/>
          <w:bCs/>
          <w:szCs w:val="24"/>
        </w:rPr>
        <w:t>Annual Inflation Rate:</w:t>
      </w:r>
      <w:r w:rsidRPr="00D77C40">
        <w:rPr>
          <w:szCs w:val="24"/>
        </w:rPr>
        <w:t xml:space="preserve"> </w:t>
      </w:r>
    </w:p>
    <w:p w14:paraId="5F367220" w14:textId="77777777" w:rsidR="008F4D5F" w:rsidRDefault="008F4D5F" w:rsidP="008F4D5F">
      <w:pPr>
        <w:rPr>
          <w:szCs w:val="24"/>
        </w:rPr>
      </w:pPr>
      <w:r w:rsidRPr="0010780E">
        <w:rPr>
          <w:szCs w:val="24"/>
        </w:rPr>
        <w:t xml:space="preserve">The default rate of inflation is the long-term inflation rate calculated annually by DOE/FEMP using </w:t>
      </w:r>
      <w:r>
        <w:rPr>
          <w:szCs w:val="24"/>
        </w:rPr>
        <w:t xml:space="preserve">CEA data and </w:t>
      </w:r>
      <w:r w:rsidRPr="0010780E">
        <w:rPr>
          <w:szCs w:val="24"/>
        </w:rPr>
        <w:t>the method described in 10 CFR 436, but without consideration of the 3.0 % floor for the real discount rate. The default inflation rate does not account for the discount rate floor to accommodate the need for market-based projections of future energy prices in contract negotiations. Otherwise, the default inflation rate would be artificially low in years when the 3.0</w:t>
      </w:r>
      <w:r>
        <w:rPr>
          <w:szCs w:val="24"/>
        </w:rPr>
        <w:t> </w:t>
      </w:r>
      <w:r w:rsidRPr="0010780E">
        <w:rPr>
          <w:szCs w:val="24"/>
        </w:rPr>
        <w:t>% floor applies. The inflation rate may be edited.</w:t>
      </w:r>
    </w:p>
    <w:p w14:paraId="11E59FA8" w14:textId="00E3C661" w:rsidR="006036DD" w:rsidRPr="006036DD" w:rsidRDefault="007A0F23" w:rsidP="008F4D5F">
      <w:pPr>
        <w:numPr>
          <w:ilvl w:val="0"/>
          <w:numId w:val="5"/>
        </w:numPr>
        <w:spacing w:after="0" w:line="240" w:lineRule="auto"/>
        <w:rPr>
          <w:szCs w:val="24"/>
        </w:rPr>
      </w:pPr>
      <w:r>
        <w:rPr>
          <w:szCs w:val="24"/>
        </w:rPr>
        <w:t>Input value as percentage</w:t>
      </w:r>
    </w:p>
    <w:p w14:paraId="46C518FB" w14:textId="6C7CFC3D" w:rsidR="008F4D5F" w:rsidRPr="0010780E" w:rsidRDefault="008F4D5F" w:rsidP="008F4D5F">
      <w:pPr>
        <w:numPr>
          <w:ilvl w:val="0"/>
          <w:numId w:val="5"/>
        </w:numPr>
        <w:spacing w:after="0" w:line="240" w:lineRule="auto"/>
        <w:rPr>
          <w:szCs w:val="24"/>
        </w:rPr>
      </w:pPr>
      <w:r w:rsidRPr="0010780E">
        <w:rPr>
          <w:i/>
          <w:iCs/>
          <w:szCs w:val="24"/>
        </w:rPr>
        <w:t xml:space="preserve">The tool makes all the calculations using the default inflation </w:t>
      </w:r>
      <w:proofErr w:type="gramStart"/>
      <w:r w:rsidRPr="0010780E">
        <w:rPr>
          <w:i/>
          <w:iCs/>
          <w:szCs w:val="24"/>
        </w:rPr>
        <w:t>rate</w:t>
      </w:r>
      <w:proofErr w:type="gramEnd"/>
    </w:p>
    <w:p w14:paraId="125C297B" w14:textId="77777777" w:rsidR="008F4D5F" w:rsidRPr="0010780E" w:rsidRDefault="008F4D5F" w:rsidP="008F4D5F">
      <w:pPr>
        <w:numPr>
          <w:ilvl w:val="0"/>
          <w:numId w:val="5"/>
        </w:numPr>
        <w:spacing w:after="0" w:line="240" w:lineRule="auto"/>
        <w:rPr>
          <w:szCs w:val="24"/>
        </w:rPr>
      </w:pPr>
      <w:r w:rsidRPr="0010780E">
        <w:rPr>
          <w:i/>
          <w:iCs/>
          <w:szCs w:val="24"/>
        </w:rPr>
        <w:t>If the user decides to change the inflation rate, the calculations should be re-created.</w:t>
      </w:r>
    </w:p>
    <w:p w14:paraId="74B0146B" w14:textId="77777777" w:rsidR="008F4D5F" w:rsidRDefault="008F4D5F" w:rsidP="008F4D5F">
      <w:pPr>
        <w:rPr>
          <w:b/>
          <w:bCs/>
          <w:szCs w:val="24"/>
        </w:rPr>
      </w:pPr>
    </w:p>
    <w:p w14:paraId="220C4AAE" w14:textId="77777777" w:rsidR="008F4D5F" w:rsidRPr="0010780E" w:rsidRDefault="008F4D5F" w:rsidP="008F4D5F">
      <w:pPr>
        <w:rPr>
          <w:szCs w:val="24"/>
        </w:rPr>
      </w:pPr>
      <w:r w:rsidRPr="0010780E">
        <w:rPr>
          <w:b/>
          <w:bCs/>
          <w:szCs w:val="24"/>
        </w:rPr>
        <w:t>Output - Annual Energy Escalation Rate</w:t>
      </w:r>
      <w:r>
        <w:rPr>
          <w:b/>
          <w:bCs/>
          <w:szCs w:val="24"/>
        </w:rPr>
        <w:t>s</w:t>
      </w:r>
      <w:r w:rsidRPr="0010780E">
        <w:rPr>
          <w:b/>
          <w:bCs/>
          <w:szCs w:val="24"/>
        </w:rPr>
        <w:t>:</w:t>
      </w:r>
    </w:p>
    <w:p w14:paraId="53409E45" w14:textId="1D77A18C" w:rsidR="00302058" w:rsidRPr="00DF4364" w:rsidRDefault="008F4D5F" w:rsidP="002A128C">
      <w:pPr>
        <w:numPr>
          <w:ilvl w:val="0"/>
          <w:numId w:val="5"/>
        </w:numPr>
        <w:spacing w:before="100" w:beforeAutospacing="1" w:after="100" w:afterAutospacing="1" w:line="240" w:lineRule="auto"/>
        <w:rPr>
          <w:szCs w:val="24"/>
        </w:rPr>
      </w:pPr>
      <w:r w:rsidRPr="0010780E">
        <w:rPr>
          <w:i/>
          <w:iCs/>
          <w:szCs w:val="24"/>
        </w:rPr>
        <w:t>Real and Nominal Escalation Rates</w:t>
      </w:r>
      <w:r w:rsidRPr="0010780E">
        <w:rPr>
          <w:szCs w:val="24"/>
        </w:rPr>
        <w:t>: The output of the program is the calculated average escalation rate, stated both in real terms (excluding the rate of inflation) and in nominal terms (including the rate of inflation).</w:t>
      </w:r>
    </w:p>
    <w:p w14:paraId="00C214E8" w14:textId="30A8B550" w:rsidR="00302058" w:rsidRPr="00DF4364" w:rsidRDefault="002A128C" w:rsidP="002A128C">
      <w:pPr>
        <w:spacing w:before="100" w:beforeAutospacing="1" w:after="100" w:afterAutospacing="1" w:line="240" w:lineRule="auto"/>
        <w:rPr>
          <w:b/>
          <w:bCs/>
          <w:szCs w:val="24"/>
        </w:rPr>
      </w:pPr>
      <w:r w:rsidRPr="00DF4364">
        <w:rPr>
          <w:b/>
          <w:bCs/>
          <w:szCs w:val="24"/>
        </w:rPr>
        <w:t>See screenshot of existing tool</w:t>
      </w:r>
      <w:r w:rsidR="00302058" w:rsidRPr="00DF4364">
        <w:rPr>
          <w:b/>
          <w:bCs/>
          <w:szCs w:val="24"/>
        </w:rPr>
        <w:t xml:space="preserve"> below. </w:t>
      </w:r>
    </w:p>
    <w:p w14:paraId="19A0BD0B" w14:textId="0C42FBC9" w:rsidR="002A128C" w:rsidRPr="0010780E" w:rsidRDefault="00302058" w:rsidP="002A128C">
      <w:pPr>
        <w:spacing w:before="100" w:beforeAutospacing="1" w:after="100" w:afterAutospacing="1" w:line="240" w:lineRule="auto"/>
        <w:rPr>
          <w:szCs w:val="24"/>
        </w:rPr>
      </w:pPr>
      <w:r>
        <w:rPr>
          <w:szCs w:val="24"/>
        </w:rPr>
        <w:t xml:space="preserve">Link to the tool: </w:t>
      </w:r>
      <w:r w:rsidRPr="00302058">
        <w:rPr>
          <w:szCs w:val="24"/>
        </w:rPr>
        <w:t>https://pages.nist.gov/eerc/</w:t>
      </w:r>
    </w:p>
    <w:p w14:paraId="0F48732A" w14:textId="07B60C6E" w:rsidR="002A128C" w:rsidRDefault="002A128C" w:rsidP="008176F0">
      <w:pPr>
        <w:rPr>
          <w:b/>
          <w:bCs/>
          <w:szCs w:val="24"/>
        </w:rPr>
      </w:pPr>
      <w:r>
        <w:rPr>
          <w:noProof/>
        </w:rPr>
        <w:lastRenderedPageBreak/>
        <w:drawing>
          <wp:inline distT="0" distB="0" distL="0" distR="0" wp14:anchorId="6E077F4C" wp14:editId="398ED5D4">
            <wp:extent cx="4194506" cy="567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473" t="16154" r="30362" b="6069"/>
                    <a:stretch/>
                  </pic:blipFill>
                  <pic:spPr bwMode="auto">
                    <a:xfrm>
                      <a:off x="0" y="0"/>
                      <a:ext cx="4199363" cy="5683474"/>
                    </a:xfrm>
                    <a:prstGeom prst="rect">
                      <a:avLst/>
                    </a:prstGeom>
                    <a:ln>
                      <a:noFill/>
                    </a:ln>
                    <a:extLst>
                      <a:ext uri="{53640926-AAD7-44D8-BBD7-CCE9431645EC}">
                        <a14:shadowObscured xmlns:a14="http://schemas.microsoft.com/office/drawing/2010/main"/>
                      </a:ext>
                    </a:extLst>
                  </pic:spPr>
                </pic:pic>
              </a:graphicData>
            </a:graphic>
          </wp:inline>
        </w:drawing>
      </w:r>
    </w:p>
    <w:p w14:paraId="0E331BF6" w14:textId="77777777" w:rsidR="002A128C" w:rsidRDefault="002A128C" w:rsidP="008176F0">
      <w:pPr>
        <w:rPr>
          <w:b/>
          <w:bCs/>
          <w:szCs w:val="24"/>
        </w:rPr>
      </w:pPr>
    </w:p>
    <w:p w14:paraId="7D72448E" w14:textId="59C46769" w:rsidR="008176F0" w:rsidRPr="0010780E" w:rsidRDefault="008176F0" w:rsidP="008176F0">
      <w:pPr>
        <w:rPr>
          <w:szCs w:val="24"/>
        </w:rPr>
      </w:pPr>
      <w:r>
        <w:rPr>
          <w:b/>
          <w:bCs/>
          <w:szCs w:val="24"/>
        </w:rPr>
        <w:t>Save to PDF Button</w:t>
      </w:r>
      <w:r w:rsidRPr="0010780E">
        <w:rPr>
          <w:b/>
          <w:bCs/>
          <w:szCs w:val="24"/>
        </w:rPr>
        <w:t>:</w:t>
      </w:r>
    </w:p>
    <w:p w14:paraId="69FACCE7" w14:textId="4CD6E683" w:rsidR="00B64F25" w:rsidRDefault="00965A43" w:rsidP="008176F0">
      <w:r>
        <w:t xml:space="preserve">Replicate </w:t>
      </w:r>
      <w:r w:rsidR="00AA4109">
        <w:t>current PDF content</w:t>
      </w:r>
      <w:r w:rsidR="00B03CC2">
        <w:t>. See below for example.</w:t>
      </w:r>
    </w:p>
    <w:p w14:paraId="55ECA68B" w14:textId="53536992" w:rsidR="00AA4109" w:rsidRDefault="00AA4109" w:rsidP="008176F0">
      <w:r>
        <w:t xml:space="preserve">We can make it look </w:t>
      </w:r>
      <w:r w:rsidR="00B03CC2">
        <w:t>better and add additional inputs (</w:t>
      </w:r>
      <w:r w:rsidR="00D57FDD">
        <w:t xml:space="preserve">e.g., </w:t>
      </w:r>
      <w:r w:rsidR="00B03CC2">
        <w:t>ZIP code).</w:t>
      </w:r>
    </w:p>
    <w:p w14:paraId="5EB5FDE0" w14:textId="55C4A1FE" w:rsidR="00B64F25" w:rsidRDefault="00606EE5">
      <w:r w:rsidRPr="00606EE5">
        <w:rPr>
          <w:noProof/>
        </w:rPr>
        <w:lastRenderedPageBreak/>
        <w:drawing>
          <wp:inline distT="0" distB="0" distL="0" distR="0" wp14:anchorId="7C45F995" wp14:editId="052870D7">
            <wp:extent cx="4029075" cy="473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4586" cy="4738483"/>
                    </a:xfrm>
                    <a:prstGeom prst="rect">
                      <a:avLst/>
                    </a:prstGeom>
                    <a:noFill/>
                    <a:ln>
                      <a:noFill/>
                    </a:ln>
                  </pic:spPr>
                </pic:pic>
              </a:graphicData>
            </a:graphic>
          </wp:inline>
        </w:drawing>
      </w:r>
    </w:p>
    <w:p w14:paraId="27ED4A9E" w14:textId="77777777" w:rsidR="00726FF7" w:rsidRDefault="00726FF7" w:rsidP="00726FF7">
      <w:pPr>
        <w:rPr>
          <w:b/>
          <w:bCs/>
          <w:szCs w:val="24"/>
        </w:rPr>
      </w:pPr>
      <w:bookmarkStart w:id="0" w:name="_Toc21606437"/>
    </w:p>
    <w:p w14:paraId="17F08E67" w14:textId="666E1375" w:rsidR="00B64F25" w:rsidRPr="00726FF7" w:rsidRDefault="00B64F25" w:rsidP="00726FF7">
      <w:pPr>
        <w:rPr>
          <w:b/>
          <w:bCs/>
          <w:szCs w:val="24"/>
          <w:u w:val="single"/>
        </w:rPr>
      </w:pPr>
      <w:r w:rsidRPr="00726FF7">
        <w:rPr>
          <w:b/>
          <w:bCs/>
          <w:sz w:val="24"/>
          <w:szCs w:val="24"/>
          <w:u w:val="single"/>
        </w:rPr>
        <w:t>Functions</w:t>
      </w:r>
      <w:bookmarkEnd w:id="0"/>
    </w:p>
    <w:p w14:paraId="0293CF60" w14:textId="77777777" w:rsidR="00B64F25" w:rsidRPr="0010780E" w:rsidRDefault="00B64F25" w:rsidP="00B64F25">
      <w:pPr>
        <w:rPr>
          <w:szCs w:val="24"/>
        </w:rPr>
      </w:pPr>
      <w:r w:rsidRPr="0010780E">
        <w:rPr>
          <w:szCs w:val="24"/>
        </w:rPr>
        <w:t>To calculate the nominal escalation rate, which includes inflation, the calculator uses the following relationship:</w:t>
      </w:r>
    </w:p>
    <w:p w14:paraId="7B875410" w14:textId="77777777" w:rsidR="00B64F25" w:rsidRPr="0010780E" w:rsidRDefault="00B64F25" w:rsidP="00B64F25">
      <w:pPr>
        <w:rPr>
          <w:szCs w:val="24"/>
        </w:rPr>
      </w:pPr>
      <w:r w:rsidRPr="00390595">
        <w:rPr>
          <w:noProof/>
          <w:szCs w:val="24"/>
        </w:rPr>
        <w:drawing>
          <wp:inline distT="0" distB="0" distL="0" distR="0" wp14:anchorId="2D3BC17C" wp14:editId="687A6C1D">
            <wp:extent cx="5941314" cy="211074"/>
            <wp:effectExtent l="0" t="0" r="0" b="0"/>
            <wp:docPr id="13" name="Picture 12">
              <a:extLst xmlns:a="http://schemas.openxmlformats.org/drawingml/2006/main">
                <a:ext uri="{FF2B5EF4-FFF2-40B4-BE49-F238E27FC236}">
                  <a16:creationId xmlns:a16="http://schemas.microsoft.com/office/drawing/2014/main" id="{D42E04EE-81D3-4043-8BC8-F19BA44DC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42E04EE-81D3-4043-8BC8-F19BA44DC465}"/>
                        </a:ext>
                      </a:extLst>
                    </pic:cNvPr>
                    <pic:cNvPicPr>
                      <a:picLocks noChangeAspect="1"/>
                    </pic:cNvPicPr>
                  </pic:nvPicPr>
                  <pic:blipFill>
                    <a:blip r:embed="rId8"/>
                    <a:stretch>
                      <a:fillRect/>
                    </a:stretch>
                  </pic:blipFill>
                  <pic:spPr>
                    <a:xfrm>
                      <a:off x="0" y="0"/>
                      <a:ext cx="5941314" cy="211074"/>
                    </a:xfrm>
                    <a:prstGeom prst="rect">
                      <a:avLst/>
                    </a:prstGeom>
                  </pic:spPr>
                </pic:pic>
              </a:graphicData>
            </a:graphic>
          </wp:inline>
        </w:drawing>
      </w:r>
    </w:p>
    <w:p w14:paraId="11B0E0E1" w14:textId="77777777" w:rsidR="00B64F25" w:rsidRPr="0010780E" w:rsidRDefault="00B64F25" w:rsidP="00B64F25">
      <w:pPr>
        <w:tabs>
          <w:tab w:val="left" w:pos="1520"/>
        </w:tabs>
        <w:rPr>
          <w:szCs w:val="24"/>
        </w:rPr>
      </w:pPr>
      <w:r w:rsidRPr="0010780E">
        <w:rPr>
          <w:szCs w:val="24"/>
        </w:rPr>
        <w:t xml:space="preserve">The calculated average annual escalation rate, </w:t>
      </w:r>
      <w:proofErr w:type="spellStart"/>
      <w:r w:rsidRPr="0010780E">
        <w:rPr>
          <w:i/>
          <w:szCs w:val="24"/>
        </w:rPr>
        <w:t>e</w:t>
      </w:r>
      <w:r w:rsidRPr="0010780E">
        <w:rPr>
          <w:i/>
          <w:szCs w:val="24"/>
          <w:vertAlign w:val="subscript"/>
        </w:rPr>
        <w:t>avg</w:t>
      </w:r>
      <w:proofErr w:type="spellEnd"/>
      <w:r w:rsidRPr="0010780E">
        <w:rPr>
          <w:szCs w:val="24"/>
        </w:rPr>
        <w:t>, when applied to the base-year energy costs or savings of ESPC or UESC projects, results in approximately the same undiscounted total amounts over the performance period as do the EIA-projected, or adjusted EIA-projected, variable rates. If more than one fuel is used in the project, the EERC weights the average escalation rate according to the proportions stated by the user.</w:t>
      </w:r>
    </w:p>
    <w:p w14:paraId="79613FA6" w14:textId="00920817" w:rsidR="00B64F25" w:rsidRPr="0010780E" w:rsidRDefault="00B64F25" w:rsidP="00B64F25">
      <w:pPr>
        <w:rPr>
          <w:szCs w:val="24"/>
        </w:rPr>
      </w:pPr>
      <w:r w:rsidRPr="0010780E">
        <w:rPr>
          <w:szCs w:val="24"/>
        </w:rPr>
        <w:t xml:space="preserve">To compute an average annual escalation rate, base-year </w:t>
      </w:r>
      <w:r>
        <w:rPr>
          <w:szCs w:val="24"/>
        </w:rPr>
        <w:t xml:space="preserve">(i.e., award year) </w:t>
      </w:r>
      <w:r w:rsidRPr="0010780E">
        <w:rPr>
          <w:szCs w:val="24"/>
        </w:rPr>
        <w:t xml:space="preserve">energy costs are escalated from year to year at rates projected by EIA, or at EIA rates adjusted by NIST for carbon pricing, to arrive at the total energy cost over a given performance period. The escalation rates, e, are projected by </w:t>
      </w:r>
      <w:r>
        <w:rPr>
          <w:szCs w:val="24"/>
        </w:rPr>
        <w:t>c</w:t>
      </w:r>
      <w:r w:rsidRPr="0010780E">
        <w:rPr>
          <w:szCs w:val="24"/>
        </w:rPr>
        <w:t xml:space="preserve">ensus </w:t>
      </w:r>
      <w:r>
        <w:rPr>
          <w:szCs w:val="24"/>
        </w:rPr>
        <w:t>r</w:t>
      </w:r>
      <w:r w:rsidRPr="0010780E">
        <w:rPr>
          <w:szCs w:val="24"/>
        </w:rPr>
        <w:t xml:space="preserve">egion, energy type, and industrial sector and vary from year to year. The formula used EERC prompts the user for information on the share of cost savings attributable to each fuel type, project </w:t>
      </w:r>
      <w:r w:rsidRPr="0010780E">
        <w:rPr>
          <w:szCs w:val="24"/>
        </w:rPr>
        <w:lastRenderedPageBreak/>
        <w:t>location, industry sector, and the beginning date and duration of the performance period. It also prompts the user to select one of several carbon pricing scenarios</w:t>
      </w:r>
      <w:r>
        <w:rPr>
          <w:szCs w:val="24"/>
        </w:rPr>
        <w:t xml:space="preserve"> </w:t>
      </w:r>
      <w:r w:rsidRPr="0010780E">
        <w:rPr>
          <w:szCs w:val="24"/>
        </w:rPr>
        <w:t>--</w:t>
      </w:r>
      <w:r>
        <w:rPr>
          <w:szCs w:val="24"/>
        </w:rPr>
        <w:t xml:space="preserve"> n</w:t>
      </w:r>
      <w:r w:rsidRPr="0010780E">
        <w:rPr>
          <w:szCs w:val="24"/>
        </w:rPr>
        <w:t xml:space="preserve">o </w:t>
      </w:r>
      <w:r>
        <w:rPr>
          <w:szCs w:val="24"/>
        </w:rPr>
        <w:t>c</w:t>
      </w:r>
      <w:r w:rsidRPr="0010780E">
        <w:rPr>
          <w:szCs w:val="24"/>
        </w:rPr>
        <w:t xml:space="preserve">arbon </w:t>
      </w:r>
      <w:r>
        <w:rPr>
          <w:szCs w:val="24"/>
        </w:rPr>
        <w:t>p</w:t>
      </w:r>
      <w:r w:rsidRPr="0010780E">
        <w:rPr>
          <w:szCs w:val="24"/>
        </w:rPr>
        <w:t xml:space="preserve">ricing, </w:t>
      </w:r>
      <w:r>
        <w:rPr>
          <w:szCs w:val="24"/>
        </w:rPr>
        <w:t>l</w:t>
      </w:r>
      <w:r w:rsidRPr="0010780E">
        <w:rPr>
          <w:szCs w:val="24"/>
        </w:rPr>
        <w:t>ow,</w:t>
      </w:r>
      <w:r>
        <w:rPr>
          <w:szCs w:val="24"/>
        </w:rPr>
        <w:t xml:space="preserve"> medium,</w:t>
      </w:r>
      <w:r w:rsidRPr="0010780E">
        <w:rPr>
          <w:szCs w:val="24"/>
        </w:rPr>
        <w:t xml:space="preserve"> or </w:t>
      </w:r>
      <w:r>
        <w:rPr>
          <w:szCs w:val="24"/>
        </w:rPr>
        <w:t>h</w:t>
      </w:r>
      <w:r w:rsidRPr="0010780E">
        <w:rPr>
          <w:szCs w:val="24"/>
        </w:rPr>
        <w:t>igh --then retrieves the relevant energy price forecasts and computes the average escalation rate, as described above. Since the performance period begins later than the base date, the calculated average rate includes the price escalation for the intervening year(s).</w:t>
      </w:r>
    </w:p>
    <w:p w14:paraId="2E488346" w14:textId="77777777" w:rsidR="00B64F25" w:rsidRPr="0010780E" w:rsidRDefault="00B64F25" w:rsidP="00B64F25">
      <w:pPr>
        <w:rPr>
          <w:szCs w:val="24"/>
        </w:rPr>
      </w:pPr>
      <w:r w:rsidRPr="0010780E">
        <w:rPr>
          <w:szCs w:val="24"/>
        </w:rPr>
        <w:t>to calculate total energy costs is:</w:t>
      </w:r>
    </w:p>
    <w:p w14:paraId="2EE0CE47" w14:textId="77777777" w:rsidR="00B64F25" w:rsidRPr="0010780E" w:rsidRDefault="00B64F25" w:rsidP="00B64F25">
      <w:pPr>
        <w:rPr>
          <w:szCs w:val="24"/>
        </w:rPr>
      </w:pPr>
      <w:r w:rsidRPr="008F6713">
        <w:rPr>
          <w:noProof/>
          <w:szCs w:val="24"/>
        </w:rPr>
        <w:drawing>
          <wp:inline distT="0" distB="0" distL="0" distR="0" wp14:anchorId="3B928BF9" wp14:editId="00109778">
            <wp:extent cx="5941314" cy="358902"/>
            <wp:effectExtent l="0" t="0" r="0" b="0"/>
            <wp:docPr id="11" name="Picture 10">
              <a:extLst xmlns:a="http://schemas.openxmlformats.org/drawingml/2006/main">
                <a:ext uri="{FF2B5EF4-FFF2-40B4-BE49-F238E27FC236}">
                  <a16:creationId xmlns:a16="http://schemas.microsoft.com/office/drawing/2014/main" id="{62263C2D-10D7-496B-806B-8642B2AB2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2263C2D-10D7-496B-806B-8642B2AB273C}"/>
                        </a:ext>
                      </a:extLst>
                    </pic:cNvPr>
                    <pic:cNvPicPr>
                      <a:picLocks noChangeAspect="1"/>
                    </pic:cNvPicPr>
                  </pic:nvPicPr>
                  <pic:blipFill>
                    <a:blip r:embed="rId9"/>
                    <a:stretch>
                      <a:fillRect/>
                    </a:stretch>
                  </pic:blipFill>
                  <pic:spPr>
                    <a:xfrm>
                      <a:off x="0" y="0"/>
                      <a:ext cx="5941314" cy="358902"/>
                    </a:xfrm>
                    <a:prstGeom prst="rect">
                      <a:avLst/>
                    </a:prstGeom>
                  </pic:spPr>
                </pic:pic>
              </a:graphicData>
            </a:graphic>
          </wp:inline>
        </w:drawing>
      </w:r>
    </w:p>
    <w:p w14:paraId="015635F7" w14:textId="77777777" w:rsidR="00B64F25" w:rsidRPr="0010780E" w:rsidRDefault="00B64F25" w:rsidP="00B64F25">
      <w:pPr>
        <w:rPr>
          <w:szCs w:val="24"/>
        </w:rPr>
      </w:pPr>
      <w:proofErr w:type="gramStart"/>
      <w:r w:rsidRPr="0010780E">
        <w:rPr>
          <w:szCs w:val="24"/>
        </w:rPr>
        <w:t>where</w:t>
      </w:r>
      <w:proofErr w:type="gramEnd"/>
    </w:p>
    <w:p w14:paraId="6360F2BC" w14:textId="77777777" w:rsidR="00B64F25" w:rsidRPr="0010780E" w:rsidRDefault="00B64F25" w:rsidP="00B64F25">
      <w:pPr>
        <w:rPr>
          <w:szCs w:val="24"/>
        </w:rPr>
      </w:pPr>
      <w:r w:rsidRPr="0010780E">
        <w:rPr>
          <w:i/>
          <w:szCs w:val="24"/>
        </w:rPr>
        <w:t>C</w:t>
      </w:r>
      <w:r w:rsidRPr="0010780E">
        <w:rPr>
          <w:szCs w:val="24"/>
        </w:rPr>
        <w:t xml:space="preserve"> is the undiscounted total of future energy costs over the performance period</w:t>
      </w:r>
    </w:p>
    <w:p w14:paraId="194D045F" w14:textId="77777777" w:rsidR="00B64F25" w:rsidRPr="0010780E" w:rsidRDefault="00B64F25" w:rsidP="00B64F25">
      <w:pPr>
        <w:rPr>
          <w:szCs w:val="24"/>
        </w:rPr>
      </w:pPr>
      <w:r w:rsidRPr="0010780E">
        <w:rPr>
          <w:i/>
          <w:szCs w:val="24"/>
        </w:rPr>
        <w:t>A</w:t>
      </w:r>
      <w:r w:rsidRPr="0010780E">
        <w:rPr>
          <w:szCs w:val="24"/>
        </w:rPr>
        <w:t xml:space="preserve"> is the base-year annual </w:t>
      </w:r>
      <w:proofErr w:type="gramStart"/>
      <w:r w:rsidRPr="0010780E">
        <w:rPr>
          <w:szCs w:val="24"/>
        </w:rPr>
        <w:t>cost</w:t>
      </w:r>
      <w:proofErr w:type="gramEnd"/>
    </w:p>
    <w:p w14:paraId="3AAD68EF" w14:textId="77777777" w:rsidR="00B64F25" w:rsidRPr="0010780E" w:rsidRDefault="00B64F25" w:rsidP="00B64F25">
      <w:pPr>
        <w:rPr>
          <w:szCs w:val="24"/>
        </w:rPr>
      </w:pPr>
      <w:proofErr w:type="spellStart"/>
      <w:r w:rsidRPr="0010780E">
        <w:rPr>
          <w:i/>
          <w:szCs w:val="24"/>
        </w:rPr>
        <w:t>e</w:t>
      </w:r>
      <w:r w:rsidRPr="0010780E">
        <w:rPr>
          <w:i/>
          <w:szCs w:val="24"/>
          <w:vertAlign w:val="subscript"/>
        </w:rPr>
        <w:t>i</w:t>
      </w:r>
      <w:proofErr w:type="spellEnd"/>
      <w:r w:rsidRPr="0010780E">
        <w:rPr>
          <w:szCs w:val="24"/>
        </w:rPr>
        <w:t xml:space="preserve"> is the annual escalation rate, which varies from year to year over the performance </w:t>
      </w:r>
      <w:proofErr w:type="gramStart"/>
      <w:r w:rsidRPr="0010780E">
        <w:rPr>
          <w:szCs w:val="24"/>
        </w:rPr>
        <w:t>period</w:t>
      </w:r>
      <w:proofErr w:type="gramEnd"/>
    </w:p>
    <w:p w14:paraId="299F6A0C" w14:textId="77777777" w:rsidR="00B64F25" w:rsidRPr="0010780E" w:rsidRDefault="00B64F25" w:rsidP="00B64F25">
      <w:pPr>
        <w:rPr>
          <w:szCs w:val="24"/>
        </w:rPr>
      </w:pPr>
      <w:r w:rsidRPr="0010780E">
        <w:rPr>
          <w:i/>
          <w:szCs w:val="24"/>
        </w:rPr>
        <w:t>n</w:t>
      </w:r>
      <w:r w:rsidRPr="0010780E">
        <w:rPr>
          <w:szCs w:val="24"/>
        </w:rPr>
        <w:t xml:space="preserve"> is the number of years in the performance period</w:t>
      </w:r>
    </w:p>
    <w:p w14:paraId="10E184ED" w14:textId="77777777" w:rsidR="00B64F25" w:rsidRPr="0010780E" w:rsidRDefault="00B64F25" w:rsidP="00B64F25">
      <w:pPr>
        <w:rPr>
          <w:szCs w:val="24"/>
        </w:rPr>
      </w:pPr>
      <w:r w:rsidRPr="0010780E">
        <w:rPr>
          <w:szCs w:val="24"/>
        </w:rPr>
        <w:t>When the escalation rate is the same in each year of the study period, the series can be simplified to a factor applied to the base-year annual cost, A:</w:t>
      </w:r>
    </w:p>
    <w:p w14:paraId="36B5419A" w14:textId="77777777" w:rsidR="00B64F25" w:rsidRPr="0010780E" w:rsidRDefault="00B64F25" w:rsidP="00B64F25">
      <w:pPr>
        <w:rPr>
          <w:szCs w:val="24"/>
        </w:rPr>
      </w:pPr>
      <w:r w:rsidRPr="008F6713">
        <w:rPr>
          <w:noProof/>
          <w:szCs w:val="24"/>
        </w:rPr>
        <w:drawing>
          <wp:inline distT="0" distB="0" distL="0" distR="0" wp14:anchorId="178F7910" wp14:editId="76242391">
            <wp:extent cx="5941314" cy="496062"/>
            <wp:effectExtent l="0" t="0" r="0" b="0"/>
            <wp:docPr id="7" name="Content Placeholder 6">
              <a:extLst xmlns:a="http://schemas.openxmlformats.org/drawingml/2006/main">
                <a:ext uri="{FF2B5EF4-FFF2-40B4-BE49-F238E27FC236}">
                  <a16:creationId xmlns:a16="http://schemas.microsoft.com/office/drawing/2014/main" id="{BF456BC2-550F-4678-A284-C27266C510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F456BC2-550F-4678-A284-C27266C5109E}"/>
                        </a:ext>
                      </a:extLst>
                    </pic:cNvPr>
                    <pic:cNvPicPr>
                      <a:picLocks noGrp="1" noChangeAspect="1"/>
                    </pic:cNvPicPr>
                  </pic:nvPicPr>
                  <pic:blipFill>
                    <a:blip r:embed="rId10"/>
                    <a:stretch>
                      <a:fillRect/>
                    </a:stretch>
                  </pic:blipFill>
                  <pic:spPr>
                    <a:xfrm>
                      <a:off x="0" y="0"/>
                      <a:ext cx="5941314" cy="496062"/>
                    </a:xfrm>
                    <a:prstGeom prst="rect">
                      <a:avLst/>
                    </a:prstGeom>
                  </pic:spPr>
                </pic:pic>
              </a:graphicData>
            </a:graphic>
          </wp:inline>
        </w:drawing>
      </w:r>
    </w:p>
    <w:p w14:paraId="62A2920D" w14:textId="77777777" w:rsidR="00B64F25" w:rsidRDefault="00B64F25" w:rsidP="00B64F25">
      <w:pPr>
        <w:rPr>
          <w:szCs w:val="24"/>
        </w:rPr>
      </w:pPr>
      <w:r w:rsidRPr="0010780E">
        <w:rPr>
          <w:szCs w:val="24"/>
        </w:rPr>
        <w:t xml:space="preserve">where </w:t>
      </w:r>
      <w:proofErr w:type="spellStart"/>
      <w:r w:rsidRPr="0010780E">
        <w:rPr>
          <w:i/>
          <w:szCs w:val="24"/>
        </w:rPr>
        <w:t>e</w:t>
      </w:r>
      <w:r w:rsidRPr="0010780E">
        <w:rPr>
          <w:i/>
          <w:szCs w:val="24"/>
          <w:vertAlign w:val="subscript"/>
        </w:rPr>
        <w:t>avg</w:t>
      </w:r>
      <w:proofErr w:type="spellEnd"/>
      <w:r w:rsidRPr="0010780E">
        <w:rPr>
          <w:szCs w:val="24"/>
        </w:rPr>
        <w:t xml:space="preserve"> is the average annual escalation rate</w:t>
      </w:r>
    </w:p>
    <w:p w14:paraId="098F0917" w14:textId="77777777" w:rsidR="00B64F25" w:rsidRDefault="00B64F25" w:rsidP="00B64F25">
      <w:pPr>
        <w:rPr>
          <w:szCs w:val="24"/>
        </w:rPr>
      </w:pPr>
      <w:r w:rsidRPr="0010780E">
        <w:rPr>
          <w:szCs w:val="24"/>
        </w:rPr>
        <w:t xml:space="preserve">Since a uniform escalation rate is needed to compute the contract payments in ESPC and UESC projects, the EERC uses this equation to approximate </w:t>
      </w:r>
      <w:r w:rsidRPr="0010780E">
        <w:rPr>
          <w:i/>
          <w:szCs w:val="24"/>
        </w:rPr>
        <w:t>C</w:t>
      </w:r>
      <w:r w:rsidRPr="0010780E">
        <w:rPr>
          <w:szCs w:val="24"/>
        </w:rPr>
        <w:t xml:space="preserve">, as calculated with EIA rates or adjusted EIA rates, and iteratively solves for </w:t>
      </w:r>
      <w:proofErr w:type="spellStart"/>
      <w:r w:rsidRPr="0010780E">
        <w:rPr>
          <w:i/>
          <w:szCs w:val="24"/>
        </w:rPr>
        <w:t>e</w:t>
      </w:r>
      <w:r w:rsidRPr="0010780E">
        <w:rPr>
          <w:i/>
          <w:szCs w:val="24"/>
          <w:vertAlign w:val="subscript"/>
        </w:rPr>
        <w:t>avg</w:t>
      </w:r>
      <w:proofErr w:type="spellEnd"/>
      <w:r w:rsidRPr="0010780E">
        <w:rPr>
          <w:szCs w:val="24"/>
        </w:rPr>
        <w:t xml:space="preserve">, the average annual escalation rate. The relationship between the factor calculated in the equation and the variable escalation rates in the series can be expressed as follows for a performance period of </w:t>
      </w:r>
      <w:r w:rsidRPr="0010780E">
        <w:rPr>
          <w:i/>
          <w:szCs w:val="24"/>
        </w:rPr>
        <w:t>n</w:t>
      </w:r>
      <w:r w:rsidRPr="0010780E">
        <w:rPr>
          <w:szCs w:val="24"/>
        </w:rPr>
        <w:t xml:space="preserve"> years duration:</w:t>
      </w:r>
    </w:p>
    <w:p w14:paraId="4F5C5D32" w14:textId="77777777" w:rsidR="00B64F25" w:rsidRPr="0010780E" w:rsidRDefault="00B64F25" w:rsidP="00B64F25">
      <w:pPr>
        <w:rPr>
          <w:szCs w:val="24"/>
        </w:rPr>
      </w:pPr>
      <w:r w:rsidRPr="00177879">
        <w:rPr>
          <w:noProof/>
          <w:szCs w:val="24"/>
        </w:rPr>
        <w:drawing>
          <wp:inline distT="0" distB="0" distL="0" distR="0" wp14:anchorId="6375677B" wp14:editId="2A0FC069">
            <wp:extent cx="5941314" cy="674370"/>
            <wp:effectExtent l="0" t="0" r="0" b="0"/>
            <wp:docPr id="5" name="Picture 4">
              <a:extLst xmlns:a="http://schemas.openxmlformats.org/drawingml/2006/main">
                <a:ext uri="{FF2B5EF4-FFF2-40B4-BE49-F238E27FC236}">
                  <a16:creationId xmlns:a16="http://schemas.microsoft.com/office/drawing/2014/main" id="{6849ED90-41FB-4755-A787-3FF072AF77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49ED90-41FB-4755-A787-3FF072AF7704}"/>
                        </a:ext>
                      </a:extLst>
                    </pic:cNvPr>
                    <pic:cNvPicPr>
                      <a:picLocks noChangeAspect="1"/>
                    </pic:cNvPicPr>
                  </pic:nvPicPr>
                  <pic:blipFill>
                    <a:blip r:embed="rId11"/>
                    <a:stretch>
                      <a:fillRect/>
                    </a:stretch>
                  </pic:blipFill>
                  <pic:spPr>
                    <a:xfrm>
                      <a:off x="0" y="0"/>
                      <a:ext cx="5941314" cy="674370"/>
                    </a:xfrm>
                    <a:prstGeom prst="rect">
                      <a:avLst/>
                    </a:prstGeom>
                  </pic:spPr>
                </pic:pic>
              </a:graphicData>
            </a:graphic>
          </wp:inline>
        </w:drawing>
      </w:r>
    </w:p>
    <w:p w14:paraId="25701697" w14:textId="77777777" w:rsidR="00B64F25" w:rsidRDefault="00B64F25" w:rsidP="00B64F25">
      <w:pPr>
        <w:rPr>
          <w:szCs w:val="24"/>
        </w:rPr>
      </w:pPr>
    </w:p>
    <w:p w14:paraId="581F6703" w14:textId="77777777" w:rsidR="00B64F25" w:rsidRPr="0010780E" w:rsidRDefault="00B64F25" w:rsidP="00B64F25">
      <w:pPr>
        <w:rPr>
          <w:szCs w:val="24"/>
        </w:rPr>
      </w:pPr>
      <w:r w:rsidRPr="0010780E">
        <w:rPr>
          <w:szCs w:val="24"/>
        </w:rPr>
        <w:t xml:space="preserve">The cost of carbon is calculated using the emissions per unit of fuel type, the </w:t>
      </w:r>
      <w:r>
        <w:rPr>
          <w:szCs w:val="24"/>
        </w:rPr>
        <w:t>SCC</w:t>
      </w:r>
      <w:r w:rsidRPr="0010780E">
        <w:rPr>
          <w:szCs w:val="24"/>
        </w:rPr>
        <w:t xml:space="preserve"> projections, and the carbon emissions factor to calculate a price per unit of fuel. Then </w:t>
      </w:r>
      <w:proofErr w:type="gramStart"/>
      <w:r w:rsidRPr="0010780E">
        <w:rPr>
          <w:szCs w:val="24"/>
        </w:rPr>
        <w:t>its</w:t>
      </w:r>
      <w:proofErr w:type="gramEnd"/>
      <w:r w:rsidRPr="0010780E">
        <w:rPr>
          <w:szCs w:val="24"/>
        </w:rPr>
        <w:t xml:space="preserve"> added into the projected energy prices before the escalation rate is calculated.</w:t>
      </w:r>
    </w:p>
    <w:p w14:paraId="208A1C70" w14:textId="77777777" w:rsidR="00B64F25" w:rsidRPr="0010780E" w:rsidRDefault="00B64F25" w:rsidP="00B64F25">
      <w:pPr>
        <w:rPr>
          <w:szCs w:val="24"/>
        </w:rPr>
      </w:pPr>
      <w:r>
        <w:rPr>
          <w:szCs w:val="24"/>
        </w:rPr>
        <w:t>For electricity, t</w:t>
      </w:r>
      <w:r w:rsidRPr="0010780E">
        <w:rPr>
          <w:szCs w:val="24"/>
        </w:rPr>
        <w:t>ake the baseline CO</w:t>
      </w:r>
      <w:r w:rsidRPr="00A45BB1">
        <w:rPr>
          <w:szCs w:val="24"/>
          <w:vertAlign w:val="subscript"/>
        </w:rPr>
        <w:t>2</w:t>
      </w:r>
      <w:r>
        <w:rPr>
          <w:szCs w:val="24"/>
        </w:rPr>
        <w:t>e</w:t>
      </w:r>
      <w:r w:rsidRPr="0010780E">
        <w:rPr>
          <w:szCs w:val="24"/>
        </w:rPr>
        <w:t xml:space="preserve"> emissions rate </w:t>
      </w:r>
      <w:r>
        <w:rPr>
          <w:szCs w:val="24"/>
        </w:rPr>
        <w:t xml:space="preserve">for a state </w:t>
      </w:r>
      <w:r w:rsidRPr="0010780E">
        <w:rPr>
          <w:szCs w:val="24"/>
        </w:rPr>
        <w:t xml:space="preserve">and create the emissions rate for each year by multiplying it by the emission factor </w:t>
      </w:r>
      <w:r>
        <w:rPr>
          <w:szCs w:val="24"/>
        </w:rPr>
        <w:t xml:space="preserve">for that state </w:t>
      </w:r>
      <w:r w:rsidRPr="0010780E">
        <w:rPr>
          <w:szCs w:val="24"/>
        </w:rPr>
        <w:t xml:space="preserve">(fraction of baseline emissions rate by year). This value is then multiplied by the </w:t>
      </w:r>
      <w:r>
        <w:rPr>
          <w:szCs w:val="24"/>
        </w:rPr>
        <w:t>SCC from the projected SCC</w:t>
      </w:r>
      <w:r w:rsidRPr="0010780E">
        <w:rPr>
          <w:szCs w:val="24"/>
        </w:rPr>
        <w:t xml:space="preserve"> scenario by year. This provides the carbon price per unit of electricity.</w:t>
      </w:r>
    </w:p>
    <w:p w14:paraId="3E8EEAF0" w14:textId="77777777" w:rsidR="00B64F25" w:rsidRPr="0010780E" w:rsidRDefault="00B64F25" w:rsidP="00B64F25">
      <w:pPr>
        <w:rPr>
          <w:szCs w:val="24"/>
        </w:rPr>
      </w:pPr>
      <w:r w:rsidRPr="0010780E">
        <w:rPr>
          <w:szCs w:val="24"/>
        </w:rPr>
        <w:lastRenderedPageBreak/>
        <w:t>The CO</w:t>
      </w:r>
      <w:r w:rsidRPr="00A45BB1">
        <w:rPr>
          <w:szCs w:val="24"/>
          <w:vertAlign w:val="subscript"/>
        </w:rPr>
        <w:t>2</w:t>
      </w:r>
      <w:r>
        <w:rPr>
          <w:szCs w:val="24"/>
        </w:rPr>
        <w:t>e</w:t>
      </w:r>
      <w:r w:rsidRPr="0010780E">
        <w:rPr>
          <w:szCs w:val="24"/>
        </w:rPr>
        <w:t xml:space="preserve"> emissions rates for other fuels (distillate oil, residual oil, </w:t>
      </w:r>
      <w:proofErr w:type="spellStart"/>
      <w:r w:rsidRPr="0010780E">
        <w:rPr>
          <w:szCs w:val="24"/>
        </w:rPr>
        <w:t>nat</w:t>
      </w:r>
      <w:proofErr w:type="spellEnd"/>
      <w:r w:rsidRPr="0010780E">
        <w:rPr>
          <w:szCs w:val="24"/>
        </w:rPr>
        <w:t xml:space="preserve"> gas, LPG, and coal)</w:t>
      </w:r>
      <w:r>
        <w:rPr>
          <w:szCs w:val="24"/>
        </w:rPr>
        <w:t xml:space="preserve"> are based on EPA’s relevant emissions hub</w:t>
      </w:r>
      <w:r w:rsidRPr="0010780E">
        <w:rPr>
          <w:szCs w:val="24"/>
        </w:rPr>
        <w:t>. These rates do not change by year. Therefore, the emissions per unit are constant over time.</w:t>
      </w:r>
    </w:p>
    <w:p w14:paraId="6E522D0B" w14:textId="77777777" w:rsidR="00B64F25" w:rsidRDefault="00B64F25" w:rsidP="00B64F25">
      <w:pPr>
        <w:rPr>
          <w:szCs w:val="24"/>
        </w:rPr>
      </w:pPr>
      <w:r w:rsidRPr="0010780E">
        <w:rPr>
          <w:szCs w:val="24"/>
        </w:rPr>
        <w:t>The energy price is adjusted by the cost of carbon per unit of fuel (assum</w:t>
      </w:r>
      <w:r>
        <w:rPr>
          <w:szCs w:val="24"/>
        </w:rPr>
        <w:t>ing</w:t>
      </w:r>
      <w:r w:rsidRPr="0010780E">
        <w:rPr>
          <w:szCs w:val="24"/>
        </w:rPr>
        <w:t xml:space="preserve"> a 100% pass</w:t>
      </w:r>
      <w:r>
        <w:rPr>
          <w:szCs w:val="24"/>
        </w:rPr>
        <w:t>-</w:t>
      </w:r>
      <w:r w:rsidRPr="0010780E">
        <w:rPr>
          <w:szCs w:val="24"/>
        </w:rPr>
        <w:t>through to the retail price). This is added before the escalation rates are calculated so that the escalation rates are appropriated adjusted for the carbon scenario.</w:t>
      </w:r>
      <w:r>
        <w:rPr>
          <w:szCs w:val="24"/>
        </w:rPr>
        <w:t xml:space="preserve"> </w:t>
      </w:r>
    </w:p>
    <w:p w14:paraId="7936545B" w14:textId="77777777" w:rsidR="00B64F25" w:rsidRPr="0010780E" w:rsidRDefault="00B64F25" w:rsidP="00B64F25">
      <w:pPr>
        <w:rPr>
          <w:szCs w:val="24"/>
        </w:rPr>
      </w:pPr>
      <w:r>
        <w:rPr>
          <w:szCs w:val="24"/>
        </w:rPr>
        <w:t xml:space="preserve">The purpose of including the carbon cost is to adjust future energy prices to incorporate the social cost of carbon. Current energy prices have not internalized any of these external costs. Therefore, it is not appropriate to add the price of carbon to the base year energy prices. Instead, the addition of carbon to energy prices initially occurs for every year after the base year, </w:t>
      </w:r>
      <w:proofErr w:type="gramStart"/>
      <w:r>
        <w:rPr>
          <w:szCs w:val="24"/>
        </w:rPr>
        <w:t>similar to</w:t>
      </w:r>
      <w:proofErr w:type="gramEnd"/>
      <w:r>
        <w:rPr>
          <w:szCs w:val="24"/>
        </w:rPr>
        <w:t xml:space="preserve"> what would happen to energy prices if legislation were to require energy producers to pay the estimated social cost of carbon on their production starting at the end of the base year. Alternatively, you could think of it as a federal agency deciding to start including the social cost of carbon into the costs considered for future energy consumption. The exceptions are California and the 12 northeastern states that are part of the Regional Greenhouse Gas Initiative (RGGI), which each have a carbon market with average carbon prices of approximately $34 and $14 at the most recent auctions, respectively, at release of this document.</w:t>
      </w:r>
    </w:p>
    <w:p w14:paraId="344F2AA2" w14:textId="77777777" w:rsidR="00B64F25" w:rsidRPr="0010780E" w:rsidRDefault="00B64F25" w:rsidP="00B64F25">
      <w:pPr>
        <w:pStyle w:val="Heading2"/>
        <w:ind w:left="0"/>
        <w:rPr>
          <w:sz w:val="24"/>
          <w:szCs w:val="24"/>
        </w:rPr>
      </w:pPr>
      <w:bookmarkStart w:id="1" w:name="_Toc21606438"/>
    </w:p>
    <w:p w14:paraId="5C236131" w14:textId="77777777" w:rsidR="00B64F25" w:rsidRPr="0010780E" w:rsidRDefault="00B64F25" w:rsidP="00B64F25">
      <w:pPr>
        <w:pStyle w:val="Heading2"/>
        <w:ind w:left="0"/>
        <w:rPr>
          <w:sz w:val="24"/>
          <w:szCs w:val="24"/>
        </w:rPr>
      </w:pPr>
      <w:r w:rsidRPr="0010780E">
        <w:rPr>
          <w:sz w:val="24"/>
          <w:szCs w:val="24"/>
        </w:rPr>
        <w:t>Data Tables</w:t>
      </w:r>
      <w:bookmarkEnd w:id="1"/>
    </w:p>
    <w:p w14:paraId="5454748F" w14:textId="77777777" w:rsidR="00B64F25" w:rsidRPr="0010780E" w:rsidRDefault="00B64F25" w:rsidP="00B64F25">
      <w:pPr>
        <w:rPr>
          <w:szCs w:val="24"/>
        </w:rPr>
      </w:pPr>
    </w:p>
    <w:p w14:paraId="46993A78" w14:textId="0496B8B9" w:rsidR="00513A49" w:rsidRPr="00513A49" w:rsidRDefault="00513A49" w:rsidP="00513A49">
      <w:pPr>
        <w:rPr>
          <w:szCs w:val="24"/>
        </w:rPr>
      </w:pPr>
      <w:r w:rsidRPr="00513A49">
        <w:rPr>
          <w:szCs w:val="24"/>
        </w:rPr>
        <w:t xml:space="preserve">We do not need to use the </w:t>
      </w:r>
      <w:proofErr w:type="spellStart"/>
      <w:r w:rsidRPr="00513A49">
        <w:rPr>
          <w:szCs w:val="24"/>
        </w:rPr>
        <w:t>Encost</w:t>
      </w:r>
      <w:proofErr w:type="spellEnd"/>
      <w:r w:rsidRPr="00513A49">
        <w:rPr>
          <w:szCs w:val="24"/>
        </w:rPr>
        <w:t xml:space="preserve"> data format. </w:t>
      </w:r>
      <w:proofErr w:type="gramStart"/>
      <w:r w:rsidRPr="00513A49">
        <w:rPr>
          <w:szCs w:val="24"/>
        </w:rPr>
        <w:t>Instead</w:t>
      </w:r>
      <w:proofErr w:type="gramEnd"/>
      <w:r w:rsidRPr="00513A49">
        <w:rPr>
          <w:szCs w:val="24"/>
        </w:rPr>
        <w:t xml:space="preserve"> will use the BLCC data tables</w:t>
      </w:r>
      <w:r>
        <w:rPr>
          <w:szCs w:val="24"/>
        </w:rPr>
        <w:t xml:space="preserve">. </w:t>
      </w:r>
      <w:r w:rsidR="00F26807">
        <w:rPr>
          <w:szCs w:val="24"/>
        </w:rPr>
        <w:t>Instead of replacing the data each year, we will add to it so we can use different vintages of data.</w:t>
      </w:r>
    </w:p>
    <w:p w14:paraId="47087108" w14:textId="7A805822" w:rsidR="00B64F25" w:rsidRPr="0010780E" w:rsidRDefault="00513A49" w:rsidP="00B64F25">
      <w:pPr>
        <w:rPr>
          <w:szCs w:val="24"/>
        </w:rPr>
      </w:pPr>
      <w:r>
        <w:rPr>
          <w:szCs w:val="24"/>
        </w:rPr>
        <w:t>For reference, t</w:t>
      </w:r>
      <w:r w:rsidR="00B64F25" w:rsidRPr="0010780E">
        <w:rPr>
          <w:szCs w:val="24"/>
        </w:rPr>
        <w:t xml:space="preserve">he data tables </w:t>
      </w:r>
      <w:r w:rsidR="00F1691A">
        <w:rPr>
          <w:szCs w:val="24"/>
        </w:rPr>
        <w:t xml:space="preserve">for the current EERC </w:t>
      </w:r>
      <w:r w:rsidR="00B64F25" w:rsidRPr="0010780E">
        <w:rPr>
          <w:szCs w:val="24"/>
        </w:rPr>
        <w:t>include</w:t>
      </w:r>
      <w:r w:rsidR="00F1691A">
        <w:rPr>
          <w:szCs w:val="24"/>
        </w:rPr>
        <w:t>:</w:t>
      </w:r>
    </w:p>
    <w:p w14:paraId="29E52D01" w14:textId="77777777" w:rsidR="00B64F25" w:rsidRPr="00F26807" w:rsidRDefault="00B64F25" w:rsidP="00B64F25">
      <w:pPr>
        <w:pStyle w:val="ListParagraph"/>
        <w:numPr>
          <w:ilvl w:val="0"/>
          <w:numId w:val="6"/>
        </w:numPr>
        <w:tabs>
          <w:tab w:val="clear" w:pos="720"/>
          <w:tab w:val="clear" w:pos="5760"/>
        </w:tabs>
        <w:ind w:right="0"/>
        <w:rPr>
          <w:rFonts w:asciiTheme="minorHAnsi" w:eastAsiaTheme="minorHAnsi" w:hAnsiTheme="minorHAnsi" w:cstheme="minorBidi"/>
          <w:color w:val="auto"/>
          <w:sz w:val="22"/>
          <w:szCs w:val="24"/>
        </w:rPr>
      </w:pPr>
      <w:r w:rsidRPr="00F26807">
        <w:rPr>
          <w:rFonts w:asciiTheme="minorHAnsi" w:eastAsiaTheme="minorHAnsi" w:hAnsiTheme="minorHAnsi" w:cstheme="minorBidi"/>
          <w:color w:val="auto"/>
          <w:sz w:val="22"/>
          <w:szCs w:val="24"/>
        </w:rPr>
        <w:t xml:space="preserve">the </w:t>
      </w:r>
      <w:proofErr w:type="spellStart"/>
      <w:r w:rsidRPr="00F26807">
        <w:rPr>
          <w:rFonts w:asciiTheme="minorHAnsi" w:eastAsiaTheme="minorHAnsi" w:hAnsiTheme="minorHAnsi" w:cstheme="minorBidi"/>
          <w:color w:val="auto"/>
          <w:sz w:val="22"/>
          <w:szCs w:val="24"/>
        </w:rPr>
        <w:t>Encost</w:t>
      </w:r>
      <w:proofErr w:type="spellEnd"/>
      <w:r w:rsidRPr="00F26807">
        <w:rPr>
          <w:rFonts w:asciiTheme="minorHAnsi" w:eastAsiaTheme="minorHAnsi" w:hAnsiTheme="minorHAnsi" w:cstheme="minorBidi"/>
          <w:color w:val="auto"/>
          <w:sz w:val="22"/>
          <w:szCs w:val="24"/>
        </w:rPr>
        <w:t xml:space="preserve"> file that includes the EIA energy price projections for each fuel type over </w:t>
      </w:r>
      <w:proofErr w:type="gramStart"/>
      <w:r w:rsidRPr="00F26807">
        <w:rPr>
          <w:rFonts w:asciiTheme="minorHAnsi" w:eastAsiaTheme="minorHAnsi" w:hAnsiTheme="minorHAnsi" w:cstheme="minorBidi"/>
          <w:color w:val="auto"/>
          <w:sz w:val="22"/>
          <w:szCs w:val="24"/>
        </w:rPr>
        <w:t>time</w:t>
      </w:r>
      <w:proofErr w:type="gramEnd"/>
    </w:p>
    <w:p w14:paraId="57FC44D2" w14:textId="4050051C" w:rsidR="00B64F25" w:rsidRPr="00F26807" w:rsidRDefault="00B64F25" w:rsidP="00B64F25">
      <w:pPr>
        <w:pStyle w:val="ListParagraph"/>
        <w:numPr>
          <w:ilvl w:val="1"/>
          <w:numId w:val="6"/>
        </w:numPr>
        <w:tabs>
          <w:tab w:val="clear" w:pos="720"/>
          <w:tab w:val="clear" w:pos="5760"/>
        </w:tabs>
        <w:ind w:right="0"/>
        <w:rPr>
          <w:rFonts w:asciiTheme="minorHAnsi" w:eastAsiaTheme="minorHAnsi" w:hAnsiTheme="minorHAnsi" w:cstheme="minorBidi"/>
          <w:color w:val="auto"/>
          <w:sz w:val="22"/>
          <w:szCs w:val="24"/>
        </w:rPr>
      </w:pPr>
      <w:r w:rsidRPr="00F26807">
        <w:rPr>
          <w:rFonts w:asciiTheme="minorHAnsi" w:eastAsiaTheme="minorHAnsi" w:hAnsiTheme="minorHAnsi" w:cstheme="minorBidi"/>
          <w:color w:val="auto"/>
          <w:sz w:val="22"/>
          <w:szCs w:val="24"/>
        </w:rPr>
        <w:t xml:space="preserve">This file is provided by EIA and then NIST manipulates it to create the annual supplement </w:t>
      </w:r>
      <w:proofErr w:type="gramStart"/>
      <w:r w:rsidRPr="00F26807">
        <w:rPr>
          <w:rFonts w:asciiTheme="minorHAnsi" w:eastAsiaTheme="minorHAnsi" w:hAnsiTheme="minorHAnsi" w:cstheme="minorBidi"/>
          <w:color w:val="auto"/>
          <w:sz w:val="22"/>
          <w:szCs w:val="24"/>
        </w:rPr>
        <w:t>data</w:t>
      </w:r>
      <w:proofErr w:type="gramEnd"/>
    </w:p>
    <w:p w14:paraId="03E914BE" w14:textId="77777777" w:rsidR="00B64F25" w:rsidRPr="00F26807" w:rsidRDefault="00B64F25" w:rsidP="00B64F25">
      <w:pPr>
        <w:pStyle w:val="ListParagraph"/>
        <w:numPr>
          <w:ilvl w:val="0"/>
          <w:numId w:val="6"/>
        </w:numPr>
        <w:tabs>
          <w:tab w:val="clear" w:pos="720"/>
          <w:tab w:val="clear" w:pos="5760"/>
        </w:tabs>
        <w:ind w:right="0"/>
        <w:rPr>
          <w:rFonts w:asciiTheme="minorHAnsi" w:eastAsiaTheme="minorHAnsi" w:hAnsiTheme="minorHAnsi" w:cstheme="minorBidi"/>
          <w:color w:val="auto"/>
          <w:sz w:val="22"/>
          <w:szCs w:val="24"/>
        </w:rPr>
      </w:pPr>
      <w:r w:rsidRPr="00F26807">
        <w:rPr>
          <w:rFonts w:asciiTheme="minorHAnsi" w:eastAsiaTheme="minorHAnsi" w:hAnsiTheme="minorHAnsi" w:cstheme="minorBidi"/>
          <w:color w:val="auto"/>
          <w:sz w:val="22"/>
          <w:szCs w:val="24"/>
        </w:rPr>
        <w:t>CO2 Price file that includes the projected prices for CO2e emissions</w:t>
      </w:r>
    </w:p>
    <w:p w14:paraId="1FCD7872" w14:textId="77777777" w:rsidR="00B64F25" w:rsidRPr="00F26807" w:rsidRDefault="00B64F25" w:rsidP="00B64F25">
      <w:pPr>
        <w:pStyle w:val="ListParagraph"/>
        <w:numPr>
          <w:ilvl w:val="1"/>
          <w:numId w:val="6"/>
        </w:numPr>
        <w:tabs>
          <w:tab w:val="clear" w:pos="720"/>
          <w:tab w:val="clear" w:pos="5760"/>
        </w:tabs>
        <w:ind w:right="0"/>
        <w:rPr>
          <w:rFonts w:asciiTheme="minorHAnsi" w:eastAsiaTheme="minorHAnsi" w:hAnsiTheme="minorHAnsi" w:cstheme="minorBidi"/>
          <w:color w:val="auto"/>
          <w:sz w:val="22"/>
          <w:szCs w:val="24"/>
        </w:rPr>
      </w:pPr>
      <w:r w:rsidRPr="00F26807">
        <w:rPr>
          <w:rFonts w:asciiTheme="minorHAnsi" w:eastAsiaTheme="minorHAnsi" w:hAnsiTheme="minorHAnsi" w:cstheme="minorBidi"/>
          <w:color w:val="auto"/>
          <w:sz w:val="22"/>
          <w:szCs w:val="24"/>
        </w:rPr>
        <w:t xml:space="preserve">Provided by scenario and </w:t>
      </w:r>
      <w:proofErr w:type="gramStart"/>
      <w:r w:rsidRPr="00F26807">
        <w:rPr>
          <w:rFonts w:asciiTheme="minorHAnsi" w:eastAsiaTheme="minorHAnsi" w:hAnsiTheme="minorHAnsi" w:cstheme="minorBidi"/>
          <w:color w:val="auto"/>
          <w:sz w:val="22"/>
          <w:szCs w:val="24"/>
        </w:rPr>
        <w:t>year</w:t>
      </w:r>
      <w:proofErr w:type="gramEnd"/>
    </w:p>
    <w:p w14:paraId="28926277" w14:textId="77777777" w:rsidR="00B64F25" w:rsidRPr="00F26807" w:rsidRDefault="00B64F25" w:rsidP="00B64F25">
      <w:pPr>
        <w:pStyle w:val="ListParagraph"/>
        <w:numPr>
          <w:ilvl w:val="0"/>
          <w:numId w:val="6"/>
        </w:numPr>
        <w:tabs>
          <w:tab w:val="clear" w:pos="720"/>
          <w:tab w:val="clear" w:pos="5760"/>
        </w:tabs>
        <w:ind w:right="0"/>
        <w:rPr>
          <w:rFonts w:asciiTheme="minorHAnsi" w:eastAsiaTheme="minorHAnsi" w:hAnsiTheme="minorHAnsi" w:cstheme="minorBidi"/>
          <w:color w:val="auto"/>
          <w:sz w:val="22"/>
          <w:szCs w:val="24"/>
        </w:rPr>
      </w:pPr>
      <w:r w:rsidRPr="00F26807">
        <w:rPr>
          <w:rFonts w:asciiTheme="minorHAnsi" w:eastAsiaTheme="minorHAnsi" w:hAnsiTheme="minorHAnsi" w:cstheme="minorBidi"/>
          <w:color w:val="auto"/>
          <w:sz w:val="22"/>
          <w:szCs w:val="24"/>
        </w:rPr>
        <w:t>CO2 Future Emissions file that includes the projected emissions rate factors for electricity generation over time</w:t>
      </w:r>
    </w:p>
    <w:p w14:paraId="12D839CA" w14:textId="77777777" w:rsidR="00B64F25" w:rsidRPr="00F26807" w:rsidRDefault="00B64F25" w:rsidP="00B64F25">
      <w:pPr>
        <w:pStyle w:val="ListParagraph"/>
        <w:numPr>
          <w:ilvl w:val="1"/>
          <w:numId w:val="6"/>
        </w:numPr>
        <w:tabs>
          <w:tab w:val="clear" w:pos="720"/>
          <w:tab w:val="clear" w:pos="5760"/>
        </w:tabs>
        <w:ind w:right="0"/>
        <w:rPr>
          <w:rFonts w:asciiTheme="minorHAnsi" w:eastAsiaTheme="minorHAnsi" w:hAnsiTheme="minorHAnsi" w:cstheme="minorBidi"/>
          <w:color w:val="auto"/>
          <w:sz w:val="22"/>
          <w:szCs w:val="24"/>
        </w:rPr>
      </w:pPr>
      <w:r w:rsidRPr="00F26807">
        <w:rPr>
          <w:rFonts w:asciiTheme="minorHAnsi" w:eastAsiaTheme="minorHAnsi" w:hAnsiTheme="minorHAnsi" w:cstheme="minorBidi"/>
          <w:color w:val="auto"/>
          <w:sz w:val="22"/>
          <w:szCs w:val="24"/>
        </w:rPr>
        <w:t>Fraction of Current Year’s Emissions Rate by state</w:t>
      </w:r>
    </w:p>
    <w:p w14:paraId="0C2DA399" w14:textId="77777777" w:rsidR="00B64F25" w:rsidRPr="00F26807" w:rsidRDefault="00B64F25" w:rsidP="00B64F25">
      <w:pPr>
        <w:pStyle w:val="ListParagraph"/>
        <w:numPr>
          <w:ilvl w:val="0"/>
          <w:numId w:val="6"/>
        </w:numPr>
        <w:tabs>
          <w:tab w:val="clear" w:pos="720"/>
          <w:tab w:val="clear" w:pos="5760"/>
        </w:tabs>
        <w:ind w:right="0"/>
        <w:rPr>
          <w:rFonts w:asciiTheme="minorHAnsi" w:eastAsiaTheme="minorHAnsi" w:hAnsiTheme="minorHAnsi" w:cstheme="minorBidi"/>
          <w:color w:val="auto"/>
          <w:sz w:val="22"/>
          <w:szCs w:val="24"/>
        </w:rPr>
      </w:pPr>
      <w:r w:rsidRPr="00F26807">
        <w:rPr>
          <w:rFonts w:asciiTheme="minorHAnsi" w:eastAsiaTheme="minorHAnsi" w:hAnsiTheme="minorHAnsi" w:cstheme="minorBidi"/>
          <w:color w:val="auto"/>
          <w:sz w:val="22"/>
          <w:szCs w:val="24"/>
        </w:rPr>
        <w:t>CO2 Factors file that includes the baseline emissions rates for electricity and other fuel types</w:t>
      </w:r>
    </w:p>
    <w:p w14:paraId="4DE9D450" w14:textId="77777777" w:rsidR="00B64F25" w:rsidRPr="00F26807" w:rsidRDefault="00B64F25" w:rsidP="00B64F25">
      <w:pPr>
        <w:pStyle w:val="ListParagraph"/>
        <w:numPr>
          <w:ilvl w:val="1"/>
          <w:numId w:val="6"/>
        </w:numPr>
        <w:tabs>
          <w:tab w:val="clear" w:pos="720"/>
          <w:tab w:val="clear" w:pos="5760"/>
        </w:tabs>
        <w:ind w:right="0"/>
        <w:rPr>
          <w:rFonts w:asciiTheme="minorHAnsi" w:eastAsiaTheme="minorHAnsi" w:hAnsiTheme="minorHAnsi" w:cstheme="minorBidi"/>
          <w:color w:val="auto"/>
          <w:sz w:val="22"/>
          <w:szCs w:val="24"/>
        </w:rPr>
      </w:pPr>
      <w:r w:rsidRPr="00F26807">
        <w:rPr>
          <w:rFonts w:asciiTheme="minorHAnsi" w:eastAsiaTheme="minorHAnsi" w:hAnsiTheme="minorHAnsi" w:cstheme="minorBidi"/>
          <w:color w:val="auto"/>
          <w:sz w:val="22"/>
          <w:szCs w:val="24"/>
        </w:rPr>
        <w:t xml:space="preserve">Electricity emission rates are provided by </w:t>
      </w:r>
      <w:proofErr w:type="gramStart"/>
      <w:r w:rsidRPr="00F26807">
        <w:rPr>
          <w:rFonts w:asciiTheme="minorHAnsi" w:eastAsiaTheme="minorHAnsi" w:hAnsiTheme="minorHAnsi" w:cstheme="minorBidi"/>
          <w:color w:val="auto"/>
          <w:sz w:val="22"/>
          <w:szCs w:val="24"/>
        </w:rPr>
        <w:t>state</w:t>
      </w:r>
      <w:proofErr w:type="gramEnd"/>
    </w:p>
    <w:p w14:paraId="1E82CF97" w14:textId="77777777" w:rsidR="00B64F25" w:rsidRPr="00F26807" w:rsidRDefault="00B64F25" w:rsidP="00B64F25">
      <w:pPr>
        <w:pStyle w:val="ListParagraph"/>
        <w:numPr>
          <w:ilvl w:val="1"/>
          <w:numId w:val="6"/>
        </w:numPr>
        <w:tabs>
          <w:tab w:val="clear" w:pos="720"/>
          <w:tab w:val="clear" w:pos="5760"/>
        </w:tabs>
        <w:ind w:right="0"/>
        <w:rPr>
          <w:rFonts w:asciiTheme="minorHAnsi" w:eastAsiaTheme="minorHAnsi" w:hAnsiTheme="minorHAnsi" w:cstheme="minorBidi"/>
          <w:color w:val="auto"/>
          <w:sz w:val="22"/>
          <w:szCs w:val="24"/>
        </w:rPr>
      </w:pPr>
      <w:r w:rsidRPr="00F26807">
        <w:rPr>
          <w:rFonts w:asciiTheme="minorHAnsi" w:eastAsiaTheme="minorHAnsi" w:hAnsiTheme="minorHAnsi" w:cstheme="minorBidi"/>
          <w:color w:val="auto"/>
          <w:sz w:val="22"/>
          <w:szCs w:val="24"/>
        </w:rPr>
        <w:t xml:space="preserve">Other fuel types are assumed to be constant using a national average </w:t>
      </w:r>
      <w:proofErr w:type="gramStart"/>
      <w:r w:rsidRPr="00F26807">
        <w:rPr>
          <w:rFonts w:asciiTheme="minorHAnsi" w:eastAsiaTheme="minorHAnsi" w:hAnsiTheme="minorHAnsi" w:cstheme="minorBidi"/>
          <w:color w:val="auto"/>
          <w:sz w:val="22"/>
          <w:szCs w:val="24"/>
        </w:rPr>
        <w:t>rate</w:t>
      </w:r>
      <w:proofErr w:type="gramEnd"/>
    </w:p>
    <w:p w14:paraId="1B62951F" w14:textId="77777777" w:rsidR="00B64F25" w:rsidRPr="0010780E" w:rsidRDefault="00B64F25" w:rsidP="00B64F25">
      <w:pPr>
        <w:rPr>
          <w:szCs w:val="24"/>
        </w:rPr>
      </w:pPr>
      <w:r w:rsidRPr="0010780E">
        <w:rPr>
          <w:szCs w:val="24"/>
        </w:rPr>
        <w:t xml:space="preserve">These data tables are called on by the code, will stay constant over time in term of format, but the data </w:t>
      </w:r>
      <w:r>
        <w:rPr>
          <w:szCs w:val="24"/>
        </w:rPr>
        <w:t>is</w:t>
      </w:r>
      <w:r w:rsidRPr="0010780E">
        <w:rPr>
          <w:szCs w:val="24"/>
        </w:rPr>
        <w:t xml:space="preserve"> updated annually.</w:t>
      </w:r>
    </w:p>
    <w:p w14:paraId="5ECAA240" w14:textId="77777777" w:rsidR="00B64F25" w:rsidRPr="00F26807" w:rsidRDefault="00B64F25">
      <w:pPr>
        <w:rPr>
          <w:szCs w:val="24"/>
        </w:rPr>
      </w:pPr>
    </w:p>
    <w:p w14:paraId="6C2B4DC1" w14:textId="77777777" w:rsidR="00B64F25" w:rsidRDefault="00B64F25"/>
    <w:sectPr w:rsidR="00B64F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576BB"/>
    <w:multiLevelType w:val="multilevel"/>
    <w:tmpl w:val="8C10E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E02C24"/>
    <w:multiLevelType w:val="multilevel"/>
    <w:tmpl w:val="2CF40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283519"/>
    <w:multiLevelType w:val="multilevel"/>
    <w:tmpl w:val="5AA02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E84F86"/>
    <w:multiLevelType w:val="multilevel"/>
    <w:tmpl w:val="8C10E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75618A"/>
    <w:multiLevelType w:val="multilevel"/>
    <w:tmpl w:val="88269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B70D90"/>
    <w:multiLevelType w:val="multilevel"/>
    <w:tmpl w:val="02DAD3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961812987">
    <w:abstractNumId w:val="5"/>
  </w:num>
  <w:num w:numId="2" w16cid:durableId="1668481073">
    <w:abstractNumId w:val="4"/>
  </w:num>
  <w:num w:numId="3" w16cid:durableId="92555206">
    <w:abstractNumId w:val="2"/>
  </w:num>
  <w:num w:numId="4" w16cid:durableId="1294411147">
    <w:abstractNumId w:val="3"/>
  </w:num>
  <w:num w:numId="5" w16cid:durableId="1936862568">
    <w:abstractNumId w:val="1"/>
  </w:num>
  <w:num w:numId="6" w16cid:durableId="532155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F25"/>
    <w:rsid w:val="000775BD"/>
    <w:rsid w:val="000806A8"/>
    <w:rsid w:val="000F6171"/>
    <w:rsid w:val="00101855"/>
    <w:rsid w:val="001911B3"/>
    <w:rsid w:val="001A3E1D"/>
    <w:rsid w:val="001F4965"/>
    <w:rsid w:val="002240AB"/>
    <w:rsid w:val="00226783"/>
    <w:rsid w:val="00246BA4"/>
    <w:rsid w:val="00247C78"/>
    <w:rsid w:val="002A128C"/>
    <w:rsid w:val="002B09D2"/>
    <w:rsid w:val="00302058"/>
    <w:rsid w:val="00340986"/>
    <w:rsid w:val="00374F36"/>
    <w:rsid w:val="00496B9F"/>
    <w:rsid w:val="004E18B1"/>
    <w:rsid w:val="004E59C0"/>
    <w:rsid w:val="00513A49"/>
    <w:rsid w:val="00593554"/>
    <w:rsid w:val="006036DD"/>
    <w:rsid w:val="00606EE5"/>
    <w:rsid w:val="00683BCE"/>
    <w:rsid w:val="00695ABB"/>
    <w:rsid w:val="006A085E"/>
    <w:rsid w:val="00712052"/>
    <w:rsid w:val="00712DC6"/>
    <w:rsid w:val="007164FE"/>
    <w:rsid w:val="00724461"/>
    <w:rsid w:val="00726FF7"/>
    <w:rsid w:val="00763550"/>
    <w:rsid w:val="007A0F23"/>
    <w:rsid w:val="007B1079"/>
    <w:rsid w:val="007B1978"/>
    <w:rsid w:val="00813B72"/>
    <w:rsid w:val="008176F0"/>
    <w:rsid w:val="00891BEA"/>
    <w:rsid w:val="008A775D"/>
    <w:rsid w:val="008B0E72"/>
    <w:rsid w:val="008E5E88"/>
    <w:rsid w:val="008F4D5F"/>
    <w:rsid w:val="009102B9"/>
    <w:rsid w:val="00923FB6"/>
    <w:rsid w:val="00936F0E"/>
    <w:rsid w:val="00965A43"/>
    <w:rsid w:val="009A6B35"/>
    <w:rsid w:val="009E70A3"/>
    <w:rsid w:val="00A0199C"/>
    <w:rsid w:val="00A07986"/>
    <w:rsid w:val="00A12377"/>
    <w:rsid w:val="00A25A19"/>
    <w:rsid w:val="00A81A04"/>
    <w:rsid w:val="00AA4109"/>
    <w:rsid w:val="00AA53CE"/>
    <w:rsid w:val="00AC6001"/>
    <w:rsid w:val="00AC621B"/>
    <w:rsid w:val="00AD4804"/>
    <w:rsid w:val="00B03CC2"/>
    <w:rsid w:val="00B03D39"/>
    <w:rsid w:val="00B5393D"/>
    <w:rsid w:val="00B64F25"/>
    <w:rsid w:val="00BD395F"/>
    <w:rsid w:val="00BF3FD6"/>
    <w:rsid w:val="00BF7879"/>
    <w:rsid w:val="00C11A03"/>
    <w:rsid w:val="00C82615"/>
    <w:rsid w:val="00CB2186"/>
    <w:rsid w:val="00CC2539"/>
    <w:rsid w:val="00CE3BFE"/>
    <w:rsid w:val="00D144FA"/>
    <w:rsid w:val="00D51182"/>
    <w:rsid w:val="00D57FDD"/>
    <w:rsid w:val="00D66597"/>
    <w:rsid w:val="00D7384A"/>
    <w:rsid w:val="00D77BEC"/>
    <w:rsid w:val="00DB7077"/>
    <w:rsid w:val="00DD69B3"/>
    <w:rsid w:val="00DF4364"/>
    <w:rsid w:val="00E52557"/>
    <w:rsid w:val="00E57052"/>
    <w:rsid w:val="00EB1E28"/>
    <w:rsid w:val="00F117AC"/>
    <w:rsid w:val="00F1691A"/>
    <w:rsid w:val="00F26807"/>
    <w:rsid w:val="00F40FF7"/>
    <w:rsid w:val="00FC21F7"/>
    <w:rsid w:val="00FF2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B67DB"/>
  <w15:chartTrackingRefBased/>
  <w15:docId w15:val="{95D2A2F9-47ED-46BA-B84D-79CD7C50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D5F"/>
  </w:style>
  <w:style w:type="paragraph" w:styleId="Heading1">
    <w:name w:val="heading 1"/>
    <w:basedOn w:val="Normal"/>
    <w:next w:val="Normal"/>
    <w:link w:val="Heading1Char"/>
    <w:qFormat/>
    <w:rsid w:val="00B64F25"/>
    <w:pPr>
      <w:tabs>
        <w:tab w:val="left" w:pos="432"/>
        <w:tab w:val="left" w:pos="720"/>
        <w:tab w:val="left" w:pos="5760"/>
      </w:tabs>
      <w:spacing w:before="240" w:after="0" w:line="240" w:lineRule="auto"/>
      <w:ind w:right="720"/>
      <w:outlineLvl w:val="0"/>
    </w:pPr>
    <w:rPr>
      <w:rFonts w:ascii="Times New Roman" w:eastAsia="Times New Roman" w:hAnsi="Times New Roman" w:cs="Times New Roman"/>
      <w:b/>
      <w:color w:val="000000"/>
      <w:sz w:val="28"/>
      <w:szCs w:val="20"/>
    </w:rPr>
  </w:style>
  <w:style w:type="paragraph" w:styleId="Heading2">
    <w:name w:val="heading 2"/>
    <w:basedOn w:val="Heading1"/>
    <w:next w:val="Normal"/>
    <w:link w:val="Heading2Char"/>
    <w:qFormat/>
    <w:rsid w:val="00B64F25"/>
    <w:pPr>
      <w:spacing w:before="120"/>
      <w:ind w:left="187"/>
      <w:outlineLvl w:val="1"/>
    </w:pPr>
    <w:rPr>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4F25"/>
    <w:rPr>
      <w:rFonts w:ascii="Times New Roman" w:eastAsia="Times New Roman" w:hAnsi="Times New Roman" w:cs="Times New Roman"/>
      <w:b/>
      <w:color w:val="000000"/>
      <w:sz w:val="28"/>
      <w:szCs w:val="20"/>
    </w:rPr>
  </w:style>
  <w:style w:type="character" w:customStyle="1" w:styleId="Heading2Char">
    <w:name w:val="Heading 2 Char"/>
    <w:basedOn w:val="DefaultParagraphFont"/>
    <w:link w:val="Heading2"/>
    <w:rsid w:val="00B64F25"/>
    <w:rPr>
      <w:rFonts w:ascii="Times New Roman" w:eastAsia="Times New Roman" w:hAnsi="Times New Roman" w:cs="Times New Roman"/>
      <w:b/>
      <w:color w:val="000000"/>
      <w:sz w:val="26"/>
      <w:szCs w:val="20"/>
      <w:u w:val="single"/>
    </w:rPr>
  </w:style>
  <w:style w:type="paragraph" w:styleId="ListParagraph">
    <w:name w:val="List Paragraph"/>
    <w:basedOn w:val="Normal"/>
    <w:uiPriority w:val="34"/>
    <w:qFormat/>
    <w:rsid w:val="00B64F25"/>
    <w:pPr>
      <w:tabs>
        <w:tab w:val="left" w:pos="720"/>
        <w:tab w:val="left" w:pos="5760"/>
      </w:tabs>
      <w:spacing w:after="0" w:line="240" w:lineRule="auto"/>
      <w:ind w:left="720" w:right="720"/>
      <w:contextualSpacing/>
    </w:pPr>
    <w:rPr>
      <w:rFonts w:ascii="Times New Roman" w:eastAsia="Times New Roman" w:hAnsi="Times New Roman" w:cs="Times New Roman"/>
      <w:color w:val="000000"/>
      <w:sz w:val="24"/>
      <w:szCs w:val="20"/>
    </w:rPr>
  </w:style>
  <w:style w:type="character" w:styleId="Hyperlink">
    <w:name w:val="Hyperlink"/>
    <w:basedOn w:val="DefaultParagraphFont"/>
    <w:uiPriority w:val="99"/>
    <w:unhideWhenUsed/>
    <w:rsid w:val="00724461"/>
    <w:rPr>
      <w:color w:val="0563C1" w:themeColor="hyperlink"/>
      <w:u w:val="single"/>
    </w:rPr>
  </w:style>
  <w:style w:type="character" w:styleId="UnresolvedMention">
    <w:name w:val="Unresolved Mention"/>
    <w:basedOn w:val="DefaultParagraphFont"/>
    <w:uiPriority w:val="99"/>
    <w:semiHidden/>
    <w:unhideWhenUsed/>
    <w:rsid w:val="00724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hyperlink" Target="https://github.com/usnistgov/eerc"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1682</Words>
  <Characters>9590</Characters>
  <Application>Microsoft Office Word</Application>
  <DocSecurity>0</DocSecurity>
  <Lines>79</Lines>
  <Paragraphs>22</Paragraphs>
  <ScaleCrop>false</ScaleCrop>
  <Company/>
  <LinksUpToDate>false</LinksUpToDate>
  <CharactersWithSpaces>11250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Kneifel, Joshua D. (Fed)</dc:creator>
  <cp:keywords/>
  <dc:description/>
  <cp:lastModifiedBy>Kneifel, Joshua D. (Fed)</cp:lastModifiedBy>
  <cp:revision>90</cp:revision>
  <dcterms:created xsi:type="dcterms:W3CDTF">2023-12-01T14:53:00Z</dcterms:created>
  <dcterms:modified xsi:type="dcterms:W3CDTF">2023-12-01T15:50:00Z</dcterms:modified>
</cp:coreProperties>
</file>