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6C7F" w14:textId="34CDB0CE" w:rsidR="00204132" w:rsidRPr="0010780E" w:rsidRDefault="002634E0" w:rsidP="002E1B95">
      <w:pPr>
        <w:tabs>
          <w:tab w:val="clear" w:pos="5760"/>
          <w:tab w:val="left" w:pos="1520"/>
          <w:tab w:val="left" w:pos="5940"/>
          <w:tab w:val="left" w:pos="6300"/>
        </w:tabs>
        <w:jc w:val="center"/>
        <w:rPr>
          <w:b/>
          <w:bCs/>
          <w:szCs w:val="24"/>
        </w:rPr>
      </w:pPr>
      <w:bookmarkStart w:id="0" w:name="_Hlk1053996"/>
      <w:r w:rsidRPr="0010780E">
        <w:rPr>
          <w:b/>
          <w:bCs/>
          <w:szCs w:val="24"/>
        </w:rPr>
        <w:t xml:space="preserve">Energy Escalation Rate Calculator </w:t>
      </w:r>
      <w:r w:rsidR="002E1B95" w:rsidRPr="0010780E">
        <w:rPr>
          <w:b/>
          <w:bCs/>
          <w:szCs w:val="24"/>
        </w:rPr>
        <w:t>(E</w:t>
      </w:r>
      <w:r w:rsidRPr="0010780E">
        <w:rPr>
          <w:b/>
          <w:bCs/>
          <w:szCs w:val="24"/>
        </w:rPr>
        <w:t>ERC</w:t>
      </w:r>
      <w:r w:rsidR="00204132" w:rsidRPr="0010780E">
        <w:rPr>
          <w:b/>
          <w:bCs/>
          <w:szCs w:val="24"/>
        </w:rPr>
        <w:t>)</w:t>
      </w:r>
      <w:bookmarkEnd w:id="0"/>
    </w:p>
    <w:p w14:paraId="52049FC2" w14:textId="05825111" w:rsidR="000C4394" w:rsidRPr="0010780E" w:rsidRDefault="000C4394" w:rsidP="002E1B95">
      <w:pPr>
        <w:tabs>
          <w:tab w:val="clear" w:pos="5760"/>
          <w:tab w:val="left" w:pos="1520"/>
          <w:tab w:val="left" w:pos="5940"/>
          <w:tab w:val="left" w:pos="6300"/>
        </w:tabs>
        <w:jc w:val="center"/>
        <w:rPr>
          <w:b/>
          <w:bCs/>
          <w:szCs w:val="24"/>
        </w:rPr>
      </w:pPr>
      <w:r w:rsidRPr="0010780E">
        <w:rPr>
          <w:b/>
          <w:bCs/>
          <w:szCs w:val="24"/>
        </w:rPr>
        <w:t>User Guide</w:t>
      </w:r>
    </w:p>
    <w:p w14:paraId="0A743FFF" w14:textId="77777777" w:rsidR="001D1F14" w:rsidRPr="0010780E" w:rsidRDefault="001D1F14">
      <w:pPr>
        <w:tabs>
          <w:tab w:val="clear" w:pos="5760"/>
          <w:tab w:val="left" w:pos="1520"/>
          <w:tab w:val="left" w:pos="5940"/>
          <w:tab w:val="left" w:pos="6300"/>
        </w:tabs>
        <w:jc w:val="center"/>
        <w:rPr>
          <w:bCs/>
          <w:szCs w:val="24"/>
        </w:rPr>
      </w:pPr>
    </w:p>
    <w:p w14:paraId="6D911856" w14:textId="34A3CEB7" w:rsidR="00204132" w:rsidRPr="0010780E" w:rsidRDefault="00204132">
      <w:pPr>
        <w:pStyle w:val="Heading1"/>
        <w:rPr>
          <w:sz w:val="24"/>
          <w:szCs w:val="24"/>
        </w:rPr>
      </w:pPr>
      <w:bookmarkStart w:id="1" w:name="_Toc21606435"/>
      <w:r w:rsidRPr="0010780E">
        <w:rPr>
          <w:sz w:val="24"/>
          <w:szCs w:val="24"/>
        </w:rPr>
        <w:t>S</w:t>
      </w:r>
      <w:r w:rsidR="000C4394" w:rsidRPr="0010780E">
        <w:rPr>
          <w:sz w:val="24"/>
          <w:szCs w:val="24"/>
        </w:rPr>
        <w:t>ummary</w:t>
      </w:r>
      <w:bookmarkEnd w:id="1"/>
      <w:r w:rsidRPr="0010780E">
        <w:rPr>
          <w:sz w:val="24"/>
          <w:szCs w:val="24"/>
        </w:rPr>
        <w:t xml:space="preserve"> </w:t>
      </w:r>
    </w:p>
    <w:p w14:paraId="31B1A23A" w14:textId="77777777" w:rsidR="009D7D61" w:rsidRPr="0010780E" w:rsidRDefault="009D7D61" w:rsidP="009D7D61">
      <w:pPr>
        <w:rPr>
          <w:szCs w:val="24"/>
        </w:rPr>
      </w:pPr>
    </w:p>
    <w:p w14:paraId="4BE156B6" w14:textId="52499AEA" w:rsidR="009D7D61" w:rsidRDefault="009D7D61" w:rsidP="009D7D61">
      <w:pPr>
        <w:rPr>
          <w:szCs w:val="24"/>
        </w:rPr>
      </w:pPr>
      <w:r w:rsidRPr="0010780E">
        <w:rPr>
          <w:szCs w:val="24"/>
        </w:rPr>
        <w:t xml:space="preserve">EERC computes an average rate of escalation for a specified </w:t>
      </w:r>
      <w:proofErr w:type="gramStart"/>
      <w:r w:rsidRPr="0010780E">
        <w:rPr>
          <w:szCs w:val="24"/>
        </w:rPr>
        <w:t>time period</w:t>
      </w:r>
      <w:proofErr w:type="gramEnd"/>
      <w:r w:rsidRPr="0010780E">
        <w:rPr>
          <w:szCs w:val="24"/>
        </w:rPr>
        <w:t xml:space="preserve">, which can be used as an escalation rate for contract payments in ESPCs and UESCs. </w:t>
      </w:r>
      <w:r w:rsidR="00285CBB">
        <w:rPr>
          <w:szCs w:val="24"/>
        </w:rPr>
        <w:t xml:space="preserve">These escalation rates are based on energy price projections from the Department of Energy’s Energy Information Administration (EIA). </w:t>
      </w:r>
      <w:r w:rsidRPr="0010780E">
        <w:rPr>
          <w:szCs w:val="24"/>
        </w:rPr>
        <w:t>While the underlying energy price projections vary from year to year, for calculating contract payments the</w:t>
      </w:r>
      <w:r w:rsidR="00285CBB">
        <w:rPr>
          <w:szCs w:val="24"/>
        </w:rPr>
        <w:t xml:space="preserve"> single</w:t>
      </w:r>
      <w:r w:rsidRPr="0010780E">
        <w:rPr>
          <w:szCs w:val="24"/>
        </w:rPr>
        <w:t xml:space="preserve"> EERC-calculated uniform average rate is preferable. The rate is stated in real (excluding inflation) and nominal (including inflation) terms and weighted by the share of each of the energy types used in the project. </w:t>
      </w:r>
      <w:r w:rsidR="00285CBB">
        <w:rPr>
          <w:szCs w:val="24"/>
        </w:rPr>
        <w:t xml:space="preserve">Alternatively, an escalation rate for each energy type can be computed separately.  </w:t>
      </w:r>
    </w:p>
    <w:p w14:paraId="67319719" w14:textId="77777777" w:rsidR="00285CBB" w:rsidRPr="0010780E" w:rsidRDefault="00285CBB" w:rsidP="009D7D61">
      <w:pPr>
        <w:rPr>
          <w:szCs w:val="24"/>
        </w:rPr>
      </w:pPr>
    </w:p>
    <w:p w14:paraId="1EC869A6" w14:textId="705487EF" w:rsidR="009D7D61" w:rsidRPr="0010780E" w:rsidRDefault="009D7D61" w:rsidP="009D7D61">
      <w:pPr>
        <w:rPr>
          <w:szCs w:val="24"/>
        </w:rPr>
      </w:pPr>
      <w:r w:rsidRPr="0010780E">
        <w:rPr>
          <w:szCs w:val="24"/>
        </w:rPr>
        <w:t>To assist federal agencies</w:t>
      </w:r>
      <w:r w:rsidR="00285CBB">
        <w:rPr>
          <w:szCs w:val="24"/>
        </w:rPr>
        <w:t xml:space="preserve"> (and others)</w:t>
      </w:r>
      <w:r w:rsidRPr="0010780E">
        <w:rPr>
          <w:szCs w:val="24"/>
        </w:rPr>
        <w:t xml:space="preserve"> in considering a range of energy price</w:t>
      </w:r>
      <w:r w:rsidR="00285CBB">
        <w:rPr>
          <w:szCs w:val="24"/>
        </w:rPr>
        <w:t xml:space="preserve"> and policy</w:t>
      </w:r>
      <w:r w:rsidRPr="0010780E">
        <w:rPr>
          <w:szCs w:val="24"/>
        </w:rPr>
        <w:t xml:space="preserve"> scenarios, escalation rates may be adjusted by NIST for three levels of </w:t>
      </w:r>
      <w:r w:rsidR="00C313FD">
        <w:rPr>
          <w:szCs w:val="24"/>
        </w:rPr>
        <w:t xml:space="preserve">estimated social cost of </w:t>
      </w:r>
      <w:r w:rsidR="00532C01">
        <w:rPr>
          <w:szCs w:val="24"/>
        </w:rPr>
        <w:t>carbon (</w:t>
      </w:r>
      <w:r w:rsidR="00A744DE">
        <w:rPr>
          <w:szCs w:val="24"/>
        </w:rPr>
        <w:t>SCC</w:t>
      </w:r>
      <w:r w:rsidR="00532C01">
        <w:rPr>
          <w:szCs w:val="24"/>
        </w:rPr>
        <w:t>)</w:t>
      </w:r>
      <w:r w:rsidRPr="0010780E">
        <w:rPr>
          <w:szCs w:val="24"/>
        </w:rPr>
        <w:t xml:space="preserve">. </w:t>
      </w:r>
    </w:p>
    <w:p w14:paraId="2A6BDD82" w14:textId="77777777" w:rsidR="009D7D61" w:rsidRPr="0010780E" w:rsidRDefault="009D7D61" w:rsidP="009D7D61">
      <w:pPr>
        <w:tabs>
          <w:tab w:val="clear" w:pos="5760"/>
          <w:tab w:val="left" w:pos="1520"/>
        </w:tabs>
        <w:rPr>
          <w:szCs w:val="24"/>
        </w:rPr>
      </w:pPr>
    </w:p>
    <w:p w14:paraId="7B90A544" w14:textId="30EF27AA" w:rsidR="009D7D61" w:rsidRPr="0010780E" w:rsidRDefault="009D7D61" w:rsidP="009D7D61">
      <w:pPr>
        <w:tabs>
          <w:tab w:val="clear" w:pos="5760"/>
          <w:tab w:val="left" w:pos="1520"/>
        </w:tabs>
        <w:rPr>
          <w:szCs w:val="24"/>
        </w:rPr>
      </w:pPr>
      <w:r w:rsidRPr="0010780E">
        <w:rPr>
          <w:szCs w:val="24"/>
        </w:rPr>
        <w:t xml:space="preserve">The EIA projections adjusted by NIST for carbon pricing are based on three </w:t>
      </w:r>
      <w:r w:rsidR="002B7323">
        <w:rPr>
          <w:szCs w:val="24"/>
        </w:rPr>
        <w:t>SCC</w:t>
      </w:r>
      <w:r w:rsidR="001D2EBF" w:rsidRPr="001D2EBF">
        <w:rPr>
          <w:szCs w:val="24"/>
        </w:rPr>
        <w:t xml:space="preserve"> projections provided in the Interagency Working Group on Social Cost of Greenhouse Gases Interim Estimates</w:t>
      </w:r>
      <w:r w:rsidR="00285CBB">
        <w:rPr>
          <w:szCs w:val="24"/>
        </w:rPr>
        <w:t>, which were developed pursuant to</w:t>
      </w:r>
      <w:r w:rsidR="001D2EBF" w:rsidRPr="001D2EBF">
        <w:rPr>
          <w:szCs w:val="24"/>
        </w:rPr>
        <w:t xml:space="preserve"> Executive Order 13990</w:t>
      </w:r>
      <w:r w:rsidR="00285CBB">
        <w:rPr>
          <w:szCs w:val="24"/>
        </w:rPr>
        <w:t xml:space="preserve">. Those estimates are </w:t>
      </w:r>
      <w:r w:rsidR="001D2EBF" w:rsidRPr="001D2EBF">
        <w:rPr>
          <w:szCs w:val="24"/>
        </w:rPr>
        <w:t>adjusted</w:t>
      </w:r>
      <w:r w:rsidR="00285CBB">
        <w:rPr>
          <w:szCs w:val="24"/>
        </w:rPr>
        <w:t xml:space="preserve"> by NIST</w:t>
      </w:r>
      <w:r w:rsidR="001D2EBF" w:rsidRPr="001D2EBF">
        <w:rPr>
          <w:szCs w:val="24"/>
        </w:rPr>
        <w:t xml:space="preserve"> to 2022 dollars. </w:t>
      </w:r>
      <w:r w:rsidR="00772CDF">
        <w:rPr>
          <w:szCs w:val="24"/>
        </w:rPr>
        <w:t xml:space="preserve">The scenarios </w:t>
      </w:r>
      <w:r w:rsidR="001D2EBF" w:rsidRPr="001D2EBF">
        <w:rPr>
          <w:szCs w:val="24"/>
        </w:rPr>
        <w:t xml:space="preserve">assume different discount rates and projection </w:t>
      </w:r>
      <w:proofErr w:type="gramStart"/>
      <w:r w:rsidR="001D2EBF" w:rsidRPr="001D2EBF">
        <w:rPr>
          <w:szCs w:val="24"/>
        </w:rPr>
        <w:t>percentile</w:t>
      </w:r>
      <w:r w:rsidR="00973B55">
        <w:rPr>
          <w:szCs w:val="24"/>
        </w:rPr>
        <w:t xml:space="preserve">, </w:t>
      </w:r>
      <w:r w:rsidR="001D2EBF" w:rsidRPr="001D2EBF">
        <w:rPr>
          <w:szCs w:val="24"/>
        </w:rPr>
        <w:t xml:space="preserve"> </w:t>
      </w:r>
      <w:r w:rsidR="00973B55" w:rsidRPr="001D2EBF">
        <w:rPr>
          <w:szCs w:val="24"/>
        </w:rPr>
        <w:t>provid</w:t>
      </w:r>
      <w:r w:rsidR="00973B55">
        <w:rPr>
          <w:szCs w:val="24"/>
        </w:rPr>
        <w:t>ing</w:t>
      </w:r>
      <w:proofErr w:type="gramEnd"/>
      <w:r w:rsidR="00973B55" w:rsidRPr="001D2EBF">
        <w:rPr>
          <w:szCs w:val="24"/>
        </w:rPr>
        <w:t xml:space="preserve"> </w:t>
      </w:r>
      <w:r w:rsidR="001D2EBF" w:rsidRPr="001D2EBF">
        <w:rPr>
          <w:szCs w:val="24"/>
        </w:rPr>
        <w:t xml:space="preserve">a range of values that can be used for sensitivity analysis. </w:t>
      </w:r>
      <w:r w:rsidR="00467C06">
        <w:rPr>
          <w:szCs w:val="24"/>
        </w:rPr>
        <w:t xml:space="preserve">Note that this approach was implemented in </w:t>
      </w:r>
      <w:r w:rsidR="006173F3">
        <w:rPr>
          <w:szCs w:val="24"/>
        </w:rPr>
        <w:t>the 2022 release, replacing the previous methodology that used carbon pric</w:t>
      </w:r>
      <w:r w:rsidR="001C73F0">
        <w:rPr>
          <w:szCs w:val="24"/>
        </w:rPr>
        <w:t>ing projections based on proposed carbon cap-and-trade legislation</w:t>
      </w:r>
      <w:r w:rsidR="008911C8">
        <w:rPr>
          <w:szCs w:val="24"/>
        </w:rPr>
        <w:t xml:space="preserve"> from 2009</w:t>
      </w:r>
      <w:r w:rsidR="001C73F0">
        <w:rPr>
          <w:szCs w:val="24"/>
        </w:rPr>
        <w:t xml:space="preserve">. </w:t>
      </w:r>
    </w:p>
    <w:p w14:paraId="15EE0F16" w14:textId="338C8070" w:rsidR="00031315" w:rsidRPr="0010780E" w:rsidRDefault="00031315" w:rsidP="009D7D61">
      <w:pPr>
        <w:tabs>
          <w:tab w:val="clear" w:pos="5760"/>
          <w:tab w:val="left" w:pos="1520"/>
        </w:tabs>
        <w:rPr>
          <w:szCs w:val="24"/>
        </w:rPr>
      </w:pPr>
    </w:p>
    <w:p w14:paraId="028BCCE9" w14:textId="1A50BF9E" w:rsidR="00332963" w:rsidRPr="0010780E" w:rsidRDefault="00031315" w:rsidP="00332963">
      <w:pPr>
        <w:tabs>
          <w:tab w:val="clear" w:pos="5760"/>
          <w:tab w:val="left" w:pos="1520"/>
        </w:tabs>
        <w:rPr>
          <w:szCs w:val="24"/>
        </w:rPr>
      </w:pPr>
      <w:r w:rsidRPr="0010780E">
        <w:rPr>
          <w:szCs w:val="24"/>
        </w:rPr>
        <w:t xml:space="preserve">The </w:t>
      </w:r>
      <w:r w:rsidR="000C4394" w:rsidRPr="0010780E">
        <w:rPr>
          <w:szCs w:val="24"/>
        </w:rPr>
        <w:t>prior</w:t>
      </w:r>
      <w:r w:rsidRPr="0010780E">
        <w:rPr>
          <w:szCs w:val="24"/>
        </w:rPr>
        <w:t xml:space="preserve"> </w:t>
      </w:r>
      <w:r w:rsidR="000C4394" w:rsidRPr="0010780E">
        <w:rPr>
          <w:szCs w:val="24"/>
        </w:rPr>
        <w:t>(</w:t>
      </w:r>
      <w:proofErr w:type="spellStart"/>
      <w:r w:rsidR="000C4394" w:rsidRPr="0010780E">
        <w:rPr>
          <w:szCs w:val="24"/>
        </w:rPr>
        <w:t>executeable</w:t>
      </w:r>
      <w:proofErr w:type="spellEnd"/>
      <w:r w:rsidR="000C4394" w:rsidRPr="0010780E">
        <w:rPr>
          <w:szCs w:val="24"/>
        </w:rPr>
        <w:t xml:space="preserve">) </w:t>
      </w:r>
      <w:r w:rsidRPr="0010780E">
        <w:rPr>
          <w:szCs w:val="24"/>
        </w:rPr>
        <w:t>user interface is shown below</w:t>
      </w:r>
      <w:r w:rsidR="00332963">
        <w:rPr>
          <w:szCs w:val="24"/>
        </w:rPr>
        <w:t xml:space="preserve"> (left)</w:t>
      </w:r>
      <w:r w:rsidRPr="0010780E">
        <w:rPr>
          <w:szCs w:val="24"/>
        </w:rPr>
        <w:t xml:space="preserve">. The user provides the fuel type, fuel rate, study period, carbon pricing scenario, and inflation rate. Default values are provided for </w:t>
      </w:r>
      <w:r w:rsidR="003520EB">
        <w:rPr>
          <w:szCs w:val="24"/>
        </w:rPr>
        <w:t>projected SCC</w:t>
      </w:r>
      <w:r w:rsidRPr="0010780E">
        <w:rPr>
          <w:szCs w:val="24"/>
        </w:rPr>
        <w:t xml:space="preserve"> scenario</w:t>
      </w:r>
      <w:r w:rsidR="003520EB">
        <w:rPr>
          <w:szCs w:val="24"/>
        </w:rPr>
        <w:t>s</w:t>
      </w:r>
      <w:r w:rsidRPr="0010780E">
        <w:rPr>
          <w:szCs w:val="24"/>
        </w:rPr>
        <w:t xml:space="preserve"> (</w:t>
      </w:r>
      <w:r w:rsidR="00B559DB">
        <w:rPr>
          <w:szCs w:val="24"/>
        </w:rPr>
        <w:t>SCC of zero</w:t>
      </w:r>
      <w:r w:rsidRPr="0010780E">
        <w:rPr>
          <w:szCs w:val="24"/>
        </w:rPr>
        <w:t xml:space="preserve">) and inflation rate (based on annual supplement value). </w:t>
      </w:r>
      <w:r w:rsidR="000C0186" w:rsidRPr="0010780E">
        <w:rPr>
          <w:szCs w:val="24"/>
        </w:rPr>
        <w:t xml:space="preserve">The discount rate is fixed based on the Annual Supplement. </w:t>
      </w:r>
      <w:r w:rsidRPr="0010780E">
        <w:rPr>
          <w:szCs w:val="24"/>
        </w:rPr>
        <w:t>The output is a real escalation rate and nominal escalation rate values.</w:t>
      </w:r>
      <w:r w:rsidR="00332963">
        <w:rPr>
          <w:szCs w:val="24"/>
        </w:rPr>
        <w:t xml:space="preserve"> </w:t>
      </w:r>
      <w:r w:rsidR="00332963">
        <w:rPr>
          <w:szCs w:val="24"/>
        </w:rPr>
        <w:t>T</w:t>
      </w:r>
      <w:r w:rsidR="00332963" w:rsidRPr="0010780E">
        <w:rPr>
          <w:szCs w:val="24"/>
        </w:rPr>
        <w:t>he flow diagram for the EERC workflow including the required data</w:t>
      </w:r>
      <w:r w:rsidR="00332963">
        <w:rPr>
          <w:szCs w:val="24"/>
        </w:rPr>
        <w:t xml:space="preserve"> is shown below (right)</w:t>
      </w:r>
      <w:r w:rsidR="00332963" w:rsidRPr="0010780E">
        <w:rPr>
          <w:szCs w:val="24"/>
        </w:rPr>
        <w:t>.</w:t>
      </w:r>
    </w:p>
    <w:p w14:paraId="060900F4" w14:textId="4840B51A" w:rsidR="00031315" w:rsidRPr="0010780E" w:rsidRDefault="00031315" w:rsidP="009D7D61">
      <w:pPr>
        <w:tabs>
          <w:tab w:val="clear" w:pos="5760"/>
          <w:tab w:val="left" w:pos="1520"/>
        </w:tabs>
        <w:rPr>
          <w:szCs w:val="24"/>
        </w:rPr>
      </w:pPr>
    </w:p>
    <w:p w14:paraId="79D6767D" w14:textId="37582C12" w:rsidR="00031315" w:rsidRPr="0010780E" w:rsidRDefault="006C52B9" w:rsidP="009D7D61">
      <w:pPr>
        <w:tabs>
          <w:tab w:val="clear" w:pos="5760"/>
          <w:tab w:val="left" w:pos="1520"/>
        </w:tabs>
        <w:rPr>
          <w:szCs w:val="24"/>
        </w:rPr>
      </w:pPr>
      <w:r>
        <w:rPr>
          <w:noProof/>
          <w:szCs w:val="24"/>
        </w:rPr>
        <w:drawing>
          <wp:inline distT="0" distB="0" distL="0" distR="0" wp14:anchorId="05A42AAC" wp14:editId="144D3809">
            <wp:extent cx="1926590" cy="3529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7845" cy="3532264"/>
                    </a:xfrm>
                    <a:prstGeom prst="rect">
                      <a:avLst/>
                    </a:prstGeom>
                    <a:noFill/>
                  </pic:spPr>
                </pic:pic>
              </a:graphicData>
            </a:graphic>
          </wp:inline>
        </w:drawing>
      </w:r>
      <w:r w:rsidR="00332963">
        <w:rPr>
          <w:szCs w:val="24"/>
        </w:rPr>
        <w:tab/>
      </w:r>
      <w:r w:rsidR="00332963">
        <w:rPr>
          <w:szCs w:val="24"/>
        </w:rPr>
        <w:tab/>
      </w:r>
      <w:r w:rsidR="00332963">
        <w:rPr>
          <w:szCs w:val="24"/>
        </w:rPr>
        <w:tab/>
      </w:r>
      <w:r w:rsidR="00332963" w:rsidRPr="006C52B9">
        <w:rPr>
          <w:noProof/>
        </w:rPr>
        <w:drawing>
          <wp:inline distT="0" distB="0" distL="0" distR="0" wp14:anchorId="20230ACC" wp14:editId="4D9051F1">
            <wp:extent cx="5136478" cy="3564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6174" cy="3570983"/>
                    </a:xfrm>
                    <a:prstGeom prst="rect">
                      <a:avLst/>
                    </a:prstGeom>
                    <a:noFill/>
                    <a:ln>
                      <a:noFill/>
                    </a:ln>
                  </pic:spPr>
                </pic:pic>
              </a:graphicData>
            </a:graphic>
          </wp:inline>
        </w:drawing>
      </w:r>
    </w:p>
    <w:p w14:paraId="78256E18" w14:textId="501402D7" w:rsidR="009D7D61" w:rsidRPr="0010780E" w:rsidRDefault="009D7D61">
      <w:pPr>
        <w:tabs>
          <w:tab w:val="clear" w:pos="5760"/>
          <w:tab w:val="left" w:pos="1520"/>
        </w:tabs>
        <w:rPr>
          <w:szCs w:val="24"/>
        </w:rPr>
      </w:pPr>
    </w:p>
    <w:p w14:paraId="79F3FADD" w14:textId="77777777" w:rsidR="00A11DD7" w:rsidRPr="0010780E" w:rsidRDefault="00A11DD7">
      <w:pPr>
        <w:tabs>
          <w:tab w:val="clear" w:pos="5760"/>
          <w:tab w:val="left" w:pos="1520"/>
        </w:tabs>
        <w:rPr>
          <w:szCs w:val="24"/>
        </w:rPr>
      </w:pPr>
    </w:p>
    <w:p w14:paraId="73556233" w14:textId="1B4767FF" w:rsidR="00204132" w:rsidRPr="0010780E" w:rsidRDefault="009D7D61" w:rsidP="004F52E8">
      <w:pPr>
        <w:pStyle w:val="Heading2"/>
        <w:keepNext/>
        <w:ind w:left="0"/>
        <w:rPr>
          <w:sz w:val="24"/>
          <w:szCs w:val="24"/>
        </w:rPr>
      </w:pPr>
      <w:bookmarkStart w:id="2" w:name="_Toc21606436"/>
      <w:r w:rsidRPr="0010780E">
        <w:rPr>
          <w:sz w:val="24"/>
          <w:szCs w:val="24"/>
        </w:rPr>
        <w:t>Inputs and Outputs</w:t>
      </w:r>
      <w:bookmarkEnd w:id="2"/>
    </w:p>
    <w:p w14:paraId="2DA52422" w14:textId="77777777" w:rsidR="00204132" w:rsidRPr="0010780E" w:rsidRDefault="00204132">
      <w:pPr>
        <w:tabs>
          <w:tab w:val="clear" w:pos="5760"/>
          <w:tab w:val="left" w:pos="1520"/>
        </w:tabs>
        <w:rPr>
          <w:szCs w:val="24"/>
        </w:rPr>
      </w:pPr>
    </w:p>
    <w:p w14:paraId="27017F87" w14:textId="44B5DEF4" w:rsidR="009D7D61" w:rsidRDefault="009D7D61" w:rsidP="009D7D61">
      <w:pPr>
        <w:rPr>
          <w:szCs w:val="24"/>
        </w:rPr>
      </w:pPr>
      <w:r w:rsidRPr="0010780E">
        <w:rPr>
          <w:szCs w:val="24"/>
        </w:rPr>
        <w:t xml:space="preserve">EERC prompts the user for information on the share of cost savings attributable to each fuel type, </w:t>
      </w:r>
      <w:r w:rsidR="009656AA">
        <w:rPr>
          <w:szCs w:val="24"/>
        </w:rPr>
        <w:t xml:space="preserve">the </w:t>
      </w:r>
      <w:r w:rsidRPr="0010780E">
        <w:rPr>
          <w:szCs w:val="24"/>
        </w:rPr>
        <w:t xml:space="preserve">project location, industry sector, and beginning date and duration of the </w:t>
      </w:r>
      <w:r w:rsidR="009656AA">
        <w:rPr>
          <w:szCs w:val="24"/>
        </w:rPr>
        <w:t>project term</w:t>
      </w:r>
      <w:r w:rsidRPr="0010780E">
        <w:rPr>
          <w:szCs w:val="24"/>
        </w:rPr>
        <w:t xml:space="preserve">. It also prompts the user to select one of several </w:t>
      </w:r>
      <w:r w:rsidR="003520EB">
        <w:rPr>
          <w:szCs w:val="24"/>
        </w:rPr>
        <w:t xml:space="preserve">estimated </w:t>
      </w:r>
      <w:r w:rsidR="004B4880">
        <w:rPr>
          <w:szCs w:val="24"/>
        </w:rPr>
        <w:t>SCC</w:t>
      </w:r>
      <w:r w:rsidR="003520EB">
        <w:rPr>
          <w:szCs w:val="24"/>
        </w:rPr>
        <w:t xml:space="preserve"> </w:t>
      </w:r>
      <w:r w:rsidRPr="0010780E">
        <w:rPr>
          <w:szCs w:val="24"/>
        </w:rPr>
        <w:t>scenarios</w:t>
      </w:r>
      <w:r w:rsidR="00B559DB">
        <w:rPr>
          <w:szCs w:val="24"/>
        </w:rPr>
        <w:t xml:space="preserve"> </w:t>
      </w:r>
      <w:r w:rsidRPr="0010780E">
        <w:rPr>
          <w:szCs w:val="24"/>
        </w:rPr>
        <w:t>--</w:t>
      </w:r>
      <w:r w:rsidR="003520EB">
        <w:rPr>
          <w:szCs w:val="24"/>
        </w:rPr>
        <w:t xml:space="preserve"> </w:t>
      </w:r>
      <w:r w:rsidR="009656AA">
        <w:rPr>
          <w:szCs w:val="24"/>
        </w:rPr>
        <w:t>n</w:t>
      </w:r>
      <w:r w:rsidR="009656AA" w:rsidRPr="0010780E">
        <w:rPr>
          <w:szCs w:val="24"/>
        </w:rPr>
        <w:t xml:space="preserve">o </w:t>
      </w:r>
      <w:r w:rsidR="003520EB">
        <w:rPr>
          <w:szCs w:val="24"/>
        </w:rPr>
        <w:t>SCC</w:t>
      </w:r>
      <w:r w:rsidRPr="0010780E">
        <w:rPr>
          <w:szCs w:val="24"/>
        </w:rPr>
        <w:t xml:space="preserve">, </w:t>
      </w:r>
      <w:r w:rsidR="009656AA">
        <w:rPr>
          <w:szCs w:val="24"/>
        </w:rPr>
        <w:t>low</w:t>
      </w:r>
      <w:r w:rsidR="00C44D4F">
        <w:rPr>
          <w:szCs w:val="24"/>
        </w:rPr>
        <w:t xml:space="preserve">, </w:t>
      </w:r>
      <w:r w:rsidR="009656AA">
        <w:rPr>
          <w:szCs w:val="24"/>
        </w:rPr>
        <w:t>medium</w:t>
      </w:r>
      <w:r w:rsidR="00C44D4F">
        <w:rPr>
          <w:szCs w:val="24"/>
        </w:rPr>
        <w:t xml:space="preserve">, </w:t>
      </w:r>
      <w:r w:rsidR="009656AA">
        <w:rPr>
          <w:szCs w:val="24"/>
        </w:rPr>
        <w:t>or h</w:t>
      </w:r>
      <w:r w:rsidR="00C44D4F">
        <w:rPr>
          <w:szCs w:val="24"/>
        </w:rPr>
        <w:t xml:space="preserve">igh </w:t>
      </w:r>
      <w:r w:rsidRPr="0010780E">
        <w:rPr>
          <w:szCs w:val="24"/>
        </w:rPr>
        <w:t>--</w:t>
      </w:r>
      <w:r w:rsidR="00B559DB">
        <w:rPr>
          <w:szCs w:val="24"/>
        </w:rPr>
        <w:t xml:space="preserve"> </w:t>
      </w:r>
      <w:r w:rsidRPr="0010780E">
        <w:rPr>
          <w:szCs w:val="24"/>
        </w:rPr>
        <w:t xml:space="preserve">then retrieves the relevant energy price forecasts and computes the average escalation rate, as described above. Since the performance period </w:t>
      </w:r>
      <w:r w:rsidR="009763A1">
        <w:rPr>
          <w:szCs w:val="24"/>
        </w:rPr>
        <w:t xml:space="preserve">generally </w:t>
      </w:r>
      <w:r w:rsidRPr="0010780E">
        <w:rPr>
          <w:szCs w:val="24"/>
        </w:rPr>
        <w:t>begin</w:t>
      </w:r>
      <w:r w:rsidR="009763A1">
        <w:rPr>
          <w:szCs w:val="24"/>
        </w:rPr>
        <w:t>s a year or more</w:t>
      </w:r>
      <w:r w:rsidRPr="0010780E">
        <w:rPr>
          <w:szCs w:val="24"/>
        </w:rPr>
        <w:t xml:space="preserve"> later than the </w:t>
      </w:r>
      <w:r w:rsidR="009763A1">
        <w:rPr>
          <w:szCs w:val="24"/>
        </w:rPr>
        <w:t>contract award</w:t>
      </w:r>
      <w:r w:rsidR="009763A1" w:rsidRPr="0010780E">
        <w:rPr>
          <w:szCs w:val="24"/>
        </w:rPr>
        <w:t xml:space="preserve"> </w:t>
      </w:r>
      <w:r w:rsidRPr="0010780E">
        <w:rPr>
          <w:szCs w:val="24"/>
        </w:rPr>
        <w:t>date, the calculated average rate includes the price escalation for the intervening year(s).</w:t>
      </w:r>
      <w:r w:rsidR="009763A1">
        <w:rPr>
          <w:szCs w:val="24"/>
        </w:rPr>
        <w:t xml:space="preserve"> Escalation is assumed to take place during this period.</w:t>
      </w:r>
    </w:p>
    <w:p w14:paraId="14BEC8A0" w14:textId="77777777" w:rsidR="009763A1" w:rsidRPr="0010780E" w:rsidRDefault="009763A1" w:rsidP="009D7D61">
      <w:pPr>
        <w:rPr>
          <w:szCs w:val="24"/>
        </w:rPr>
      </w:pPr>
    </w:p>
    <w:p w14:paraId="2C490E14" w14:textId="491E24EE" w:rsidR="009D7D61" w:rsidRPr="0010780E" w:rsidRDefault="009D7D61" w:rsidP="009D7D61">
      <w:pPr>
        <w:rPr>
          <w:szCs w:val="24"/>
        </w:rPr>
      </w:pPr>
      <w:r w:rsidRPr="0010780E">
        <w:rPr>
          <w:szCs w:val="24"/>
        </w:rPr>
        <w:t xml:space="preserve">The calculated average escalation rate is reported in both real (excluding inflation) and nominal (including inflation) terms. The energy price projections for all scenarios exclude inflation and thus generate real rates. The default inflation rate used in the EERC is the long-term inflation rate calculated annually by DOE/FEMP using </w:t>
      </w:r>
      <w:r w:rsidR="00332963">
        <w:rPr>
          <w:szCs w:val="24"/>
        </w:rPr>
        <w:t xml:space="preserve">the average annual inflation estimates for the next 10 years from the White House Council of Economic Advisors (CEA) Analytical Perspectives and </w:t>
      </w:r>
      <w:r w:rsidRPr="0010780E">
        <w:rPr>
          <w:szCs w:val="24"/>
        </w:rPr>
        <w:t>the method</w:t>
      </w:r>
      <w:r w:rsidR="00332963">
        <w:rPr>
          <w:szCs w:val="24"/>
        </w:rPr>
        <w:t>ology</w:t>
      </w:r>
      <w:r w:rsidRPr="0010780E">
        <w:rPr>
          <w:szCs w:val="24"/>
        </w:rPr>
        <w:t xml:space="preserve"> described in 10 CFR 436, but without consideration of the 3.0 % floor for the real discount rate. The default inflation rate does not account for the discount rate floor to accommodate the need for market-based projections of future energy prices in contract negotiations. Otherwise, the default inflation rate would be artificially low in years when the 3.0 % floor applies. </w:t>
      </w:r>
    </w:p>
    <w:p w14:paraId="6FB51C3F" w14:textId="77777777" w:rsidR="009D7D61" w:rsidRPr="0010780E" w:rsidRDefault="009D7D61" w:rsidP="009D7D61">
      <w:pPr>
        <w:rPr>
          <w:szCs w:val="24"/>
        </w:rPr>
      </w:pPr>
    </w:p>
    <w:p w14:paraId="2F963DCA" w14:textId="77777777" w:rsidR="009D7D61" w:rsidRPr="0010780E" w:rsidRDefault="009D7D61" w:rsidP="00271868">
      <w:pPr>
        <w:keepNext/>
        <w:tabs>
          <w:tab w:val="clear" w:pos="720"/>
          <w:tab w:val="clear" w:pos="5760"/>
        </w:tabs>
        <w:spacing w:before="100" w:beforeAutospacing="1" w:after="100" w:afterAutospacing="1"/>
        <w:ind w:right="0"/>
        <w:rPr>
          <w:szCs w:val="24"/>
        </w:rPr>
      </w:pPr>
      <w:r w:rsidRPr="0010780E">
        <w:rPr>
          <w:b/>
          <w:bCs/>
          <w:szCs w:val="24"/>
        </w:rPr>
        <w:t>Inputs</w:t>
      </w:r>
    </w:p>
    <w:p w14:paraId="31CD284E" w14:textId="77777777" w:rsidR="009D7D61" w:rsidRPr="0010780E" w:rsidRDefault="009D7D61" w:rsidP="000C4394">
      <w:pPr>
        <w:tabs>
          <w:tab w:val="clear" w:pos="720"/>
          <w:tab w:val="clear" w:pos="5760"/>
        </w:tabs>
        <w:spacing w:before="100" w:beforeAutospacing="1"/>
        <w:ind w:right="0"/>
        <w:rPr>
          <w:szCs w:val="24"/>
        </w:rPr>
      </w:pPr>
      <w:r w:rsidRPr="0010780E">
        <w:rPr>
          <w:b/>
          <w:bCs/>
          <w:szCs w:val="24"/>
        </w:rPr>
        <w:t>Percent of Energy Cost Savings</w:t>
      </w:r>
      <w:r w:rsidRPr="0010780E">
        <w:rPr>
          <w:szCs w:val="24"/>
        </w:rPr>
        <w:t>:</w:t>
      </w:r>
    </w:p>
    <w:p w14:paraId="268FFB79" w14:textId="43730477" w:rsidR="009D7D61" w:rsidRPr="0010780E" w:rsidRDefault="009D7D61" w:rsidP="000C4394">
      <w:pPr>
        <w:numPr>
          <w:ilvl w:val="0"/>
          <w:numId w:val="21"/>
        </w:numPr>
        <w:tabs>
          <w:tab w:val="clear" w:pos="5760"/>
        </w:tabs>
        <w:spacing w:before="100" w:beforeAutospacing="1"/>
        <w:ind w:right="0"/>
        <w:rPr>
          <w:szCs w:val="24"/>
        </w:rPr>
      </w:pPr>
      <w:r w:rsidRPr="0010780E">
        <w:rPr>
          <w:szCs w:val="24"/>
        </w:rPr>
        <w:t>Percentage of energy cost savings in dollars that is attributable to one or more of the fuel types used in the project. This input is used to weight the escalation rate.</w:t>
      </w:r>
    </w:p>
    <w:p w14:paraId="2E7F2206" w14:textId="1851E19B" w:rsidR="00271868" w:rsidRPr="0010780E" w:rsidRDefault="00271868" w:rsidP="000C4394">
      <w:pPr>
        <w:numPr>
          <w:ilvl w:val="0"/>
          <w:numId w:val="21"/>
        </w:numPr>
        <w:tabs>
          <w:tab w:val="clear" w:pos="5760"/>
        </w:tabs>
        <w:spacing w:before="100" w:beforeAutospacing="1"/>
        <w:ind w:right="0"/>
        <w:rPr>
          <w:szCs w:val="24"/>
        </w:rPr>
      </w:pPr>
      <w:r w:rsidRPr="0010780E">
        <w:rPr>
          <w:szCs w:val="24"/>
        </w:rPr>
        <w:t>Default values are zeros</w:t>
      </w:r>
    </w:p>
    <w:p w14:paraId="1848B01B" w14:textId="7EB13697" w:rsidR="00271868" w:rsidRPr="0010780E" w:rsidRDefault="00271868" w:rsidP="000C4394">
      <w:pPr>
        <w:numPr>
          <w:ilvl w:val="0"/>
          <w:numId w:val="21"/>
        </w:numPr>
        <w:tabs>
          <w:tab w:val="clear" w:pos="5760"/>
        </w:tabs>
        <w:spacing w:before="100" w:beforeAutospacing="1"/>
        <w:ind w:right="0"/>
        <w:rPr>
          <w:szCs w:val="24"/>
        </w:rPr>
      </w:pPr>
      <w:r w:rsidRPr="0010780E">
        <w:rPr>
          <w:szCs w:val="24"/>
        </w:rPr>
        <w:t>Inputted values must sum to 100%</w:t>
      </w:r>
    </w:p>
    <w:p w14:paraId="7CAF2134" w14:textId="77777777" w:rsidR="009D7D61" w:rsidRPr="0010780E" w:rsidRDefault="009D7D61" w:rsidP="000C4394">
      <w:pPr>
        <w:tabs>
          <w:tab w:val="clear" w:pos="720"/>
          <w:tab w:val="clear" w:pos="5760"/>
        </w:tabs>
        <w:spacing w:before="100" w:beforeAutospacing="1"/>
        <w:ind w:right="0"/>
        <w:rPr>
          <w:color w:val="auto"/>
          <w:szCs w:val="24"/>
        </w:rPr>
      </w:pPr>
      <w:r w:rsidRPr="0010780E">
        <w:rPr>
          <w:b/>
          <w:bCs/>
          <w:szCs w:val="24"/>
        </w:rPr>
        <w:t>Fuel Rate Information:</w:t>
      </w:r>
    </w:p>
    <w:p w14:paraId="6599B655" w14:textId="343736C8" w:rsidR="009D7D61" w:rsidRPr="0010780E" w:rsidRDefault="009D7D61" w:rsidP="000C4394">
      <w:pPr>
        <w:numPr>
          <w:ilvl w:val="0"/>
          <w:numId w:val="22"/>
        </w:numPr>
        <w:tabs>
          <w:tab w:val="clear" w:pos="5760"/>
        </w:tabs>
        <w:spacing w:before="100" w:beforeAutospacing="1"/>
        <w:ind w:right="0"/>
        <w:rPr>
          <w:szCs w:val="24"/>
        </w:rPr>
      </w:pPr>
      <w:r w:rsidRPr="0010780E">
        <w:rPr>
          <w:i/>
          <w:iCs/>
          <w:szCs w:val="24"/>
        </w:rPr>
        <w:t>Location</w:t>
      </w:r>
      <w:r w:rsidRPr="0010780E">
        <w:rPr>
          <w:szCs w:val="24"/>
        </w:rPr>
        <w:t xml:space="preserve">: Selection of the state in which the project is located allows the program to select the energy price escalation rates for the corresponding </w:t>
      </w:r>
      <w:r w:rsidR="00C44D4F">
        <w:rPr>
          <w:szCs w:val="24"/>
        </w:rPr>
        <w:t>c</w:t>
      </w:r>
      <w:r w:rsidRPr="0010780E">
        <w:rPr>
          <w:szCs w:val="24"/>
        </w:rPr>
        <w:t xml:space="preserve">ensus </w:t>
      </w:r>
      <w:r w:rsidR="00C44D4F">
        <w:rPr>
          <w:szCs w:val="24"/>
        </w:rPr>
        <w:t>r</w:t>
      </w:r>
      <w:r w:rsidRPr="0010780E">
        <w:rPr>
          <w:szCs w:val="24"/>
        </w:rPr>
        <w:t>egion.</w:t>
      </w:r>
    </w:p>
    <w:p w14:paraId="54F4D131" w14:textId="6F88401B" w:rsidR="009D7D61" w:rsidRPr="0010780E" w:rsidRDefault="009D7D61" w:rsidP="000C4394">
      <w:pPr>
        <w:numPr>
          <w:ilvl w:val="0"/>
          <w:numId w:val="22"/>
        </w:numPr>
        <w:tabs>
          <w:tab w:val="clear" w:pos="5760"/>
        </w:tabs>
        <w:spacing w:before="100" w:beforeAutospacing="1"/>
        <w:ind w:right="0"/>
        <w:rPr>
          <w:szCs w:val="24"/>
        </w:rPr>
      </w:pPr>
      <w:r w:rsidRPr="0010780E">
        <w:rPr>
          <w:i/>
          <w:iCs/>
          <w:szCs w:val="24"/>
        </w:rPr>
        <w:t>Sector</w:t>
      </w:r>
      <w:r w:rsidRPr="0010780E">
        <w:rPr>
          <w:szCs w:val="24"/>
        </w:rPr>
        <w:t>: Selection of commercial or industrial sector determines the type of utility rate schedule applied to the energy cost calculation.</w:t>
      </w:r>
    </w:p>
    <w:p w14:paraId="59103262" w14:textId="2D62E56A" w:rsidR="00271868" w:rsidRPr="0010780E" w:rsidRDefault="00271868" w:rsidP="000C4394">
      <w:pPr>
        <w:numPr>
          <w:ilvl w:val="0"/>
          <w:numId w:val="22"/>
        </w:numPr>
        <w:tabs>
          <w:tab w:val="clear" w:pos="5760"/>
        </w:tabs>
        <w:spacing w:before="100" w:beforeAutospacing="1"/>
        <w:ind w:right="0"/>
        <w:rPr>
          <w:szCs w:val="24"/>
        </w:rPr>
      </w:pPr>
      <w:r w:rsidRPr="0010780E">
        <w:rPr>
          <w:i/>
          <w:iCs/>
          <w:szCs w:val="24"/>
        </w:rPr>
        <w:t xml:space="preserve">User must </w:t>
      </w:r>
      <w:proofErr w:type="gramStart"/>
      <w:r w:rsidRPr="0010780E">
        <w:rPr>
          <w:i/>
          <w:iCs/>
          <w:szCs w:val="24"/>
        </w:rPr>
        <w:t>make a selection of</w:t>
      </w:r>
      <w:proofErr w:type="gramEnd"/>
      <w:r w:rsidRPr="0010780E">
        <w:rPr>
          <w:i/>
          <w:iCs/>
          <w:szCs w:val="24"/>
        </w:rPr>
        <w:t xml:space="preserve"> both inputs</w:t>
      </w:r>
    </w:p>
    <w:p w14:paraId="4F0A175F" w14:textId="162732B9" w:rsidR="009D7D61" w:rsidRPr="0010780E" w:rsidRDefault="00D77C40" w:rsidP="000C4394">
      <w:pPr>
        <w:tabs>
          <w:tab w:val="clear" w:pos="720"/>
          <w:tab w:val="clear" w:pos="5760"/>
        </w:tabs>
        <w:spacing w:before="100" w:beforeAutospacing="1"/>
        <w:ind w:right="0"/>
        <w:rPr>
          <w:color w:val="auto"/>
          <w:szCs w:val="24"/>
        </w:rPr>
      </w:pPr>
      <w:r>
        <w:rPr>
          <w:b/>
          <w:bCs/>
          <w:szCs w:val="24"/>
        </w:rPr>
        <w:t>Contract Term</w:t>
      </w:r>
      <w:r w:rsidR="009D7D61" w:rsidRPr="0010780E">
        <w:rPr>
          <w:b/>
          <w:bCs/>
          <w:szCs w:val="24"/>
        </w:rPr>
        <w:t>:</w:t>
      </w:r>
    </w:p>
    <w:p w14:paraId="512F77CB" w14:textId="50A59490" w:rsidR="009D7D61" w:rsidRPr="0010780E" w:rsidRDefault="009D7D61" w:rsidP="000C4394">
      <w:pPr>
        <w:numPr>
          <w:ilvl w:val="0"/>
          <w:numId w:val="23"/>
        </w:numPr>
        <w:tabs>
          <w:tab w:val="clear" w:pos="5760"/>
        </w:tabs>
        <w:spacing w:before="100" w:beforeAutospacing="1"/>
        <w:ind w:right="0"/>
        <w:rPr>
          <w:szCs w:val="24"/>
        </w:rPr>
      </w:pPr>
      <w:r w:rsidRPr="0010780E">
        <w:rPr>
          <w:i/>
          <w:iCs/>
          <w:szCs w:val="24"/>
        </w:rPr>
        <w:t>Start Date</w:t>
      </w:r>
      <w:r w:rsidRPr="0010780E">
        <w:rPr>
          <w:szCs w:val="24"/>
        </w:rPr>
        <w:t xml:space="preserve">: </w:t>
      </w:r>
      <w:r w:rsidR="00490B08" w:rsidRPr="00490B08">
        <w:rPr>
          <w:szCs w:val="24"/>
        </w:rPr>
        <w:t>Year of contract award/signing</w:t>
      </w:r>
      <w:r w:rsidRPr="0010780E">
        <w:rPr>
          <w:szCs w:val="24"/>
        </w:rPr>
        <w:t>.</w:t>
      </w:r>
    </w:p>
    <w:p w14:paraId="06834EDF" w14:textId="6E1A4A63" w:rsidR="00271868" w:rsidRPr="0010780E" w:rsidRDefault="00271868" w:rsidP="000C4394">
      <w:pPr>
        <w:numPr>
          <w:ilvl w:val="1"/>
          <w:numId w:val="23"/>
        </w:numPr>
        <w:tabs>
          <w:tab w:val="clear" w:pos="5760"/>
        </w:tabs>
        <w:spacing w:before="100" w:beforeAutospacing="1"/>
        <w:ind w:right="0"/>
        <w:rPr>
          <w:szCs w:val="24"/>
        </w:rPr>
      </w:pPr>
      <w:r w:rsidRPr="0010780E">
        <w:rPr>
          <w:i/>
          <w:iCs/>
          <w:szCs w:val="24"/>
        </w:rPr>
        <w:t>User must select a start date year</w:t>
      </w:r>
    </w:p>
    <w:p w14:paraId="01A4AB5C" w14:textId="4DDB8BAB" w:rsidR="00271868" w:rsidRPr="0010780E" w:rsidRDefault="00271868" w:rsidP="000C4394">
      <w:pPr>
        <w:numPr>
          <w:ilvl w:val="1"/>
          <w:numId w:val="23"/>
        </w:numPr>
        <w:tabs>
          <w:tab w:val="clear" w:pos="5760"/>
        </w:tabs>
        <w:spacing w:before="100" w:beforeAutospacing="1"/>
        <w:ind w:right="0"/>
        <w:rPr>
          <w:szCs w:val="24"/>
        </w:rPr>
      </w:pPr>
      <w:r w:rsidRPr="0010780E">
        <w:rPr>
          <w:i/>
          <w:iCs/>
          <w:szCs w:val="24"/>
        </w:rPr>
        <w:t>Options are limited to the next 3 years</w:t>
      </w:r>
    </w:p>
    <w:p w14:paraId="2513903F" w14:textId="7C336AEA" w:rsidR="009D7D61" w:rsidRPr="0010780E" w:rsidRDefault="00D77C40" w:rsidP="000C4394">
      <w:pPr>
        <w:numPr>
          <w:ilvl w:val="0"/>
          <w:numId w:val="23"/>
        </w:numPr>
        <w:tabs>
          <w:tab w:val="clear" w:pos="5760"/>
        </w:tabs>
        <w:spacing w:before="100" w:beforeAutospacing="1"/>
        <w:ind w:right="0"/>
        <w:rPr>
          <w:szCs w:val="24"/>
        </w:rPr>
      </w:pPr>
      <w:r>
        <w:rPr>
          <w:i/>
          <w:iCs/>
          <w:szCs w:val="24"/>
        </w:rPr>
        <w:t xml:space="preserve">Years </w:t>
      </w:r>
      <w:r w:rsidR="009D7D61" w:rsidRPr="0010780E">
        <w:rPr>
          <w:i/>
          <w:iCs/>
          <w:szCs w:val="24"/>
        </w:rPr>
        <w:t>Duration</w:t>
      </w:r>
      <w:r w:rsidR="009D7D61" w:rsidRPr="0010780E">
        <w:rPr>
          <w:szCs w:val="24"/>
        </w:rPr>
        <w:t xml:space="preserve">: </w:t>
      </w:r>
      <w:r w:rsidR="00E21FE7" w:rsidRPr="00E21FE7">
        <w:rPr>
          <w:szCs w:val="24"/>
        </w:rPr>
        <w:t>Number of years of the contract term</w:t>
      </w:r>
      <w:r w:rsidR="009D7D61" w:rsidRPr="0010780E">
        <w:rPr>
          <w:szCs w:val="24"/>
        </w:rPr>
        <w:t>.</w:t>
      </w:r>
    </w:p>
    <w:p w14:paraId="3862E9EE" w14:textId="3492245D" w:rsidR="00271868" w:rsidRPr="0010780E" w:rsidRDefault="00271868" w:rsidP="000C4394">
      <w:pPr>
        <w:numPr>
          <w:ilvl w:val="1"/>
          <w:numId w:val="23"/>
        </w:numPr>
        <w:tabs>
          <w:tab w:val="clear" w:pos="5760"/>
        </w:tabs>
        <w:spacing w:before="100" w:beforeAutospacing="1"/>
        <w:ind w:right="0"/>
        <w:rPr>
          <w:szCs w:val="24"/>
        </w:rPr>
      </w:pPr>
      <w:r w:rsidRPr="0010780E">
        <w:rPr>
          <w:i/>
          <w:iCs/>
          <w:szCs w:val="24"/>
        </w:rPr>
        <w:t xml:space="preserve">User must </w:t>
      </w:r>
      <w:proofErr w:type="gramStart"/>
      <w:r w:rsidRPr="0010780E">
        <w:rPr>
          <w:i/>
          <w:iCs/>
          <w:szCs w:val="24"/>
        </w:rPr>
        <w:t>make a selection</w:t>
      </w:r>
      <w:proofErr w:type="gramEnd"/>
      <w:r w:rsidRPr="0010780E">
        <w:rPr>
          <w:i/>
          <w:iCs/>
          <w:szCs w:val="24"/>
        </w:rPr>
        <w:t xml:space="preserve"> for the duration</w:t>
      </w:r>
    </w:p>
    <w:p w14:paraId="2D962207" w14:textId="4989B6B0" w:rsidR="00DD0467" w:rsidRPr="00787D1F" w:rsidRDefault="00271868" w:rsidP="00787D1F">
      <w:pPr>
        <w:numPr>
          <w:ilvl w:val="1"/>
          <w:numId w:val="23"/>
        </w:numPr>
        <w:tabs>
          <w:tab w:val="clear" w:pos="5760"/>
        </w:tabs>
        <w:spacing w:before="100" w:beforeAutospacing="1"/>
        <w:ind w:right="0"/>
        <w:rPr>
          <w:b/>
          <w:bCs/>
          <w:szCs w:val="24"/>
        </w:rPr>
      </w:pPr>
      <w:r w:rsidRPr="0010780E">
        <w:rPr>
          <w:i/>
          <w:iCs/>
          <w:szCs w:val="24"/>
        </w:rPr>
        <w:t>The duration is limited between 1</w:t>
      </w:r>
      <w:r w:rsidR="005A3027">
        <w:rPr>
          <w:i/>
          <w:iCs/>
          <w:szCs w:val="24"/>
        </w:rPr>
        <w:t>0</w:t>
      </w:r>
      <w:r w:rsidRPr="0010780E">
        <w:rPr>
          <w:i/>
          <w:iCs/>
          <w:szCs w:val="24"/>
        </w:rPr>
        <w:t xml:space="preserve"> year</w:t>
      </w:r>
      <w:r w:rsidR="005A3027">
        <w:rPr>
          <w:i/>
          <w:iCs/>
          <w:szCs w:val="24"/>
        </w:rPr>
        <w:t>s</w:t>
      </w:r>
      <w:r w:rsidRPr="0010780E">
        <w:rPr>
          <w:i/>
          <w:iCs/>
          <w:szCs w:val="24"/>
        </w:rPr>
        <w:t xml:space="preserve"> and 25 years</w:t>
      </w:r>
    </w:p>
    <w:p w14:paraId="7A919122" w14:textId="1D6F85FF" w:rsidR="009D7D61" w:rsidRPr="0010780E" w:rsidRDefault="00D77C40" w:rsidP="000C4394">
      <w:pPr>
        <w:tabs>
          <w:tab w:val="clear" w:pos="720"/>
          <w:tab w:val="clear" w:pos="5760"/>
        </w:tabs>
        <w:spacing w:before="100" w:beforeAutospacing="1"/>
        <w:ind w:right="0"/>
        <w:rPr>
          <w:color w:val="auto"/>
          <w:szCs w:val="24"/>
        </w:rPr>
      </w:pPr>
      <w:r>
        <w:rPr>
          <w:b/>
          <w:bCs/>
          <w:szCs w:val="24"/>
        </w:rPr>
        <w:t>Social Cost of Carbon (SCC) Assumptions</w:t>
      </w:r>
      <w:r w:rsidR="009D7D61" w:rsidRPr="0010780E">
        <w:rPr>
          <w:b/>
          <w:bCs/>
          <w:szCs w:val="24"/>
        </w:rPr>
        <w:t>:</w:t>
      </w:r>
      <w:r w:rsidR="009D7D61" w:rsidRPr="0010780E">
        <w:rPr>
          <w:szCs w:val="24"/>
        </w:rPr>
        <w:br/>
        <w:t>Selection of one of the following carbon pricing scenarios:</w:t>
      </w:r>
    </w:p>
    <w:p w14:paraId="3D79B3CC" w14:textId="103721CB" w:rsidR="009D7D61" w:rsidRPr="0010780E" w:rsidRDefault="00AC7746" w:rsidP="000C4394">
      <w:pPr>
        <w:numPr>
          <w:ilvl w:val="0"/>
          <w:numId w:val="24"/>
        </w:numPr>
        <w:tabs>
          <w:tab w:val="clear" w:pos="5760"/>
        </w:tabs>
        <w:ind w:right="0"/>
        <w:rPr>
          <w:szCs w:val="24"/>
        </w:rPr>
      </w:pPr>
      <w:r>
        <w:rPr>
          <w:szCs w:val="24"/>
        </w:rPr>
        <w:t xml:space="preserve">No </w:t>
      </w:r>
      <w:r w:rsidR="005F1B45">
        <w:rPr>
          <w:szCs w:val="24"/>
        </w:rPr>
        <w:t>SCC</w:t>
      </w:r>
      <w:r w:rsidR="009138D0">
        <w:rPr>
          <w:szCs w:val="24"/>
        </w:rPr>
        <w:t xml:space="preserve"> - $0 </w:t>
      </w:r>
    </w:p>
    <w:p w14:paraId="00F36910" w14:textId="61442C86" w:rsidR="009D7D61" w:rsidRPr="0010780E" w:rsidRDefault="009D7D61" w:rsidP="000C4394">
      <w:pPr>
        <w:numPr>
          <w:ilvl w:val="1"/>
          <w:numId w:val="24"/>
        </w:numPr>
        <w:tabs>
          <w:tab w:val="clear" w:pos="720"/>
          <w:tab w:val="clear" w:pos="5760"/>
        </w:tabs>
        <w:ind w:right="0"/>
        <w:rPr>
          <w:szCs w:val="24"/>
        </w:rPr>
      </w:pPr>
      <w:r w:rsidRPr="0010780E">
        <w:rPr>
          <w:szCs w:val="24"/>
        </w:rPr>
        <w:t xml:space="preserve">Assumes that </w:t>
      </w:r>
      <w:r w:rsidR="00AC7746">
        <w:rPr>
          <w:szCs w:val="24"/>
        </w:rPr>
        <w:t>SCC is zero</w:t>
      </w:r>
      <w:r w:rsidR="003A4800">
        <w:rPr>
          <w:szCs w:val="24"/>
        </w:rPr>
        <w:t xml:space="preserve"> for the entire contract </w:t>
      </w:r>
      <w:r w:rsidR="00344AE2">
        <w:rPr>
          <w:szCs w:val="24"/>
        </w:rPr>
        <w:t>term</w:t>
      </w:r>
    </w:p>
    <w:p w14:paraId="15123706" w14:textId="72BD6369" w:rsidR="009D7D61" w:rsidRPr="0010780E" w:rsidRDefault="009D7D61" w:rsidP="000C4394">
      <w:pPr>
        <w:numPr>
          <w:ilvl w:val="1"/>
          <w:numId w:val="24"/>
        </w:numPr>
        <w:tabs>
          <w:tab w:val="clear" w:pos="720"/>
          <w:tab w:val="clear" w:pos="5760"/>
        </w:tabs>
        <w:ind w:right="0"/>
        <w:rPr>
          <w:szCs w:val="24"/>
        </w:rPr>
      </w:pPr>
      <w:r w:rsidRPr="0010780E">
        <w:rPr>
          <w:szCs w:val="24"/>
        </w:rPr>
        <w:t xml:space="preserve">Uses annual energy price forecasts of the Energy Information Administration, which do not account for </w:t>
      </w:r>
      <w:r w:rsidR="00AC7746">
        <w:rPr>
          <w:szCs w:val="24"/>
        </w:rPr>
        <w:t>estimated SCC</w:t>
      </w:r>
    </w:p>
    <w:p w14:paraId="4359E106" w14:textId="77777777" w:rsidR="008B5BD6" w:rsidRDefault="008B5BD6" w:rsidP="008B5BD6">
      <w:pPr>
        <w:numPr>
          <w:ilvl w:val="0"/>
          <w:numId w:val="24"/>
        </w:numPr>
        <w:tabs>
          <w:tab w:val="clear" w:pos="5760"/>
        </w:tabs>
        <w:ind w:right="0"/>
        <w:rPr>
          <w:szCs w:val="24"/>
        </w:rPr>
      </w:pPr>
      <w:r w:rsidRPr="00A77053">
        <w:rPr>
          <w:szCs w:val="24"/>
        </w:rPr>
        <w:t>Low - $14 in 2022</w:t>
      </w:r>
    </w:p>
    <w:p w14:paraId="6A1A8B54" w14:textId="2E18127C" w:rsidR="008B5BD6" w:rsidRPr="00344AE2" w:rsidRDefault="008B5BD6" w:rsidP="008B5BD6">
      <w:pPr>
        <w:numPr>
          <w:ilvl w:val="1"/>
          <w:numId w:val="24"/>
        </w:numPr>
        <w:tabs>
          <w:tab w:val="clear" w:pos="720"/>
          <w:tab w:val="clear" w:pos="5760"/>
        </w:tabs>
        <w:ind w:right="0"/>
        <w:rPr>
          <w:szCs w:val="24"/>
        </w:rPr>
      </w:pPr>
      <w:r>
        <w:rPr>
          <w:szCs w:val="24"/>
        </w:rPr>
        <w:t>A</w:t>
      </w:r>
      <w:r w:rsidRPr="001D2EBF">
        <w:rPr>
          <w:szCs w:val="24"/>
        </w:rPr>
        <w:t xml:space="preserve">verage </w:t>
      </w:r>
      <w:r>
        <w:rPr>
          <w:szCs w:val="24"/>
        </w:rPr>
        <w:t>SCC</w:t>
      </w:r>
      <w:r w:rsidRPr="001D2EBF">
        <w:rPr>
          <w:szCs w:val="24"/>
        </w:rPr>
        <w:t xml:space="preserve"> assuming a 5 % discount rate</w:t>
      </w:r>
      <w:r w:rsidR="00C1598D">
        <w:rPr>
          <w:szCs w:val="24"/>
        </w:rPr>
        <w:t xml:space="preserve"> (i.e., </w:t>
      </w:r>
      <w:r w:rsidR="00C1598D" w:rsidRPr="00094217">
        <w:rPr>
          <w:color w:val="201F1E"/>
          <w:szCs w:val="24"/>
          <w:shd w:val="clear" w:color="auto" w:fill="FFFFFF"/>
        </w:rPr>
        <w:t>5</w:t>
      </w:r>
      <w:r w:rsidR="00C1598D">
        <w:rPr>
          <w:color w:val="201F1E"/>
          <w:szCs w:val="24"/>
          <w:shd w:val="clear" w:color="auto" w:fill="FFFFFF"/>
        </w:rPr>
        <w:t xml:space="preserve"> </w:t>
      </w:r>
      <w:r w:rsidR="00C1598D" w:rsidRPr="00094217">
        <w:rPr>
          <w:color w:val="201F1E"/>
          <w:szCs w:val="24"/>
          <w:shd w:val="clear" w:color="auto" w:fill="FFFFFF"/>
        </w:rPr>
        <w:t>% DR (</w:t>
      </w:r>
      <w:r w:rsidR="009763A1">
        <w:rPr>
          <w:color w:val="201F1E"/>
          <w:szCs w:val="24"/>
          <w:shd w:val="clear" w:color="auto" w:fill="FFFFFF"/>
        </w:rPr>
        <w:t>and a</w:t>
      </w:r>
      <w:r w:rsidR="009763A1" w:rsidRPr="00094217">
        <w:rPr>
          <w:color w:val="201F1E"/>
          <w:szCs w:val="24"/>
          <w:shd w:val="clear" w:color="auto" w:fill="FFFFFF"/>
        </w:rPr>
        <w:t>verage</w:t>
      </w:r>
      <w:r w:rsidR="009763A1">
        <w:rPr>
          <w:color w:val="201F1E"/>
          <w:szCs w:val="24"/>
          <w:shd w:val="clear" w:color="auto" w:fill="FFFFFF"/>
        </w:rPr>
        <w:t xml:space="preserve"> assumption of estimated carbon damages</w:t>
      </w:r>
      <w:r w:rsidR="00C1598D" w:rsidRPr="00094217">
        <w:rPr>
          <w:color w:val="201F1E"/>
          <w:szCs w:val="24"/>
          <w:shd w:val="clear" w:color="auto" w:fill="FFFFFF"/>
        </w:rPr>
        <w:t>)</w:t>
      </w:r>
      <w:r w:rsidR="00C1598D">
        <w:rPr>
          <w:color w:val="201F1E"/>
          <w:szCs w:val="24"/>
          <w:shd w:val="clear" w:color="auto" w:fill="FFFFFF"/>
        </w:rPr>
        <w:t>)</w:t>
      </w:r>
    </w:p>
    <w:p w14:paraId="62FD2480" w14:textId="0DA0B528" w:rsidR="00344AE2" w:rsidRDefault="00344AE2" w:rsidP="008B5BD6">
      <w:pPr>
        <w:numPr>
          <w:ilvl w:val="1"/>
          <w:numId w:val="24"/>
        </w:numPr>
        <w:tabs>
          <w:tab w:val="clear" w:pos="720"/>
          <w:tab w:val="clear" w:pos="5760"/>
        </w:tabs>
        <w:ind w:right="0"/>
        <w:rPr>
          <w:szCs w:val="24"/>
        </w:rPr>
      </w:pPr>
      <w:r>
        <w:rPr>
          <w:color w:val="201F1E"/>
          <w:szCs w:val="24"/>
          <w:shd w:val="clear" w:color="auto" w:fill="FFFFFF"/>
        </w:rPr>
        <w:t>SCC starts at $14 in 2022 and increases over time</w:t>
      </w:r>
    </w:p>
    <w:p w14:paraId="176001CA" w14:textId="7F5E04D7" w:rsidR="008B5BD6" w:rsidRPr="00767DC0" w:rsidRDefault="008B5BD6" w:rsidP="008B5BD6">
      <w:pPr>
        <w:numPr>
          <w:ilvl w:val="1"/>
          <w:numId w:val="24"/>
        </w:numPr>
        <w:tabs>
          <w:tab w:val="clear" w:pos="5760"/>
        </w:tabs>
        <w:ind w:right="0"/>
        <w:rPr>
          <w:szCs w:val="24"/>
        </w:rPr>
      </w:pPr>
      <w:r>
        <w:rPr>
          <w:szCs w:val="24"/>
        </w:rPr>
        <w:t xml:space="preserve">Lower </w:t>
      </w:r>
      <w:r w:rsidRPr="00CD05E5">
        <w:rPr>
          <w:szCs w:val="24"/>
        </w:rPr>
        <w:t>SCC values</w:t>
      </w:r>
      <w:r w:rsidR="009763A1">
        <w:rPr>
          <w:szCs w:val="24"/>
        </w:rPr>
        <w:t xml:space="preserve"> than with a</w:t>
      </w:r>
      <w:r>
        <w:rPr>
          <w:szCs w:val="24"/>
        </w:rPr>
        <w:t xml:space="preserve"> </w:t>
      </w:r>
      <w:r w:rsidRPr="001D2EBF">
        <w:rPr>
          <w:szCs w:val="24"/>
        </w:rPr>
        <w:t xml:space="preserve">3 % DR </w:t>
      </w:r>
      <w:r w:rsidR="008A111E">
        <w:rPr>
          <w:szCs w:val="24"/>
        </w:rPr>
        <w:t xml:space="preserve">because future values have a lower present value than in the </w:t>
      </w:r>
      <w:proofErr w:type="gramStart"/>
      <w:r w:rsidR="008A111E">
        <w:rPr>
          <w:szCs w:val="24"/>
        </w:rPr>
        <w:t>Medium</w:t>
      </w:r>
      <w:proofErr w:type="gramEnd"/>
      <w:r w:rsidR="008A111E">
        <w:rPr>
          <w:szCs w:val="24"/>
        </w:rPr>
        <w:t xml:space="preserve"> case</w:t>
      </w:r>
    </w:p>
    <w:p w14:paraId="707FBA66" w14:textId="3A00FFC4" w:rsidR="009E46D0" w:rsidRDefault="008B5BD6" w:rsidP="000C4394">
      <w:pPr>
        <w:numPr>
          <w:ilvl w:val="0"/>
          <w:numId w:val="24"/>
        </w:numPr>
        <w:tabs>
          <w:tab w:val="clear" w:pos="5760"/>
        </w:tabs>
        <w:ind w:right="0"/>
        <w:rPr>
          <w:szCs w:val="24"/>
        </w:rPr>
      </w:pPr>
      <w:r>
        <w:rPr>
          <w:szCs w:val="24"/>
        </w:rPr>
        <w:t>Medium</w:t>
      </w:r>
      <w:r w:rsidR="00A77053" w:rsidRPr="00A77053">
        <w:rPr>
          <w:szCs w:val="24"/>
        </w:rPr>
        <w:t xml:space="preserve"> - $</w:t>
      </w:r>
      <w:r>
        <w:rPr>
          <w:szCs w:val="24"/>
        </w:rPr>
        <w:t>51</w:t>
      </w:r>
      <w:r w:rsidR="00A77053" w:rsidRPr="00A77053">
        <w:rPr>
          <w:szCs w:val="24"/>
        </w:rPr>
        <w:t xml:space="preserve"> in 2022</w:t>
      </w:r>
    </w:p>
    <w:p w14:paraId="3014B2AD" w14:textId="54EC966E" w:rsidR="009E46D0" w:rsidRPr="00344AE2" w:rsidRDefault="009E46D0" w:rsidP="009E46D0">
      <w:pPr>
        <w:numPr>
          <w:ilvl w:val="1"/>
          <w:numId w:val="24"/>
        </w:numPr>
        <w:tabs>
          <w:tab w:val="clear" w:pos="720"/>
          <w:tab w:val="clear" w:pos="5760"/>
        </w:tabs>
        <w:ind w:right="0"/>
        <w:rPr>
          <w:szCs w:val="24"/>
        </w:rPr>
      </w:pPr>
      <w:r>
        <w:rPr>
          <w:szCs w:val="24"/>
        </w:rPr>
        <w:t xml:space="preserve">Average </w:t>
      </w:r>
      <w:r w:rsidR="008B5BD6">
        <w:rPr>
          <w:szCs w:val="24"/>
        </w:rPr>
        <w:t>SCC</w:t>
      </w:r>
      <w:r w:rsidRPr="001D2EBF">
        <w:rPr>
          <w:szCs w:val="24"/>
        </w:rPr>
        <w:t xml:space="preserve"> assuming a 3 % discount </w:t>
      </w:r>
      <w:proofErr w:type="gramStart"/>
      <w:r w:rsidRPr="001D2EBF">
        <w:rPr>
          <w:szCs w:val="24"/>
        </w:rPr>
        <w:t>rate</w:t>
      </w:r>
      <w:r w:rsidR="00C1598D">
        <w:rPr>
          <w:szCs w:val="24"/>
        </w:rPr>
        <w:t xml:space="preserve">  (</w:t>
      </w:r>
      <w:proofErr w:type="gramEnd"/>
      <w:r w:rsidR="00C1598D">
        <w:rPr>
          <w:szCs w:val="24"/>
        </w:rPr>
        <w:t xml:space="preserve">i.e., </w:t>
      </w:r>
      <w:r w:rsidR="00C1598D">
        <w:rPr>
          <w:color w:val="201F1E"/>
          <w:szCs w:val="24"/>
          <w:shd w:val="clear" w:color="auto" w:fill="FFFFFF"/>
        </w:rPr>
        <w:t xml:space="preserve">3 </w:t>
      </w:r>
      <w:r w:rsidR="00C1598D" w:rsidRPr="00094217">
        <w:rPr>
          <w:color w:val="201F1E"/>
          <w:szCs w:val="24"/>
          <w:shd w:val="clear" w:color="auto" w:fill="FFFFFF"/>
        </w:rPr>
        <w:t>% DR (</w:t>
      </w:r>
      <w:r w:rsidR="009763A1">
        <w:rPr>
          <w:color w:val="201F1E"/>
          <w:szCs w:val="24"/>
          <w:shd w:val="clear" w:color="auto" w:fill="FFFFFF"/>
        </w:rPr>
        <w:t>and a</w:t>
      </w:r>
      <w:r w:rsidR="009763A1" w:rsidRPr="00094217">
        <w:rPr>
          <w:color w:val="201F1E"/>
          <w:szCs w:val="24"/>
          <w:shd w:val="clear" w:color="auto" w:fill="FFFFFF"/>
        </w:rPr>
        <w:t>verage</w:t>
      </w:r>
      <w:r w:rsidR="009763A1">
        <w:rPr>
          <w:color w:val="201F1E"/>
          <w:szCs w:val="24"/>
          <w:shd w:val="clear" w:color="auto" w:fill="FFFFFF"/>
        </w:rPr>
        <w:t xml:space="preserve"> assumption of estimated carbon damages</w:t>
      </w:r>
      <w:r w:rsidR="00C1598D" w:rsidRPr="00094217">
        <w:rPr>
          <w:color w:val="201F1E"/>
          <w:szCs w:val="24"/>
          <w:shd w:val="clear" w:color="auto" w:fill="FFFFFF"/>
        </w:rPr>
        <w:t>)</w:t>
      </w:r>
      <w:r w:rsidR="00C1598D">
        <w:rPr>
          <w:color w:val="201F1E"/>
          <w:szCs w:val="24"/>
          <w:shd w:val="clear" w:color="auto" w:fill="FFFFFF"/>
        </w:rPr>
        <w:t>)</w:t>
      </w:r>
    </w:p>
    <w:p w14:paraId="40F90636" w14:textId="1501FB4A" w:rsidR="00344AE2" w:rsidRDefault="00344AE2" w:rsidP="00344AE2">
      <w:pPr>
        <w:numPr>
          <w:ilvl w:val="1"/>
          <w:numId w:val="24"/>
        </w:numPr>
        <w:tabs>
          <w:tab w:val="clear" w:pos="720"/>
          <w:tab w:val="clear" w:pos="5760"/>
        </w:tabs>
        <w:ind w:right="0"/>
        <w:rPr>
          <w:szCs w:val="24"/>
        </w:rPr>
      </w:pPr>
      <w:r>
        <w:rPr>
          <w:color w:val="201F1E"/>
          <w:szCs w:val="24"/>
          <w:shd w:val="clear" w:color="auto" w:fill="FFFFFF"/>
        </w:rPr>
        <w:t>SCC starts at $51 in 2022 and increases over time</w:t>
      </w:r>
    </w:p>
    <w:p w14:paraId="0C8C6FB4" w14:textId="57FA3449" w:rsidR="009E46D0" w:rsidRDefault="009E46D0" w:rsidP="009E46D0">
      <w:pPr>
        <w:numPr>
          <w:ilvl w:val="1"/>
          <w:numId w:val="24"/>
        </w:numPr>
        <w:tabs>
          <w:tab w:val="clear" w:pos="720"/>
          <w:tab w:val="clear" w:pos="5760"/>
        </w:tabs>
        <w:ind w:right="0"/>
        <w:rPr>
          <w:szCs w:val="24"/>
        </w:rPr>
      </w:pPr>
      <w:r>
        <w:rPr>
          <w:szCs w:val="24"/>
        </w:rPr>
        <w:t>R</w:t>
      </w:r>
      <w:r w:rsidR="00A744DE" w:rsidRPr="001D2EBF">
        <w:rPr>
          <w:szCs w:val="24"/>
        </w:rPr>
        <w:t>epresents the assumptions that best align with the DOE and OMB discount rates</w:t>
      </w:r>
    </w:p>
    <w:p w14:paraId="1FD6811B" w14:textId="5D6B348D" w:rsidR="009E46D0" w:rsidRDefault="008B5BD6" w:rsidP="009E46D0">
      <w:pPr>
        <w:numPr>
          <w:ilvl w:val="0"/>
          <w:numId w:val="24"/>
        </w:numPr>
        <w:tabs>
          <w:tab w:val="clear" w:pos="5760"/>
        </w:tabs>
        <w:ind w:right="0"/>
        <w:rPr>
          <w:szCs w:val="24"/>
        </w:rPr>
      </w:pPr>
      <w:r w:rsidRPr="008B5BD6">
        <w:rPr>
          <w:szCs w:val="24"/>
        </w:rPr>
        <w:t>High - $125 in 2022</w:t>
      </w:r>
    </w:p>
    <w:p w14:paraId="31B590F6" w14:textId="1353CA36" w:rsidR="009E46D0" w:rsidRPr="00D2336C" w:rsidRDefault="00A744DE" w:rsidP="009E46D0">
      <w:pPr>
        <w:numPr>
          <w:ilvl w:val="1"/>
          <w:numId w:val="24"/>
        </w:numPr>
        <w:tabs>
          <w:tab w:val="clear" w:pos="720"/>
          <w:tab w:val="clear" w:pos="5760"/>
        </w:tabs>
        <w:ind w:right="0"/>
        <w:rPr>
          <w:szCs w:val="24"/>
        </w:rPr>
      </w:pPr>
      <w:r w:rsidRPr="001D2EBF">
        <w:rPr>
          <w:szCs w:val="24"/>
        </w:rPr>
        <w:t xml:space="preserve">95th percentile </w:t>
      </w:r>
      <w:r w:rsidR="008B5BD6">
        <w:rPr>
          <w:szCs w:val="24"/>
        </w:rPr>
        <w:t>SCC</w:t>
      </w:r>
      <w:r w:rsidRPr="001D2EBF">
        <w:rPr>
          <w:szCs w:val="24"/>
        </w:rPr>
        <w:t xml:space="preserve"> assuming a 3 % discount </w:t>
      </w:r>
      <w:proofErr w:type="gramStart"/>
      <w:r w:rsidRPr="001D2EBF">
        <w:rPr>
          <w:szCs w:val="24"/>
        </w:rPr>
        <w:t>rate</w:t>
      </w:r>
      <w:r w:rsidR="00C1598D">
        <w:rPr>
          <w:szCs w:val="24"/>
        </w:rPr>
        <w:t xml:space="preserve">  (</w:t>
      </w:r>
      <w:proofErr w:type="gramEnd"/>
      <w:r w:rsidR="00C1598D">
        <w:rPr>
          <w:szCs w:val="24"/>
        </w:rPr>
        <w:t xml:space="preserve">i.e., </w:t>
      </w:r>
      <w:r w:rsidR="00C1598D">
        <w:rPr>
          <w:color w:val="201F1E"/>
          <w:szCs w:val="24"/>
          <w:shd w:val="clear" w:color="auto" w:fill="FFFFFF"/>
        </w:rPr>
        <w:t xml:space="preserve">3 </w:t>
      </w:r>
      <w:r w:rsidR="00C1598D" w:rsidRPr="00094217">
        <w:rPr>
          <w:color w:val="201F1E"/>
          <w:szCs w:val="24"/>
          <w:shd w:val="clear" w:color="auto" w:fill="FFFFFF"/>
        </w:rPr>
        <w:t>% DR (</w:t>
      </w:r>
      <w:r w:rsidR="00C1598D">
        <w:rPr>
          <w:color w:val="201F1E"/>
          <w:szCs w:val="24"/>
          <w:shd w:val="clear" w:color="auto" w:fill="FFFFFF"/>
        </w:rPr>
        <w:t>95</w:t>
      </w:r>
      <w:r w:rsidR="00C1598D" w:rsidRPr="00C1598D">
        <w:rPr>
          <w:color w:val="201F1E"/>
          <w:szCs w:val="24"/>
          <w:shd w:val="clear" w:color="auto" w:fill="FFFFFF"/>
          <w:vertAlign w:val="superscript"/>
        </w:rPr>
        <w:t>th</w:t>
      </w:r>
      <w:r w:rsidR="00C1598D">
        <w:rPr>
          <w:color w:val="201F1E"/>
          <w:szCs w:val="24"/>
          <w:shd w:val="clear" w:color="auto" w:fill="FFFFFF"/>
        </w:rPr>
        <w:t xml:space="preserve"> </w:t>
      </w:r>
      <w:r w:rsidR="009763A1">
        <w:rPr>
          <w:color w:val="201F1E"/>
          <w:szCs w:val="24"/>
          <w:shd w:val="clear" w:color="auto" w:fill="FFFFFF"/>
        </w:rPr>
        <w:t>percentile of estimated carbon damages</w:t>
      </w:r>
      <w:r w:rsidR="00C1598D" w:rsidRPr="00094217">
        <w:rPr>
          <w:color w:val="201F1E"/>
          <w:szCs w:val="24"/>
          <w:shd w:val="clear" w:color="auto" w:fill="FFFFFF"/>
        </w:rPr>
        <w:t>)</w:t>
      </w:r>
      <w:r w:rsidR="00C1598D">
        <w:rPr>
          <w:color w:val="201F1E"/>
          <w:szCs w:val="24"/>
          <w:shd w:val="clear" w:color="auto" w:fill="FFFFFF"/>
        </w:rPr>
        <w:t>)</w:t>
      </w:r>
    </w:p>
    <w:p w14:paraId="1E33C52F" w14:textId="41D85AC5" w:rsidR="00D2336C" w:rsidRDefault="00D2336C" w:rsidP="00D2336C">
      <w:pPr>
        <w:numPr>
          <w:ilvl w:val="1"/>
          <w:numId w:val="24"/>
        </w:numPr>
        <w:tabs>
          <w:tab w:val="clear" w:pos="720"/>
          <w:tab w:val="clear" w:pos="5760"/>
        </w:tabs>
        <w:ind w:right="0"/>
        <w:rPr>
          <w:szCs w:val="24"/>
        </w:rPr>
      </w:pPr>
      <w:r>
        <w:rPr>
          <w:color w:val="201F1E"/>
          <w:szCs w:val="24"/>
          <w:shd w:val="clear" w:color="auto" w:fill="FFFFFF"/>
        </w:rPr>
        <w:t>SCC starts at $125 in 2022 and increases over time</w:t>
      </w:r>
    </w:p>
    <w:p w14:paraId="09037BE3" w14:textId="3C176CA7" w:rsidR="005F1B45" w:rsidRPr="00767DC0" w:rsidRDefault="005F1B45" w:rsidP="00492A9A">
      <w:pPr>
        <w:pStyle w:val="ListParagraph"/>
        <w:numPr>
          <w:ilvl w:val="1"/>
          <w:numId w:val="24"/>
        </w:numPr>
        <w:tabs>
          <w:tab w:val="clear" w:pos="720"/>
          <w:tab w:val="clear" w:pos="5760"/>
        </w:tabs>
        <w:ind w:right="0"/>
        <w:rPr>
          <w:szCs w:val="24"/>
        </w:rPr>
      </w:pPr>
      <w:r w:rsidRPr="00767DC0">
        <w:rPr>
          <w:szCs w:val="24"/>
        </w:rPr>
        <w:t>Highe</w:t>
      </w:r>
      <w:r w:rsidR="00767DC0" w:rsidRPr="00767DC0">
        <w:rPr>
          <w:szCs w:val="24"/>
        </w:rPr>
        <w:t>r</w:t>
      </w:r>
      <w:r w:rsidRPr="00767DC0">
        <w:rPr>
          <w:szCs w:val="24"/>
        </w:rPr>
        <w:t xml:space="preserve"> SCC values</w:t>
      </w:r>
      <w:r w:rsidR="00767DC0" w:rsidRPr="00767DC0">
        <w:rPr>
          <w:szCs w:val="24"/>
        </w:rPr>
        <w:t xml:space="preserve"> </w:t>
      </w:r>
      <w:r w:rsidR="009763A1" w:rsidRPr="00767DC0">
        <w:rPr>
          <w:szCs w:val="24"/>
        </w:rPr>
        <w:t>than</w:t>
      </w:r>
      <w:r w:rsidR="009763A1">
        <w:rPr>
          <w:szCs w:val="24"/>
        </w:rPr>
        <w:t xml:space="preserve"> with </w:t>
      </w:r>
      <w:r w:rsidR="00767DC0" w:rsidRPr="00767DC0">
        <w:rPr>
          <w:szCs w:val="24"/>
        </w:rPr>
        <w:t xml:space="preserve">3 % DR </w:t>
      </w:r>
      <w:r w:rsidR="009763A1">
        <w:rPr>
          <w:szCs w:val="24"/>
        </w:rPr>
        <w:t>a</w:t>
      </w:r>
      <w:r w:rsidR="009763A1" w:rsidRPr="00767DC0">
        <w:rPr>
          <w:szCs w:val="24"/>
        </w:rPr>
        <w:t>verage</w:t>
      </w:r>
      <w:r w:rsidR="009763A1">
        <w:rPr>
          <w:szCs w:val="24"/>
        </w:rPr>
        <w:t xml:space="preserve"> </w:t>
      </w:r>
      <w:r w:rsidR="008A111E">
        <w:rPr>
          <w:szCs w:val="24"/>
        </w:rPr>
        <w:t>because the estimate</w:t>
      </w:r>
      <w:r w:rsidR="009763A1">
        <w:rPr>
          <w:szCs w:val="24"/>
        </w:rPr>
        <w:t>d</w:t>
      </w:r>
      <w:r w:rsidR="008A111E">
        <w:rPr>
          <w:szCs w:val="24"/>
        </w:rPr>
        <w:t xml:space="preserve"> damages are greater </w:t>
      </w:r>
      <w:r w:rsidR="009138D0">
        <w:rPr>
          <w:szCs w:val="24"/>
        </w:rPr>
        <w:t>(95</w:t>
      </w:r>
      <w:r w:rsidR="009138D0" w:rsidRPr="009138D0">
        <w:rPr>
          <w:szCs w:val="24"/>
          <w:vertAlign w:val="superscript"/>
        </w:rPr>
        <w:t>th</w:t>
      </w:r>
      <w:r w:rsidR="009138D0">
        <w:rPr>
          <w:szCs w:val="24"/>
        </w:rPr>
        <w:t xml:space="preserve"> percentile) </w:t>
      </w:r>
      <w:r w:rsidR="008A111E">
        <w:rPr>
          <w:szCs w:val="24"/>
        </w:rPr>
        <w:t xml:space="preserve">than in the </w:t>
      </w:r>
      <w:proofErr w:type="gramStart"/>
      <w:r w:rsidR="008A111E">
        <w:rPr>
          <w:szCs w:val="24"/>
        </w:rPr>
        <w:t>Medium</w:t>
      </w:r>
      <w:proofErr w:type="gramEnd"/>
      <w:r w:rsidR="008A111E">
        <w:rPr>
          <w:szCs w:val="24"/>
        </w:rPr>
        <w:t xml:space="preserve"> case</w:t>
      </w:r>
      <w:r w:rsidR="00D2336C">
        <w:rPr>
          <w:szCs w:val="24"/>
        </w:rPr>
        <w:t xml:space="preserve"> (</w:t>
      </w:r>
      <w:r w:rsidR="009138D0">
        <w:rPr>
          <w:szCs w:val="24"/>
        </w:rPr>
        <w:t>50</w:t>
      </w:r>
      <w:r w:rsidR="009138D0" w:rsidRPr="009138D0">
        <w:rPr>
          <w:szCs w:val="24"/>
          <w:vertAlign w:val="superscript"/>
        </w:rPr>
        <w:t>th</w:t>
      </w:r>
      <w:r w:rsidR="009138D0">
        <w:rPr>
          <w:szCs w:val="24"/>
        </w:rPr>
        <w:t xml:space="preserve"> percentile)</w:t>
      </w:r>
    </w:p>
    <w:p w14:paraId="3F2AB50A" w14:textId="0541C893" w:rsidR="00271868" w:rsidRDefault="00271868" w:rsidP="009D7D61">
      <w:pPr>
        <w:tabs>
          <w:tab w:val="clear" w:pos="720"/>
          <w:tab w:val="clear" w:pos="5760"/>
        </w:tabs>
        <w:ind w:right="0"/>
        <w:rPr>
          <w:b/>
          <w:bCs/>
          <w:szCs w:val="24"/>
        </w:rPr>
      </w:pPr>
    </w:p>
    <w:p w14:paraId="5ED1ACD4" w14:textId="18371C0F" w:rsidR="004A6688" w:rsidRPr="00D77C40" w:rsidRDefault="004A6688" w:rsidP="009D7D61">
      <w:pPr>
        <w:tabs>
          <w:tab w:val="clear" w:pos="720"/>
          <w:tab w:val="clear" w:pos="5760"/>
        </w:tabs>
        <w:ind w:right="0"/>
        <w:rPr>
          <w:szCs w:val="24"/>
        </w:rPr>
      </w:pPr>
      <w:r w:rsidRPr="00D77C40">
        <w:rPr>
          <w:b/>
          <w:bCs/>
          <w:szCs w:val="24"/>
        </w:rPr>
        <w:t>Annual Inflation Rate:</w:t>
      </w:r>
      <w:r w:rsidRPr="00D77C40">
        <w:rPr>
          <w:szCs w:val="24"/>
        </w:rPr>
        <w:t xml:space="preserve"> </w:t>
      </w:r>
    </w:p>
    <w:p w14:paraId="47B860DB" w14:textId="5B6E8426" w:rsidR="004A6688" w:rsidRDefault="004A6688" w:rsidP="009D7D61">
      <w:pPr>
        <w:tabs>
          <w:tab w:val="clear" w:pos="720"/>
          <w:tab w:val="clear" w:pos="5760"/>
        </w:tabs>
        <w:ind w:right="0"/>
        <w:rPr>
          <w:szCs w:val="24"/>
        </w:rPr>
      </w:pPr>
      <w:r w:rsidRPr="0010780E">
        <w:rPr>
          <w:szCs w:val="24"/>
        </w:rPr>
        <w:t xml:space="preserve">The default rate of inflation is the long-term inflation rate calculated annually by DOE/FEMP using </w:t>
      </w:r>
      <w:r w:rsidR="008214BB">
        <w:rPr>
          <w:szCs w:val="24"/>
        </w:rPr>
        <w:t xml:space="preserve">CEA data and </w:t>
      </w:r>
      <w:r w:rsidRPr="0010780E">
        <w:rPr>
          <w:szCs w:val="24"/>
        </w:rPr>
        <w:t>the method described in 10 CFR 436, but without consideration of the 3.0 % floor for the real discount rate. The default inflation rate does not account for the discount rate floor to accommodate the need for market-based projections of future energy prices in contract negotiations. Otherwise, the default inflation rate would be artificially low in years when the 3.0</w:t>
      </w:r>
      <w:r w:rsidR="008214BB">
        <w:rPr>
          <w:szCs w:val="24"/>
        </w:rPr>
        <w:t> </w:t>
      </w:r>
      <w:r w:rsidRPr="0010780E">
        <w:rPr>
          <w:szCs w:val="24"/>
        </w:rPr>
        <w:t>% floor applies. The inflation rate may be edited.</w:t>
      </w:r>
    </w:p>
    <w:p w14:paraId="4B77B8F7" w14:textId="77777777" w:rsidR="004A6688" w:rsidRPr="0010780E" w:rsidRDefault="004A6688" w:rsidP="004A6688">
      <w:pPr>
        <w:numPr>
          <w:ilvl w:val="0"/>
          <w:numId w:val="25"/>
        </w:numPr>
        <w:tabs>
          <w:tab w:val="clear" w:pos="5760"/>
        </w:tabs>
        <w:ind w:right="0"/>
        <w:rPr>
          <w:szCs w:val="24"/>
        </w:rPr>
      </w:pPr>
      <w:r w:rsidRPr="0010780E">
        <w:rPr>
          <w:i/>
          <w:iCs/>
          <w:szCs w:val="24"/>
        </w:rPr>
        <w:t>The tool makes all the calculations using the default inflation rate</w:t>
      </w:r>
    </w:p>
    <w:p w14:paraId="4AFFC767" w14:textId="77777777" w:rsidR="004A6688" w:rsidRPr="0010780E" w:rsidRDefault="004A6688" w:rsidP="004A6688">
      <w:pPr>
        <w:numPr>
          <w:ilvl w:val="0"/>
          <w:numId w:val="25"/>
        </w:numPr>
        <w:tabs>
          <w:tab w:val="clear" w:pos="5760"/>
        </w:tabs>
        <w:ind w:right="0"/>
        <w:rPr>
          <w:szCs w:val="24"/>
        </w:rPr>
      </w:pPr>
      <w:r w:rsidRPr="0010780E">
        <w:rPr>
          <w:i/>
          <w:iCs/>
          <w:szCs w:val="24"/>
        </w:rPr>
        <w:t>If the user decides to change the inflation rate, the calculations should be re-created.</w:t>
      </w:r>
    </w:p>
    <w:p w14:paraId="3DDFBD8E" w14:textId="77777777" w:rsidR="004A6688" w:rsidRDefault="004A6688" w:rsidP="009D7D61">
      <w:pPr>
        <w:tabs>
          <w:tab w:val="clear" w:pos="720"/>
          <w:tab w:val="clear" w:pos="5760"/>
        </w:tabs>
        <w:ind w:right="0"/>
        <w:rPr>
          <w:b/>
          <w:bCs/>
          <w:szCs w:val="24"/>
        </w:rPr>
      </w:pPr>
    </w:p>
    <w:p w14:paraId="405EFBF5" w14:textId="234E67B6" w:rsidR="009D7D61" w:rsidRPr="0010780E" w:rsidRDefault="009D7D61" w:rsidP="009D7D61">
      <w:pPr>
        <w:tabs>
          <w:tab w:val="clear" w:pos="720"/>
          <w:tab w:val="clear" w:pos="5760"/>
        </w:tabs>
        <w:ind w:right="0"/>
        <w:rPr>
          <w:color w:val="auto"/>
          <w:szCs w:val="24"/>
        </w:rPr>
      </w:pPr>
      <w:r w:rsidRPr="0010780E">
        <w:rPr>
          <w:b/>
          <w:bCs/>
          <w:szCs w:val="24"/>
        </w:rPr>
        <w:t>Output - Annual Energy Escalation Rate</w:t>
      </w:r>
      <w:r w:rsidR="004A6688">
        <w:rPr>
          <w:b/>
          <w:bCs/>
          <w:szCs w:val="24"/>
        </w:rPr>
        <w:t>s</w:t>
      </w:r>
      <w:r w:rsidRPr="0010780E">
        <w:rPr>
          <w:b/>
          <w:bCs/>
          <w:szCs w:val="24"/>
        </w:rPr>
        <w:t>:</w:t>
      </w:r>
    </w:p>
    <w:p w14:paraId="4878DBBB" w14:textId="77777777" w:rsidR="009D7D61" w:rsidRPr="0010780E" w:rsidRDefault="009D7D61" w:rsidP="009D7D61">
      <w:pPr>
        <w:numPr>
          <w:ilvl w:val="0"/>
          <w:numId w:val="25"/>
        </w:numPr>
        <w:tabs>
          <w:tab w:val="clear" w:pos="5760"/>
        </w:tabs>
        <w:spacing w:before="100" w:beforeAutospacing="1" w:after="100" w:afterAutospacing="1"/>
        <w:ind w:right="0"/>
        <w:rPr>
          <w:szCs w:val="24"/>
        </w:rPr>
      </w:pPr>
      <w:r w:rsidRPr="0010780E">
        <w:rPr>
          <w:i/>
          <w:iCs/>
          <w:szCs w:val="24"/>
        </w:rPr>
        <w:t>Real and Nominal Escalation Rates</w:t>
      </w:r>
      <w:r w:rsidRPr="0010780E">
        <w:rPr>
          <w:szCs w:val="24"/>
        </w:rPr>
        <w:t>: The output of the program is the calculated average escalation rate, stated both in real terms (excluding the rate of inflation) and in nominal terms (including the rate of inflation).</w:t>
      </w:r>
    </w:p>
    <w:p w14:paraId="5174EE86" w14:textId="0F818A85" w:rsidR="00204132" w:rsidRPr="0010780E" w:rsidRDefault="00204132" w:rsidP="000C4394">
      <w:pPr>
        <w:pStyle w:val="Heading2"/>
        <w:ind w:left="0"/>
        <w:rPr>
          <w:sz w:val="24"/>
          <w:szCs w:val="24"/>
        </w:rPr>
      </w:pPr>
      <w:bookmarkStart w:id="3" w:name="_Toc21606437"/>
      <w:r w:rsidRPr="0010780E">
        <w:rPr>
          <w:sz w:val="24"/>
          <w:szCs w:val="24"/>
        </w:rPr>
        <w:t>Functions</w:t>
      </w:r>
      <w:bookmarkEnd w:id="3"/>
    </w:p>
    <w:p w14:paraId="491E1E17" w14:textId="29EF4E5C" w:rsidR="009D7D61" w:rsidRPr="0010780E" w:rsidRDefault="009D7D61" w:rsidP="009D7D61">
      <w:pPr>
        <w:rPr>
          <w:szCs w:val="24"/>
        </w:rPr>
      </w:pPr>
      <w:r w:rsidRPr="0010780E">
        <w:rPr>
          <w:szCs w:val="24"/>
        </w:rPr>
        <w:t>To calculate the nominal escalation rate, which includes inflation, the calculator uses the following relationship:</w:t>
      </w:r>
    </w:p>
    <w:p w14:paraId="2375272F" w14:textId="71436D62" w:rsidR="009D7D61" w:rsidRPr="0010780E" w:rsidRDefault="00390595" w:rsidP="009D7D61">
      <w:pPr>
        <w:rPr>
          <w:szCs w:val="24"/>
        </w:rPr>
      </w:pPr>
      <w:r w:rsidRPr="00390595">
        <w:rPr>
          <w:noProof/>
          <w:szCs w:val="24"/>
        </w:rPr>
        <w:drawing>
          <wp:inline distT="0" distB="0" distL="0" distR="0" wp14:anchorId="1A83F7BB" wp14:editId="53C36FFD">
            <wp:extent cx="5941314" cy="211074"/>
            <wp:effectExtent l="0" t="0" r="0" b="0"/>
            <wp:docPr id="13" name="Picture 12">
              <a:extLst xmlns:a="http://schemas.openxmlformats.org/drawingml/2006/main">
                <a:ext uri="{FF2B5EF4-FFF2-40B4-BE49-F238E27FC236}">
                  <a16:creationId xmlns:a16="http://schemas.microsoft.com/office/drawing/2014/main" id="{D42E04EE-81D3-4043-8BC8-F19BA44DC4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D42E04EE-81D3-4043-8BC8-F19BA44DC465}"/>
                        </a:ext>
                      </a:extLst>
                    </pic:cNvPr>
                    <pic:cNvPicPr>
                      <a:picLocks noChangeAspect="1"/>
                    </pic:cNvPicPr>
                  </pic:nvPicPr>
                  <pic:blipFill>
                    <a:blip r:embed="rId10"/>
                    <a:stretch>
                      <a:fillRect/>
                    </a:stretch>
                  </pic:blipFill>
                  <pic:spPr>
                    <a:xfrm>
                      <a:off x="0" y="0"/>
                      <a:ext cx="5941314" cy="211074"/>
                    </a:xfrm>
                    <a:prstGeom prst="rect">
                      <a:avLst/>
                    </a:prstGeom>
                  </pic:spPr>
                </pic:pic>
              </a:graphicData>
            </a:graphic>
          </wp:inline>
        </w:drawing>
      </w:r>
    </w:p>
    <w:p w14:paraId="606D03D9" w14:textId="77777777" w:rsidR="009D7D61" w:rsidRPr="0010780E" w:rsidRDefault="009D7D61" w:rsidP="009D7D61">
      <w:pPr>
        <w:tabs>
          <w:tab w:val="clear" w:pos="5760"/>
          <w:tab w:val="left" w:pos="1520"/>
        </w:tabs>
        <w:rPr>
          <w:szCs w:val="24"/>
        </w:rPr>
      </w:pPr>
      <w:r w:rsidRPr="0010780E">
        <w:rPr>
          <w:szCs w:val="24"/>
        </w:rPr>
        <w:t xml:space="preserve">The calculated average annual escalation rate, </w:t>
      </w:r>
      <w:proofErr w:type="spellStart"/>
      <w:r w:rsidRPr="0010780E">
        <w:rPr>
          <w:i/>
          <w:szCs w:val="24"/>
        </w:rPr>
        <w:t>e</w:t>
      </w:r>
      <w:r w:rsidRPr="0010780E">
        <w:rPr>
          <w:i/>
          <w:szCs w:val="24"/>
          <w:vertAlign w:val="subscript"/>
        </w:rPr>
        <w:t>avg</w:t>
      </w:r>
      <w:proofErr w:type="spellEnd"/>
      <w:r w:rsidRPr="0010780E">
        <w:rPr>
          <w:szCs w:val="24"/>
        </w:rPr>
        <w:t>, when applied to the base-year energy costs or savings of ESPC or UESC projects, results in approximately the same undiscounted total amounts over the performance period as do the EIA-projected, or adjusted EIA-projected, variable rates. If more than one fuel is used in the project, the EERC weights the average escalation rate according to the proportions stated by the user.</w:t>
      </w:r>
    </w:p>
    <w:p w14:paraId="0277CDC8" w14:textId="77777777" w:rsidR="009D7D61" w:rsidRPr="0010780E" w:rsidRDefault="009D7D61" w:rsidP="009D7D61">
      <w:pPr>
        <w:rPr>
          <w:szCs w:val="24"/>
        </w:rPr>
      </w:pPr>
    </w:p>
    <w:p w14:paraId="0CB8568F" w14:textId="0E773AED" w:rsidR="009D7D61" w:rsidRPr="0010780E" w:rsidRDefault="009D7D61" w:rsidP="009D7D61">
      <w:pPr>
        <w:rPr>
          <w:szCs w:val="24"/>
        </w:rPr>
      </w:pPr>
      <w:r w:rsidRPr="0010780E">
        <w:rPr>
          <w:szCs w:val="24"/>
        </w:rPr>
        <w:t xml:space="preserve">To compute an average annual escalation rate, base-year </w:t>
      </w:r>
      <w:r w:rsidR="00784728">
        <w:rPr>
          <w:szCs w:val="24"/>
        </w:rPr>
        <w:t xml:space="preserve">(i.e., award year) </w:t>
      </w:r>
      <w:r w:rsidRPr="0010780E">
        <w:rPr>
          <w:szCs w:val="24"/>
        </w:rPr>
        <w:t xml:space="preserve">energy costs are escalated from year to year at rates projected by EIA, or at EIA rates adjusted by NIST for carbon pricing, to arrive at the total energy cost over a given performance period. The escalation rates, e, are projected by </w:t>
      </w:r>
      <w:r w:rsidR="008214BB">
        <w:rPr>
          <w:szCs w:val="24"/>
        </w:rPr>
        <w:t>c</w:t>
      </w:r>
      <w:r w:rsidRPr="0010780E">
        <w:rPr>
          <w:szCs w:val="24"/>
        </w:rPr>
        <w:t xml:space="preserve">ensus </w:t>
      </w:r>
      <w:r w:rsidR="008214BB">
        <w:rPr>
          <w:szCs w:val="24"/>
        </w:rPr>
        <w:t>r</w:t>
      </w:r>
      <w:r w:rsidRPr="0010780E">
        <w:rPr>
          <w:szCs w:val="24"/>
        </w:rPr>
        <w:t>egion, energy type, and industrial sector and vary from year to year. The formula used EERC prompts the user for information on the share of cost savings attributable to each fuel type, project location, industry sector, and the beginning date and duration of the performance period. It also prompts the user to select one of several carbon pricing scenarios</w:t>
      </w:r>
      <w:r w:rsidR="008214BB">
        <w:rPr>
          <w:szCs w:val="24"/>
        </w:rPr>
        <w:t xml:space="preserve"> </w:t>
      </w:r>
      <w:r w:rsidRPr="0010780E">
        <w:rPr>
          <w:szCs w:val="24"/>
        </w:rPr>
        <w:t>--</w:t>
      </w:r>
      <w:r w:rsidR="008214BB">
        <w:rPr>
          <w:szCs w:val="24"/>
        </w:rPr>
        <w:t xml:space="preserve"> </w:t>
      </w:r>
      <w:r w:rsidR="00784728">
        <w:rPr>
          <w:szCs w:val="24"/>
        </w:rPr>
        <w:t>n</w:t>
      </w:r>
      <w:r w:rsidR="00784728" w:rsidRPr="0010780E">
        <w:rPr>
          <w:szCs w:val="24"/>
        </w:rPr>
        <w:t xml:space="preserve">o </w:t>
      </w:r>
      <w:r w:rsidR="00784728">
        <w:rPr>
          <w:szCs w:val="24"/>
        </w:rPr>
        <w:t>c</w:t>
      </w:r>
      <w:r w:rsidR="00784728" w:rsidRPr="0010780E">
        <w:rPr>
          <w:szCs w:val="24"/>
        </w:rPr>
        <w:t xml:space="preserve">arbon </w:t>
      </w:r>
      <w:r w:rsidR="00784728">
        <w:rPr>
          <w:szCs w:val="24"/>
        </w:rPr>
        <w:t>p</w:t>
      </w:r>
      <w:r w:rsidR="00784728" w:rsidRPr="0010780E">
        <w:rPr>
          <w:szCs w:val="24"/>
        </w:rPr>
        <w:t>ricing</w:t>
      </w:r>
      <w:r w:rsidRPr="0010780E">
        <w:rPr>
          <w:szCs w:val="24"/>
        </w:rPr>
        <w:t xml:space="preserve">, </w:t>
      </w:r>
      <w:r w:rsidR="00784728">
        <w:rPr>
          <w:szCs w:val="24"/>
        </w:rPr>
        <w:t>l</w:t>
      </w:r>
      <w:r w:rsidR="00784728" w:rsidRPr="0010780E">
        <w:rPr>
          <w:szCs w:val="24"/>
        </w:rPr>
        <w:t>ow</w:t>
      </w:r>
      <w:r w:rsidRPr="0010780E">
        <w:rPr>
          <w:szCs w:val="24"/>
        </w:rPr>
        <w:t>,</w:t>
      </w:r>
      <w:r w:rsidR="008214BB">
        <w:rPr>
          <w:szCs w:val="24"/>
        </w:rPr>
        <w:t xml:space="preserve"> </w:t>
      </w:r>
      <w:r w:rsidR="00784728">
        <w:rPr>
          <w:szCs w:val="24"/>
        </w:rPr>
        <w:t>medium</w:t>
      </w:r>
      <w:r w:rsidR="008214BB">
        <w:rPr>
          <w:szCs w:val="24"/>
        </w:rPr>
        <w:t>,</w:t>
      </w:r>
      <w:r w:rsidRPr="0010780E">
        <w:rPr>
          <w:szCs w:val="24"/>
        </w:rPr>
        <w:t xml:space="preserve"> or </w:t>
      </w:r>
      <w:r w:rsidR="00784728">
        <w:rPr>
          <w:szCs w:val="24"/>
        </w:rPr>
        <w:t>h</w:t>
      </w:r>
      <w:r w:rsidR="00784728" w:rsidRPr="0010780E">
        <w:rPr>
          <w:szCs w:val="24"/>
        </w:rPr>
        <w:t xml:space="preserve">igh </w:t>
      </w:r>
      <w:r w:rsidRPr="0010780E">
        <w:rPr>
          <w:szCs w:val="24"/>
        </w:rPr>
        <w:t>--then retrieves the relevant energy price forecasts and computes the average escalation rate, as described above. Since the performance period begins later than the base date, the calculated average rate includes the price escalation for the intervening year(s)</w:t>
      </w:r>
      <w:r w:rsidR="00F013C7" w:rsidRPr="0010780E">
        <w:rPr>
          <w:szCs w:val="24"/>
        </w:rPr>
        <w:t>.</w:t>
      </w:r>
    </w:p>
    <w:p w14:paraId="199E75F3" w14:textId="77777777" w:rsidR="00F013C7" w:rsidRPr="0010780E" w:rsidRDefault="00F013C7" w:rsidP="009D7D61">
      <w:pPr>
        <w:rPr>
          <w:szCs w:val="24"/>
        </w:rPr>
      </w:pPr>
    </w:p>
    <w:p w14:paraId="16DD6041" w14:textId="77777777" w:rsidR="009D7D61" w:rsidRPr="0010780E" w:rsidRDefault="009D7D61" w:rsidP="009D7D61">
      <w:pPr>
        <w:rPr>
          <w:szCs w:val="24"/>
        </w:rPr>
      </w:pPr>
      <w:r w:rsidRPr="0010780E">
        <w:rPr>
          <w:szCs w:val="24"/>
        </w:rPr>
        <w:t>to calculate total energy costs is:</w:t>
      </w:r>
    </w:p>
    <w:p w14:paraId="45C248D9" w14:textId="3AEAA3D9" w:rsidR="009D7D61" w:rsidRPr="0010780E" w:rsidRDefault="008F6713" w:rsidP="009D7D61">
      <w:pPr>
        <w:rPr>
          <w:szCs w:val="24"/>
        </w:rPr>
      </w:pPr>
      <w:r w:rsidRPr="008F6713">
        <w:rPr>
          <w:noProof/>
          <w:szCs w:val="24"/>
        </w:rPr>
        <w:drawing>
          <wp:inline distT="0" distB="0" distL="0" distR="0" wp14:anchorId="48D35CD6" wp14:editId="6F9D68E3">
            <wp:extent cx="5941314" cy="358902"/>
            <wp:effectExtent l="0" t="0" r="0" b="0"/>
            <wp:docPr id="11" name="Picture 10">
              <a:extLst xmlns:a="http://schemas.openxmlformats.org/drawingml/2006/main">
                <a:ext uri="{FF2B5EF4-FFF2-40B4-BE49-F238E27FC236}">
                  <a16:creationId xmlns:a16="http://schemas.microsoft.com/office/drawing/2014/main" id="{62263C2D-10D7-496B-806B-8642B2AB27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62263C2D-10D7-496B-806B-8642B2AB273C}"/>
                        </a:ext>
                      </a:extLst>
                    </pic:cNvPr>
                    <pic:cNvPicPr>
                      <a:picLocks noChangeAspect="1"/>
                    </pic:cNvPicPr>
                  </pic:nvPicPr>
                  <pic:blipFill>
                    <a:blip r:embed="rId11"/>
                    <a:stretch>
                      <a:fillRect/>
                    </a:stretch>
                  </pic:blipFill>
                  <pic:spPr>
                    <a:xfrm>
                      <a:off x="0" y="0"/>
                      <a:ext cx="5941314" cy="358902"/>
                    </a:xfrm>
                    <a:prstGeom prst="rect">
                      <a:avLst/>
                    </a:prstGeom>
                  </pic:spPr>
                </pic:pic>
              </a:graphicData>
            </a:graphic>
          </wp:inline>
        </w:drawing>
      </w:r>
    </w:p>
    <w:p w14:paraId="49717F41" w14:textId="77777777" w:rsidR="009D7D61" w:rsidRPr="0010780E" w:rsidRDefault="009D7D61" w:rsidP="009D7D61">
      <w:pPr>
        <w:rPr>
          <w:szCs w:val="24"/>
        </w:rPr>
      </w:pPr>
      <w:proofErr w:type="gramStart"/>
      <w:r w:rsidRPr="0010780E">
        <w:rPr>
          <w:szCs w:val="24"/>
        </w:rPr>
        <w:t>where</w:t>
      </w:r>
      <w:proofErr w:type="gramEnd"/>
    </w:p>
    <w:p w14:paraId="222BB2F6" w14:textId="77777777" w:rsidR="009D7D61" w:rsidRPr="0010780E" w:rsidRDefault="009D7D61" w:rsidP="009D7D61">
      <w:pPr>
        <w:rPr>
          <w:szCs w:val="24"/>
        </w:rPr>
      </w:pPr>
      <w:r w:rsidRPr="0010780E">
        <w:rPr>
          <w:i/>
          <w:szCs w:val="24"/>
        </w:rPr>
        <w:t>C</w:t>
      </w:r>
      <w:r w:rsidRPr="0010780E">
        <w:rPr>
          <w:szCs w:val="24"/>
        </w:rPr>
        <w:t xml:space="preserve"> is the undiscounted total of future energy costs over the performance period</w:t>
      </w:r>
    </w:p>
    <w:p w14:paraId="017D52C0" w14:textId="77777777" w:rsidR="009D7D61" w:rsidRPr="0010780E" w:rsidRDefault="009D7D61" w:rsidP="009D7D61">
      <w:pPr>
        <w:rPr>
          <w:szCs w:val="24"/>
        </w:rPr>
      </w:pPr>
      <w:r w:rsidRPr="0010780E">
        <w:rPr>
          <w:i/>
          <w:szCs w:val="24"/>
        </w:rPr>
        <w:t>A</w:t>
      </w:r>
      <w:r w:rsidRPr="0010780E">
        <w:rPr>
          <w:szCs w:val="24"/>
        </w:rPr>
        <w:t xml:space="preserve"> is the base-year annual cost</w:t>
      </w:r>
    </w:p>
    <w:p w14:paraId="3FDC38E3" w14:textId="77777777" w:rsidR="009D7D61" w:rsidRPr="0010780E" w:rsidRDefault="009D7D61" w:rsidP="009D7D61">
      <w:pPr>
        <w:rPr>
          <w:szCs w:val="24"/>
        </w:rPr>
      </w:pPr>
      <w:proofErr w:type="spellStart"/>
      <w:r w:rsidRPr="0010780E">
        <w:rPr>
          <w:i/>
          <w:szCs w:val="24"/>
        </w:rPr>
        <w:t>e</w:t>
      </w:r>
      <w:r w:rsidRPr="0010780E">
        <w:rPr>
          <w:i/>
          <w:szCs w:val="24"/>
          <w:vertAlign w:val="subscript"/>
        </w:rPr>
        <w:t>i</w:t>
      </w:r>
      <w:proofErr w:type="spellEnd"/>
      <w:r w:rsidRPr="0010780E">
        <w:rPr>
          <w:szCs w:val="24"/>
        </w:rPr>
        <w:t xml:space="preserve"> is the annual escalation rate, which varies from year to year over the performance period</w:t>
      </w:r>
    </w:p>
    <w:p w14:paraId="7E7F2B96" w14:textId="77777777" w:rsidR="009D7D61" w:rsidRPr="0010780E" w:rsidRDefault="009D7D61" w:rsidP="009D7D61">
      <w:pPr>
        <w:rPr>
          <w:szCs w:val="24"/>
        </w:rPr>
      </w:pPr>
      <w:r w:rsidRPr="0010780E">
        <w:rPr>
          <w:i/>
          <w:szCs w:val="24"/>
        </w:rPr>
        <w:t>n</w:t>
      </w:r>
      <w:r w:rsidRPr="0010780E">
        <w:rPr>
          <w:szCs w:val="24"/>
        </w:rPr>
        <w:t xml:space="preserve"> is the number of years in the performance period</w:t>
      </w:r>
    </w:p>
    <w:p w14:paraId="0C1E663E" w14:textId="77777777" w:rsidR="0076548F" w:rsidRPr="0010780E" w:rsidRDefault="0076548F" w:rsidP="009D7D61">
      <w:pPr>
        <w:rPr>
          <w:szCs w:val="24"/>
        </w:rPr>
      </w:pPr>
    </w:p>
    <w:p w14:paraId="6FB81DF6" w14:textId="35E7791F" w:rsidR="009D7D61" w:rsidRPr="0010780E" w:rsidRDefault="009D7D61" w:rsidP="009D7D61">
      <w:pPr>
        <w:rPr>
          <w:szCs w:val="24"/>
        </w:rPr>
      </w:pPr>
      <w:r w:rsidRPr="0010780E">
        <w:rPr>
          <w:szCs w:val="24"/>
        </w:rPr>
        <w:t>When the escalation rate is the same in each year of the study period, the series can be simplified to a factor applied to the base-year annual cost, A:</w:t>
      </w:r>
    </w:p>
    <w:p w14:paraId="05626BF8" w14:textId="7D064FD3" w:rsidR="009D7D61" w:rsidRPr="0010780E" w:rsidRDefault="008F6713" w:rsidP="009D7D61">
      <w:pPr>
        <w:rPr>
          <w:szCs w:val="24"/>
        </w:rPr>
      </w:pPr>
      <w:r w:rsidRPr="008F6713">
        <w:rPr>
          <w:noProof/>
          <w:szCs w:val="24"/>
        </w:rPr>
        <w:drawing>
          <wp:inline distT="0" distB="0" distL="0" distR="0" wp14:anchorId="0DBCC648" wp14:editId="1E0F7F6A">
            <wp:extent cx="5941314" cy="496062"/>
            <wp:effectExtent l="0" t="0" r="0" b="0"/>
            <wp:docPr id="7" name="Content Placeholder 6">
              <a:extLst xmlns:a="http://schemas.openxmlformats.org/drawingml/2006/main">
                <a:ext uri="{FF2B5EF4-FFF2-40B4-BE49-F238E27FC236}">
                  <a16:creationId xmlns:a16="http://schemas.microsoft.com/office/drawing/2014/main" id="{BF456BC2-550F-4678-A284-C27266C5109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BF456BC2-550F-4678-A284-C27266C5109E}"/>
                        </a:ext>
                      </a:extLst>
                    </pic:cNvPr>
                    <pic:cNvPicPr>
                      <a:picLocks noGrp="1" noChangeAspect="1"/>
                    </pic:cNvPicPr>
                  </pic:nvPicPr>
                  <pic:blipFill>
                    <a:blip r:embed="rId12"/>
                    <a:stretch>
                      <a:fillRect/>
                    </a:stretch>
                  </pic:blipFill>
                  <pic:spPr>
                    <a:xfrm>
                      <a:off x="0" y="0"/>
                      <a:ext cx="5941314" cy="496062"/>
                    </a:xfrm>
                    <a:prstGeom prst="rect">
                      <a:avLst/>
                    </a:prstGeom>
                  </pic:spPr>
                </pic:pic>
              </a:graphicData>
            </a:graphic>
          </wp:inline>
        </w:drawing>
      </w:r>
    </w:p>
    <w:p w14:paraId="2BD4B77A" w14:textId="65BC3864" w:rsidR="009D7D61" w:rsidRDefault="009D7D61" w:rsidP="009D7D61">
      <w:pPr>
        <w:rPr>
          <w:szCs w:val="24"/>
        </w:rPr>
      </w:pPr>
      <w:r w:rsidRPr="0010780E">
        <w:rPr>
          <w:szCs w:val="24"/>
        </w:rPr>
        <w:t xml:space="preserve">where </w:t>
      </w:r>
      <w:proofErr w:type="spellStart"/>
      <w:r w:rsidRPr="0010780E">
        <w:rPr>
          <w:i/>
          <w:szCs w:val="24"/>
        </w:rPr>
        <w:t>e</w:t>
      </w:r>
      <w:r w:rsidRPr="0010780E">
        <w:rPr>
          <w:i/>
          <w:szCs w:val="24"/>
          <w:vertAlign w:val="subscript"/>
        </w:rPr>
        <w:t>avg</w:t>
      </w:r>
      <w:proofErr w:type="spellEnd"/>
      <w:r w:rsidRPr="0010780E">
        <w:rPr>
          <w:szCs w:val="24"/>
        </w:rPr>
        <w:t xml:space="preserve"> is the average annual escalation rate</w:t>
      </w:r>
    </w:p>
    <w:p w14:paraId="00CC33DE" w14:textId="77777777" w:rsidR="00784728" w:rsidRPr="0010780E" w:rsidRDefault="00784728" w:rsidP="009D7D61">
      <w:pPr>
        <w:rPr>
          <w:szCs w:val="24"/>
        </w:rPr>
      </w:pPr>
    </w:p>
    <w:p w14:paraId="1A8F8782" w14:textId="47E9845B" w:rsidR="009D7D61" w:rsidRDefault="009D7D61" w:rsidP="009D7D61">
      <w:pPr>
        <w:rPr>
          <w:szCs w:val="24"/>
        </w:rPr>
      </w:pPr>
      <w:r w:rsidRPr="0010780E">
        <w:rPr>
          <w:szCs w:val="24"/>
        </w:rPr>
        <w:t xml:space="preserve">Since a uniform escalation rate is needed to compute the contract payments in ESPC and UESC projects, the EERC uses this equation to approximate </w:t>
      </w:r>
      <w:r w:rsidRPr="0010780E">
        <w:rPr>
          <w:i/>
          <w:szCs w:val="24"/>
        </w:rPr>
        <w:t>C</w:t>
      </w:r>
      <w:r w:rsidRPr="0010780E">
        <w:rPr>
          <w:szCs w:val="24"/>
        </w:rPr>
        <w:t xml:space="preserve">, as calculated with EIA rates or adjusted EIA rates, and iteratively solves for </w:t>
      </w:r>
      <w:proofErr w:type="spellStart"/>
      <w:r w:rsidRPr="0010780E">
        <w:rPr>
          <w:i/>
          <w:szCs w:val="24"/>
        </w:rPr>
        <w:t>e</w:t>
      </w:r>
      <w:r w:rsidRPr="0010780E">
        <w:rPr>
          <w:i/>
          <w:szCs w:val="24"/>
          <w:vertAlign w:val="subscript"/>
        </w:rPr>
        <w:t>avg</w:t>
      </w:r>
      <w:proofErr w:type="spellEnd"/>
      <w:r w:rsidRPr="0010780E">
        <w:rPr>
          <w:szCs w:val="24"/>
        </w:rPr>
        <w:t xml:space="preserve">, the average annual escalation rate. The relationship between the factor calculated in the equation and the variable escalation rates in the series can be expressed as follows for a performance period of </w:t>
      </w:r>
      <w:r w:rsidRPr="0010780E">
        <w:rPr>
          <w:i/>
          <w:szCs w:val="24"/>
        </w:rPr>
        <w:t>n</w:t>
      </w:r>
      <w:r w:rsidRPr="0010780E">
        <w:rPr>
          <w:szCs w:val="24"/>
        </w:rPr>
        <w:t xml:space="preserve"> years duration:</w:t>
      </w:r>
    </w:p>
    <w:p w14:paraId="6487789D" w14:textId="29214D4D" w:rsidR="00177879" w:rsidRPr="0010780E" w:rsidRDefault="00177879" w:rsidP="009D7D61">
      <w:pPr>
        <w:rPr>
          <w:szCs w:val="24"/>
        </w:rPr>
      </w:pPr>
      <w:r w:rsidRPr="00177879">
        <w:rPr>
          <w:noProof/>
          <w:szCs w:val="24"/>
        </w:rPr>
        <w:drawing>
          <wp:inline distT="0" distB="0" distL="0" distR="0" wp14:anchorId="7D9F3EB0" wp14:editId="6134DD39">
            <wp:extent cx="5941314" cy="674370"/>
            <wp:effectExtent l="0" t="0" r="0" b="0"/>
            <wp:docPr id="5" name="Picture 4">
              <a:extLst xmlns:a="http://schemas.openxmlformats.org/drawingml/2006/main">
                <a:ext uri="{FF2B5EF4-FFF2-40B4-BE49-F238E27FC236}">
                  <a16:creationId xmlns:a16="http://schemas.microsoft.com/office/drawing/2014/main" id="{6849ED90-41FB-4755-A787-3FF072AF77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849ED90-41FB-4755-A787-3FF072AF7704}"/>
                        </a:ext>
                      </a:extLst>
                    </pic:cNvPr>
                    <pic:cNvPicPr>
                      <a:picLocks noChangeAspect="1"/>
                    </pic:cNvPicPr>
                  </pic:nvPicPr>
                  <pic:blipFill>
                    <a:blip r:embed="rId13"/>
                    <a:stretch>
                      <a:fillRect/>
                    </a:stretch>
                  </pic:blipFill>
                  <pic:spPr>
                    <a:xfrm>
                      <a:off x="0" y="0"/>
                      <a:ext cx="5941314" cy="674370"/>
                    </a:xfrm>
                    <a:prstGeom prst="rect">
                      <a:avLst/>
                    </a:prstGeom>
                  </pic:spPr>
                </pic:pic>
              </a:graphicData>
            </a:graphic>
          </wp:inline>
        </w:drawing>
      </w:r>
    </w:p>
    <w:p w14:paraId="77BF6D9A" w14:textId="77777777" w:rsidR="00784728" w:rsidRDefault="00784728">
      <w:pPr>
        <w:rPr>
          <w:szCs w:val="24"/>
        </w:rPr>
      </w:pPr>
    </w:p>
    <w:p w14:paraId="093A755E" w14:textId="16207F46" w:rsidR="009D7D61" w:rsidRPr="0010780E" w:rsidRDefault="00240893">
      <w:pPr>
        <w:rPr>
          <w:szCs w:val="24"/>
        </w:rPr>
      </w:pPr>
      <w:r w:rsidRPr="0010780E">
        <w:rPr>
          <w:szCs w:val="24"/>
        </w:rPr>
        <w:t xml:space="preserve">The cost of carbon is calculated using the emissions per unit of fuel type, the </w:t>
      </w:r>
      <w:r w:rsidR="00AE65B5">
        <w:rPr>
          <w:szCs w:val="24"/>
        </w:rPr>
        <w:t>SCC</w:t>
      </w:r>
      <w:r w:rsidRPr="0010780E">
        <w:rPr>
          <w:szCs w:val="24"/>
        </w:rPr>
        <w:t xml:space="preserve"> projections, and the carbon emissions factor to calculate a price per unit of fuel. Then </w:t>
      </w:r>
      <w:proofErr w:type="gramStart"/>
      <w:r w:rsidRPr="0010780E">
        <w:rPr>
          <w:szCs w:val="24"/>
        </w:rPr>
        <w:t>its</w:t>
      </w:r>
      <w:proofErr w:type="gramEnd"/>
      <w:r w:rsidRPr="0010780E">
        <w:rPr>
          <w:szCs w:val="24"/>
        </w:rPr>
        <w:t xml:space="preserve"> added into the projected energy prices before the escalation rate is calculated.</w:t>
      </w:r>
    </w:p>
    <w:p w14:paraId="01650744" w14:textId="1BD46930" w:rsidR="00F95054" w:rsidRPr="0010780E" w:rsidRDefault="00F95054">
      <w:pPr>
        <w:rPr>
          <w:szCs w:val="24"/>
        </w:rPr>
      </w:pPr>
    </w:p>
    <w:p w14:paraId="3ED413BB" w14:textId="0272899A" w:rsidR="00F95054" w:rsidRPr="0010780E" w:rsidRDefault="004F367A">
      <w:pPr>
        <w:rPr>
          <w:szCs w:val="24"/>
        </w:rPr>
      </w:pPr>
      <w:r>
        <w:rPr>
          <w:szCs w:val="24"/>
        </w:rPr>
        <w:t>For electricity, t</w:t>
      </w:r>
      <w:r w:rsidR="00364488" w:rsidRPr="0010780E">
        <w:rPr>
          <w:szCs w:val="24"/>
        </w:rPr>
        <w:t>ake the baseline CO</w:t>
      </w:r>
      <w:r w:rsidR="00364488" w:rsidRPr="00A45BB1">
        <w:rPr>
          <w:szCs w:val="24"/>
          <w:vertAlign w:val="subscript"/>
        </w:rPr>
        <w:t>2</w:t>
      </w:r>
      <w:r w:rsidR="00A45BB1">
        <w:rPr>
          <w:szCs w:val="24"/>
        </w:rPr>
        <w:t>e</w:t>
      </w:r>
      <w:r w:rsidR="00364488" w:rsidRPr="0010780E">
        <w:rPr>
          <w:szCs w:val="24"/>
        </w:rPr>
        <w:t xml:space="preserve"> emissions rate </w:t>
      </w:r>
      <w:r w:rsidR="00C77E7F">
        <w:rPr>
          <w:szCs w:val="24"/>
        </w:rPr>
        <w:t xml:space="preserve">for a state </w:t>
      </w:r>
      <w:r w:rsidR="00364488" w:rsidRPr="0010780E">
        <w:rPr>
          <w:szCs w:val="24"/>
        </w:rPr>
        <w:t xml:space="preserve">and create the emissions rate for each year by multiplying it by the emission factor </w:t>
      </w:r>
      <w:r w:rsidR="00C77E7F">
        <w:rPr>
          <w:szCs w:val="24"/>
        </w:rPr>
        <w:t xml:space="preserve">for that state </w:t>
      </w:r>
      <w:r w:rsidR="00364488" w:rsidRPr="0010780E">
        <w:rPr>
          <w:szCs w:val="24"/>
        </w:rPr>
        <w:t xml:space="preserve">(fraction of baseline emissions rate by year). This value is then multiplied by the </w:t>
      </w:r>
      <w:r w:rsidR="00AE65B5">
        <w:rPr>
          <w:szCs w:val="24"/>
        </w:rPr>
        <w:t xml:space="preserve">SCC from the </w:t>
      </w:r>
      <w:r w:rsidR="00A45BB1">
        <w:rPr>
          <w:szCs w:val="24"/>
        </w:rPr>
        <w:t>projected SCC</w:t>
      </w:r>
      <w:r w:rsidR="00364488" w:rsidRPr="0010780E">
        <w:rPr>
          <w:szCs w:val="24"/>
        </w:rPr>
        <w:t xml:space="preserve"> scenario by year. This provides the carbon price per unit of electricity.</w:t>
      </w:r>
    </w:p>
    <w:p w14:paraId="10CDA336" w14:textId="3BFB0AEF" w:rsidR="00364488" w:rsidRPr="0010780E" w:rsidRDefault="00364488">
      <w:pPr>
        <w:rPr>
          <w:szCs w:val="24"/>
        </w:rPr>
      </w:pPr>
    </w:p>
    <w:p w14:paraId="2DFDBC82" w14:textId="47961B81" w:rsidR="00364488" w:rsidRPr="0010780E" w:rsidRDefault="00364488" w:rsidP="00364488">
      <w:pPr>
        <w:rPr>
          <w:szCs w:val="24"/>
        </w:rPr>
      </w:pPr>
      <w:r w:rsidRPr="0010780E">
        <w:rPr>
          <w:szCs w:val="24"/>
        </w:rPr>
        <w:t>The CO</w:t>
      </w:r>
      <w:r w:rsidRPr="00A45BB1">
        <w:rPr>
          <w:szCs w:val="24"/>
          <w:vertAlign w:val="subscript"/>
        </w:rPr>
        <w:t>2</w:t>
      </w:r>
      <w:r w:rsidR="00A45BB1">
        <w:rPr>
          <w:szCs w:val="24"/>
        </w:rPr>
        <w:t>e</w:t>
      </w:r>
      <w:r w:rsidRPr="0010780E">
        <w:rPr>
          <w:szCs w:val="24"/>
        </w:rPr>
        <w:t xml:space="preserve"> emissions rates for other fuels (distillate oil, residual oil, </w:t>
      </w:r>
      <w:proofErr w:type="spellStart"/>
      <w:r w:rsidRPr="0010780E">
        <w:rPr>
          <w:szCs w:val="24"/>
        </w:rPr>
        <w:t>nat</w:t>
      </w:r>
      <w:proofErr w:type="spellEnd"/>
      <w:r w:rsidRPr="0010780E">
        <w:rPr>
          <w:szCs w:val="24"/>
        </w:rPr>
        <w:t xml:space="preserve"> gas, LPG, and coal)</w:t>
      </w:r>
      <w:r w:rsidR="00FD5DE9">
        <w:rPr>
          <w:szCs w:val="24"/>
        </w:rPr>
        <w:t xml:space="preserve"> </w:t>
      </w:r>
      <w:r w:rsidR="00784728">
        <w:rPr>
          <w:szCs w:val="24"/>
        </w:rPr>
        <w:t xml:space="preserve">are </w:t>
      </w:r>
      <w:r w:rsidR="00FD5DE9">
        <w:rPr>
          <w:szCs w:val="24"/>
        </w:rPr>
        <w:t xml:space="preserve">based on EPA’s </w:t>
      </w:r>
      <w:r w:rsidR="00784728">
        <w:rPr>
          <w:szCs w:val="24"/>
        </w:rPr>
        <w:t>relevant e</w:t>
      </w:r>
      <w:r w:rsidR="00FD5DE9">
        <w:rPr>
          <w:szCs w:val="24"/>
        </w:rPr>
        <w:t xml:space="preserve">missions </w:t>
      </w:r>
      <w:r w:rsidR="00784728">
        <w:rPr>
          <w:szCs w:val="24"/>
        </w:rPr>
        <w:t>hub</w:t>
      </w:r>
      <w:r w:rsidRPr="0010780E">
        <w:rPr>
          <w:szCs w:val="24"/>
        </w:rPr>
        <w:t>. These rates do not change by year. Therefore, the emissions per unit are constant over time.</w:t>
      </w:r>
    </w:p>
    <w:p w14:paraId="289CD17B" w14:textId="6F2506F1" w:rsidR="00364488" w:rsidRPr="0010780E" w:rsidRDefault="00364488" w:rsidP="00364488">
      <w:pPr>
        <w:rPr>
          <w:szCs w:val="24"/>
        </w:rPr>
      </w:pPr>
    </w:p>
    <w:p w14:paraId="0AA8D1DD" w14:textId="664BED05" w:rsidR="003B5219" w:rsidRDefault="00AD3EA1" w:rsidP="00364488">
      <w:pPr>
        <w:rPr>
          <w:szCs w:val="24"/>
        </w:rPr>
      </w:pPr>
      <w:r w:rsidRPr="0010780E">
        <w:rPr>
          <w:szCs w:val="24"/>
        </w:rPr>
        <w:t>The energy price is adjusted by the cost of carbon per unit of fuel (</w:t>
      </w:r>
      <w:r w:rsidR="00784728" w:rsidRPr="0010780E">
        <w:rPr>
          <w:szCs w:val="24"/>
        </w:rPr>
        <w:t>assum</w:t>
      </w:r>
      <w:r w:rsidR="00784728">
        <w:rPr>
          <w:szCs w:val="24"/>
        </w:rPr>
        <w:t>ing</w:t>
      </w:r>
      <w:r w:rsidR="00784728" w:rsidRPr="0010780E">
        <w:rPr>
          <w:szCs w:val="24"/>
        </w:rPr>
        <w:t xml:space="preserve"> </w:t>
      </w:r>
      <w:r w:rsidRPr="0010780E">
        <w:rPr>
          <w:szCs w:val="24"/>
        </w:rPr>
        <w:t xml:space="preserve">a 100% </w:t>
      </w:r>
      <w:r w:rsidR="00784728" w:rsidRPr="0010780E">
        <w:rPr>
          <w:szCs w:val="24"/>
        </w:rPr>
        <w:t>pass</w:t>
      </w:r>
      <w:r w:rsidR="00784728">
        <w:rPr>
          <w:szCs w:val="24"/>
        </w:rPr>
        <w:t>-</w:t>
      </w:r>
      <w:r w:rsidRPr="0010780E">
        <w:rPr>
          <w:szCs w:val="24"/>
        </w:rPr>
        <w:t>through to the retail price). This is added before the escalation rates are calculated so that the escalation rates are appropriated adjusted for the carbon scenario.</w:t>
      </w:r>
      <w:r w:rsidR="00154855">
        <w:rPr>
          <w:szCs w:val="24"/>
        </w:rPr>
        <w:t xml:space="preserve"> </w:t>
      </w:r>
    </w:p>
    <w:p w14:paraId="3A1814B5" w14:textId="77777777" w:rsidR="003B5219" w:rsidRDefault="003B5219" w:rsidP="00364488">
      <w:pPr>
        <w:rPr>
          <w:szCs w:val="24"/>
        </w:rPr>
      </w:pPr>
    </w:p>
    <w:p w14:paraId="7A883220" w14:textId="7BF2FEA1" w:rsidR="00AD3EA1" w:rsidRPr="0010780E" w:rsidRDefault="00C013D5" w:rsidP="00364488">
      <w:pPr>
        <w:rPr>
          <w:szCs w:val="24"/>
        </w:rPr>
      </w:pPr>
      <w:r>
        <w:rPr>
          <w:szCs w:val="24"/>
        </w:rPr>
        <w:t>T</w:t>
      </w:r>
      <w:r w:rsidR="00860211">
        <w:rPr>
          <w:szCs w:val="24"/>
        </w:rPr>
        <w:t xml:space="preserve">he purpose of including the carbon cost is to </w:t>
      </w:r>
      <w:r w:rsidR="003B5219">
        <w:rPr>
          <w:szCs w:val="24"/>
        </w:rPr>
        <w:t>adjust future energy prices to incorporate the social cost of carbon</w:t>
      </w:r>
      <w:r w:rsidR="00EE0C44">
        <w:rPr>
          <w:szCs w:val="24"/>
        </w:rPr>
        <w:t xml:space="preserve">. </w:t>
      </w:r>
      <w:r w:rsidR="00A0293B">
        <w:rPr>
          <w:szCs w:val="24"/>
        </w:rPr>
        <w:t xml:space="preserve">Current energy prices </w:t>
      </w:r>
      <w:r w:rsidR="0022571A">
        <w:rPr>
          <w:szCs w:val="24"/>
        </w:rPr>
        <w:t xml:space="preserve">have not internalized </w:t>
      </w:r>
      <w:r w:rsidR="00784728">
        <w:rPr>
          <w:szCs w:val="24"/>
        </w:rPr>
        <w:t xml:space="preserve">any of </w:t>
      </w:r>
      <w:r w:rsidR="0022571A">
        <w:rPr>
          <w:szCs w:val="24"/>
        </w:rPr>
        <w:t>these external costs</w:t>
      </w:r>
      <w:r w:rsidR="00760458">
        <w:rPr>
          <w:szCs w:val="24"/>
        </w:rPr>
        <w:t xml:space="preserve">. </w:t>
      </w:r>
      <w:r w:rsidR="00EE0C44">
        <w:rPr>
          <w:szCs w:val="24"/>
        </w:rPr>
        <w:t xml:space="preserve">Therefore, </w:t>
      </w:r>
      <w:r w:rsidR="00FF1B73">
        <w:rPr>
          <w:szCs w:val="24"/>
        </w:rPr>
        <w:t xml:space="preserve">it is not appropriate to </w:t>
      </w:r>
      <w:r w:rsidR="00557331">
        <w:rPr>
          <w:szCs w:val="24"/>
        </w:rPr>
        <w:t xml:space="preserve">add </w:t>
      </w:r>
      <w:r w:rsidR="00EE0C44">
        <w:rPr>
          <w:szCs w:val="24"/>
        </w:rPr>
        <w:t xml:space="preserve">the price </w:t>
      </w:r>
      <w:r w:rsidR="0022571A">
        <w:rPr>
          <w:szCs w:val="24"/>
        </w:rPr>
        <w:t xml:space="preserve">of carbon </w:t>
      </w:r>
      <w:r w:rsidR="00557331">
        <w:rPr>
          <w:szCs w:val="24"/>
        </w:rPr>
        <w:t xml:space="preserve">to </w:t>
      </w:r>
      <w:r w:rsidR="00EE0C44">
        <w:rPr>
          <w:szCs w:val="24"/>
        </w:rPr>
        <w:t xml:space="preserve">the base year </w:t>
      </w:r>
      <w:r w:rsidR="00A0293B">
        <w:rPr>
          <w:szCs w:val="24"/>
        </w:rPr>
        <w:t>energy prices.</w:t>
      </w:r>
      <w:r w:rsidR="0063492A">
        <w:rPr>
          <w:szCs w:val="24"/>
        </w:rPr>
        <w:t xml:space="preserve"> </w:t>
      </w:r>
      <w:r w:rsidR="0067631F">
        <w:rPr>
          <w:szCs w:val="24"/>
        </w:rPr>
        <w:t>Instead</w:t>
      </w:r>
      <w:r w:rsidR="00784728">
        <w:rPr>
          <w:szCs w:val="24"/>
        </w:rPr>
        <w:t>,</w:t>
      </w:r>
      <w:r w:rsidR="0067631F">
        <w:rPr>
          <w:szCs w:val="24"/>
        </w:rPr>
        <w:t xml:space="preserve"> the addition of carbon </w:t>
      </w:r>
      <w:r w:rsidR="007E2055">
        <w:rPr>
          <w:szCs w:val="24"/>
        </w:rPr>
        <w:t xml:space="preserve">to energy </w:t>
      </w:r>
      <w:r w:rsidR="0067631F">
        <w:rPr>
          <w:szCs w:val="24"/>
        </w:rPr>
        <w:t>price</w:t>
      </w:r>
      <w:r w:rsidR="007E2055">
        <w:rPr>
          <w:szCs w:val="24"/>
        </w:rPr>
        <w:t>s</w:t>
      </w:r>
      <w:r w:rsidR="00567F0F">
        <w:rPr>
          <w:szCs w:val="24"/>
        </w:rPr>
        <w:t xml:space="preserve"> initially</w:t>
      </w:r>
      <w:r w:rsidR="0067631F">
        <w:rPr>
          <w:szCs w:val="24"/>
        </w:rPr>
        <w:t xml:space="preserve"> occurs </w:t>
      </w:r>
      <w:r w:rsidR="00567F0F">
        <w:rPr>
          <w:szCs w:val="24"/>
        </w:rPr>
        <w:t>for every year</w:t>
      </w:r>
      <w:r w:rsidR="00496442">
        <w:rPr>
          <w:szCs w:val="24"/>
        </w:rPr>
        <w:t xml:space="preserve"> after the base year, </w:t>
      </w:r>
      <w:proofErr w:type="gramStart"/>
      <w:r w:rsidR="00496442">
        <w:rPr>
          <w:szCs w:val="24"/>
        </w:rPr>
        <w:t>similar to</w:t>
      </w:r>
      <w:proofErr w:type="gramEnd"/>
      <w:r w:rsidR="00496442">
        <w:rPr>
          <w:szCs w:val="24"/>
        </w:rPr>
        <w:t xml:space="preserve"> what would happen </w:t>
      </w:r>
      <w:r w:rsidR="00A47B61">
        <w:rPr>
          <w:szCs w:val="24"/>
        </w:rPr>
        <w:t xml:space="preserve">to energy prices </w:t>
      </w:r>
      <w:r w:rsidR="00496442">
        <w:rPr>
          <w:szCs w:val="24"/>
        </w:rPr>
        <w:t xml:space="preserve">if </w:t>
      </w:r>
      <w:r w:rsidR="00F65929">
        <w:rPr>
          <w:szCs w:val="24"/>
        </w:rPr>
        <w:t xml:space="preserve">legislation were to require </w:t>
      </w:r>
      <w:r w:rsidR="00496442">
        <w:rPr>
          <w:szCs w:val="24"/>
        </w:rPr>
        <w:t>energy producer</w:t>
      </w:r>
      <w:r w:rsidR="00F65929">
        <w:rPr>
          <w:szCs w:val="24"/>
        </w:rPr>
        <w:t xml:space="preserve">s to pay the estimated social </w:t>
      </w:r>
      <w:r w:rsidR="00496442">
        <w:rPr>
          <w:szCs w:val="24"/>
        </w:rPr>
        <w:t xml:space="preserve">cost of carbon </w:t>
      </w:r>
      <w:r w:rsidR="00FF1B73">
        <w:rPr>
          <w:szCs w:val="24"/>
        </w:rPr>
        <w:t>on their production</w:t>
      </w:r>
      <w:r>
        <w:rPr>
          <w:szCs w:val="24"/>
        </w:rPr>
        <w:t xml:space="preserve"> starting at the end of the base year</w:t>
      </w:r>
      <w:r w:rsidR="00FF1B73">
        <w:rPr>
          <w:szCs w:val="24"/>
        </w:rPr>
        <w:t>.</w:t>
      </w:r>
      <w:r w:rsidR="0065083C">
        <w:rPr>
          <w:szCs w:val="24"/>
        </w:rPr>
        <w:t xml:space="preserve"> </w:t>
      </w:r>
      <w:r w:rsidR="0026120D">
        <w:rPr>
          <w:szCs w:val="24"/>
        </w:rPr>
        <w:t xml:space="preserve">Alternatively, you could think of it as </w:t>
      </w:r>
      <w:r w:rsidR="00810B90">
        <w:rPr>
          <w:szCs w:val="24"/>
        </w:rPr>
        <w:t>a</w:t>
      </w:r>
      <w:r w:rsidR="0026120D">
        <w:rPr>
          <w:szCs w:val="24"/>
        </w:rPr>
        <w:t xml:space="preserve"> federal agency decid</w:t>
      </w:r>
      <w:r w:rsidR="00810B90">
        <w:rPr>
          <w:szCs w:val="24"/>
        </w:rPr>
        <w:t>ing</w:t>
      </w:r>
      <w:r w:rsidR="0026120D">
        <w:rPr>
          <w:szCs w:val="24"/>
        </w:rPr>
        <w:t xml:space="preserve"> to start including the social cost of carbon into the </w:t>
      </w:r>
      <w:r w:rsidR="00810B90">
        <w:rPr>
          <w:szCs w:val="24"/>
        </w:rPr>
        <w:t>costs considered for future energy consumption.</w:t>
      </w:r>
      <w:r w:rsidR="008F16E7">
        <w:rPr>
          <w:szCs w:val="24"/>
        </w:rPr>
        <w:t xml:space="preserve"> </w:t>
      </w:r>
      <w:r w:rsidR="008F16E7">
        <w:rPr>
          <w:szCs w:val="24"/>
        </w:rPr>
        <w:t>The exceptions are California and the 12 northeastern states that are part of the Regional Greenhouse Gas Initiative (RGGI), which each have a carbon market with average carbon prices of approximately $29 and $13, respectively, at release of this document.</w:t>
      </w:r>
    </w:p>
    <w:p w14:paraId="5D952093" w14:textId="77777777" w:rsidR="000C4394" w:rsidRPr="0010780E" w:rsidRDefault="000C4394" w:rsidP="000C4394">
      <w:pPr>
        <w:pStyle w:val="Heading2"/>
        <w:ind w:left="0"/>
        <w:rPr>
          <w:sz w:val="24"/>
          <w:szCs w:val="24"/>
        </w:rPr>
      </w:pPr>
      <w:bookmarkStart w:id="4" w:name="_Toc21606438"/>
    </w:p>
    <w:p w14:paraId="0FFEE520" w14:textId="749A46A5" w:rsidR="009D7D61" w:rsidRPr="0010780E" w:rsidRDefault="009D7D61" w:rsidP="000C4394">
      <w:pPr>
        <w:pStyle w:val="Heading2"/>
        <w:ind w:left="0"/>
        <w:rPr>
          <w:sz w:val="24"/>
          <w:szCs w:val="24"/>
        </w:rPr>
      </w:pPr>
      <w:r w:rsidRPr="0010780E">
        <w:rPr>
          <w:sz w:val="24"/>
          <w:szCs w:val="24"/>
        </w:rPr>
        <w:t>Data Tables</w:t>
      </w:r>
      <w:bookmarkEnd w:id="4"/>
    </w:p>
    <w:p w14:paraId="40A8AF94" w14:textId="77777777" w:rsidR="009D7D61" w:rsidRPr="0010780E" w:rsidRDefault="009D7D61" w:rsidP="009D7D61">
      <w:pPr>
        <w:tabs>
          <w:tab w:val="clear" w:pos="720"/>
          <w:tab w:val="clear" w:pos="5760"/>
        </w:tabs>
        <w:ind w:right="0"/>
        <w:rPr>
          <w:szCs w:val="24"/>
        </w:rPr>
      </w:pPr>
    </w:p>
    <w:p w14:paraId="03BC3BD8" w14:textId="77777777" w:rsidR="009D7D61" w:rsidRPr="0010780E" w:rsidRDefault="009D7D61" w:rsidP="009D7D61">
      <w:pPr>
        <w:tabs>
          <w:tab w:val="clear" w:pos="720"/>
          <w:tab w:val="clear" w:pos="5760"/>
        </w:tabs>
        <w:ind w:right="0"/>
        <w:rPr>
          <w:szCs w:val="24"/>
        </w:rPr>
      </w:pPr>
      <w:r w:rsidRPr="0010780E">
        <w:rPr>
          <w:szCs w:val="24"/>
        </w:rPr>
        <w:t xml:space="preserve">The data tables include </w:t>
      </w:r>
    </w:p>
    <w:p w14:paraId="22648806" w14:textId="2577F4FE" w:rsidR="009D7D61" w:rsidRPr="0010780E" w:rsidRDefault="009D7D61" w:rsidP="009D7D61">
      <w:pPr>
        <w:pStyle w:val="ListParagraph"/>
        <w:numPr>
          <w:ilvl w:val="0"/>
          <w:numId w:val="26"/>
        </w:numPr>
        <w:tabs>
          <w:tab w:val="clear" w:pos="720"/>
          <w:tab w:val="clear" w:pos="5760"/>
        </w:tabs>
        <w:ind w:right="0"/>
        <w:rPr>
          <w:szCs w:val="24"/>
        </w:rPr>
      </w:pPr>
      <w:r w:rsidRPr="0010780E">
        <w:rPr>
          <w:szCs w:val="24"/>
        </w:rPr>
        <w:t xml:space="preserve">the </w:t>
      </w:r>
      <w:proofErr w:type="spellStart"/>
      <w:r w:rsidRPr="0010780E">
        <w:rPr>
          <w:szCs w:val="24"/>
        </w:rPr>
        <w:t>Encost</w:t>
      </w:r>
      <w:proofErr w:type="spellEnd"/>
      <w:r w:rsidRPr="0010780E">
        <w:rPr>
          <w:szCs w:val="24"/>
        </w:rPr>
        <w:t xml:space="preserve"> file that includes the EIA energy price projections for each fuel type over time</w:t>
      </w:r>
    </w:p>
    <w:p w14:paraId="0EE044F0" w14:textId="2120B006" w:rsidR="00744F64" w:rsidRPr="0010780E" w:rsidRDefault="00744F64" w:rsidP="00EF5F24">
      <w:pPr>
        <w:pStyle w:val="ListParagraph"/>
        <w:numPr>
          <w:ilvl w:val="1"/>
          <w:numId w:val="26"/>
        </w:numPr>
        <w:tabs>
          <w:tab w:val="clear" w:pos="720"/>
          <w:tab w:val="clear" w:pos="5760"/>
        </w:tabs>
        <w:ind w:right="0"/>
        <w:rPr>
          <w:szCs w:val="24"/>
        </w:rPr>
      </w:pPr>
      <w:r w:rsidRPr="0010780E">
        <w:rPr>
          <w:szCs w:val="24"/>
        </w:rPr>
        <w:t>This file is provided by EIA and then NIST manipulates it to create the annual supplement data</w:t>
      </w:r>
    </w:p>
    <w:p w14:paraId="52F7A50B" w14:textId="76864D66" w:rsidR="009D7D61" w:rsidRPr="0010780E" w:rsidRDefault="009D7D61" w:rsidP="009D7D61">
      <w:pPr>
        <w:pStyle w:val="ListParagraph"/>
        <w:numPr>
          <w:ilvl w:val="0"/>
          <w:numId w:val="26"/>
        </w:numPr>
        <w:tabs>
          <w:tab w:val="clear" w:pos="720"/>
          <w:tab w:val="clear" w:pos="5760"/>
        </w:tabs>
        <w:ind w:right="0"/>
        <w:rPr>
          <w:szCs w:val="24"/>
        </w:rPr>
      </w:pPr>
      <w:r w:rsidRPr="0010780E">
        <w:rPr>
          <w:szCs w:val="24"/>
        </w:rPr>
        <w:t>CO2 Price file that includes the projected prices for CO</w:t>
      </w:r>
      <w:r w:rsidRPr="00A45BB1">
        <w:rPr>
          <w:szCs w:val="24"/>
          <w:vertAlign w:val="subscript"/>
        </w:rPr>
        <w:t>2</w:t>
      </w:r>
      <w:r w:rsidR="00A45BB1">
        <w:rPr>
          <w:szCs w:val="24"/>
        </w:rPr>
        <w:t>e</w:t>
      </w:r>
      <w:r w:rsidRPr="0010780E">
        <w:rPr>
          <w:szCs w:val="24"/>
        </w:rPr>
        <w:t xml:space="preserve"> emissions</w:t>
      </w:r>
    </w:p>
    <w:p w14:paraId="7C386977" w14:textId="4A0D586C" w:rsidR="00744F64" w:rsidRPr="0010780E" w:rsidRDefault="00744F64" w:rsidP="00744F64">
      <w:pPr>
        <w:pStyle w:val="ListParagraph"/>
        <w:numPr>
          <w:ilvl w:val="1"/>
          <w:numId w:val="26"/>
        </w:numPr>
        <w:tabs>
          <w:tab w:val="clear" w:pos="720"/>
          <w:tab w:val="clear" w:pos="5760"/>
        </w:tabs>
        <w:ind w:right="0"/>
        <w:rPr>
          <w:szCs w:val="24"/>
        </w:rPr>
      </w:pPr>
      <w:r w:rsidRPr="0010780E">
        <w:rPr>
          <w:szCs w:val="24"/>
        </w:rPr>
        <w:t>Provided by scenario and year</w:t>
      </w:r>
    </w:p>
    <w:p w14:paraId="28E0A313" w14:textId="78D72756" w:rsidR="004F156D" w:rsidRPr="0010780E" w:rsidRDefault="004F156D" w:rsidP="009D7D61">
      <w:pPr>
        <w:pStyle w:val="ListParagraph"/>
        <w:numPr>
          <w:ilvl w:val="0"/>
          <w:numId w:val="26"/>
        </w:numPr>
        <w:tabs>
          <w:tab w:val="clear" w:pos="720"/>
          <w:tab w:val="clear" w:pos="5760"/>
        </w:tabs>
        <w:ind w:right="0"/>
        <w:rPr>
          <w:szCs w:val="24"/>
        </w:rPr>
      </w:pPr>
      <w:r w:rsidRPr="0010780E">
        <w:rPr>
          <w:szCs w:val="24"/>
        </w:rPr>
        <w:t>CO2 Future Emissions file that includes the projected emissions rate factors for electricity generation over time</w:t>
      </w:r>
    </w:p>
    <w:p w14:paraId="710CFABC" w14:textId="4278440C" w:rsidR="004F156D" w:rsidRPr="0010780E" w:rsidRDefault="004F156D" w:rsidP="004F156D">
      <w:pPr>
        <w:pStyle w:val="ListParagraph"/>
        <w:numPr>
          <w:ilvl w:val="1"/>
          <w:numId w:val="26"/>
        </w:numPr>
        <w:tabs>
          <w:tab w:val="clear" w:pos="720"/>
          <w:tab w:val="clear" w:pos="5760"/>
        </w:tabs>
        <w:ind w:right="0"/>
        <w:rPr>
          <w:szCs w:val="24"/>
        </w:rPr>
      </w:pPr>
      <w:r w:rsidRPr="0010780E">
        <w:rPr>
          <w:szCs w:val="24"/>
        </w:rPr>
        <w:t>Fraction of Current Year’s Emissions Rate</w:t>
      </w:r>
      <w:r w:rsidR="00FB18A9">
        <w:rPr>
          <w:szCs w:val="24"/>
        </w:rPr>
        <w:t xml:space="preserve"> by state</w:t>
      </w:r>
    </w:p>
    <w:p w14:paraId="416F4630" w14:textId="37CC4EE5" w:rsidR="009D7D61" w:rsidRPr="0010780E" w:rsidRDefault="009D7D61" w:rsidP="009D7D61">
      <w:pPr>
        <w:pStyle w:val="ListParagraph"/>
        <w:numPr>
          <w:ilvl w:val="0"/>
          <w:numId w:val="26"/>
        </w:numPr>
        <w:tabs>
          <w:tab w:val="clear" w:pos="720"/>
          <w:tab w:val="clear" w:pos="5760"/>
        </w:tabs>
        <w:ind w:right="0"/>
        <w:rPr>
          <w:szCs w:val="24"/>
        </w:rPr>
      </w:pPr>
      <w:r w:rsidRPr="0010780E">
        <w:rPr>
          <w:szCs w:val="24"/>
        </w:rPr>
        <w:t xml:space="preserve">CO2 Factors file that includes the </w:t>
      </w:r>
      <w:r w:rsidR="004F156D" w:rsidRPr="0010780E">
        <w:rPr>
          <w:szCs w:val="24"/>
        </w:rPr>
        <w:t xml:space="preserve">baseline </w:t>
      </w:r>
      <w:r w:rsidRPr="0010780E">
        <w:rPr>
          <w:szCs w:val="24"/>
        </w:rPr>
        <w:t xml:space="preserve">emissions rates for electricity </w:t>
      </w:r>
      <w:r w:rsidR="00621051" w:rsidRPr="0010780E">
        <w:rPr>
          <w:szCs w:val="24"/>
        </w:rPr>
        <w:t>and other fuel types</w:t>
      </w:r>
    </w:p>
    <w:p w14:paraId="36F59084" w14:textId="33EA9971" w:rsidR="00744F64" w:rsidRPr="0010780E" w:rsidRDefault="00621051" w:rsidP="00744F64">
      <w:pPr>
        <w:pStyle w:val="ListParagraph"/>
        <w:numPr>
          <w:ilvl w:val="1"/>
          <w:numId w:val="26"/>
        </w:numPr>
        <w:tabs>
          <w:tab w:val="clear" w:pos="720"/>
          <w:tab w:val="clear" w:pos="5760"/>
        </w:tabs>
        <w:ind w:right="0"/>
        <w:rPr>
          <w:szCs w:val="24"/>
        </w:rPr>
      </w:pPr>
      <w:r w:rsidRPr="0010780E">
        <w:rPr>
          <w:szCs w:val="24"/>
        </w:rPr>
        <w:t>Electricity emission rates are p</w:t>
      </w:r>
      <w:r w:rsidR="00744F64" w:rsidRPr="0010780E">
        <w:rPr>
          <w:szCs w:val="24"/>
        </w:rPr>
        <w:t xml:space="preserve">rovided </w:t>
      </w:r>
      <w:r w:rsidR="004F156D" w:rsidRPr="0010780E">
        <w:rPr>
          <w:szCs w:val="24"/>
        </w:rPr>
        <w:t xml:space="preserve">by </w:t>
      </w:r>
      <w:r w:rsidR="009062C4">
        <w:rPr>
          <w:szCs w:val="24"/>
        </w:rPr>
        <w:t>state</w:t>
      </w:r>
    </w:p>
    <w:p w14:paraId="717A1608" w14:textId="6502E563" w:rsidR="00621051" w:rsidRPr="0010780E" w:rsidRDefault="00621051" w:rsidP="00621051">
      <w:pPr>
        <w:pStyle w:val="ListParagraph"/>
        <w:numPr>
          <w:ilvl w:val="1"/>
          <w:numId w:val="26"/>
        </w:numPr>
        <w:tabs>
          <w:tab w:val="clear" w:pos="720"/>
          <w:tab w:val="clear" w:pos="5760"/>
        </w:tabs>
        <w:ind w:right="0"/>
        <w:rPr>
          <w:szCs w:val="24"/>
        </w:rPr>
      </w:pPr>
      <w:r w:rsidRPr="0010780E">
        <w:rPr>
          <w:szCs w:val="24"/>
        </w:rPr>
        <w:t>Other fuel types are assumed to be constant using a national average rate</w:t>
      </w:r>
    </w:p>
    <w:p w14:paraId="3B3F67F5" w14:textId="5F691D65" w:rsidR="009D7D61" w:rsidRPr="0010780E" w:rsidRDefault="009D7D61" w:rsidP="009D7D61">
      <w:pPr>
        <w:tabs>
          <w:tab w:val="clear" w:pos="720"/>
          <w:tab w:val="clear" w:pos="5760"/>
        </w:tabs>
        <w:ind w:right="0"/>
        <w:rPr>
          <w:szCs w:val="24"/>
        </w:rPr>
      </w:pPr>
      <w:r w:rsidRPr="0010780E">
        <w:rPr>
          <w:szCs w:val="24"/>
        </w:rPr>
        <w:t>These data tables are called on by the code</w:t>
      </w:r>
      <w:r w:rsidR="004F156D" w:rsidRPr="0010780E">
        <w:rPr>
          <w:szCs w:val="24"/>
        </w:rPr>
        <w:t xml:space="preserve">, will stay constant over time in term of format, but the data </w:t>
      </w:r>
      <w:r w:rsidR="0010780E">
        <w:rPr>
          <w:szCs w:val="24"/>
        </w:rPr>
        <w:t>is</w:t>
      </w:r>
      <w:r w:rsidR="004F156D" w:rsidRPr="0010780E">
        <w:rPr>
          <w:szCs w:val="24"/>
        </w:rPr>
        <w:t xml:space="preserve"> updated annually</w:t>
      </w:r>
      <w:r w:rsidRPr="0010780E">
        <w:rPr>
          <w:szCs w:val="24"/>
        </w:rPr>
        <w:t>.</w:t>
      </w:r>
    </w:p>
    <w:sectPr w:rsidR="009D7D61" w:rsidRPr="0010780E">
      <w:headerReference w:type="default" r:id="rId14"/>
      <w:footerReference w:type="default" r:id="rId15"/>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CEE95" w14:textId="77777777" w:rsidR="005C0B83" w:rsidRDefault="005C0B83">
      <w:r>
        <w:separator/>
      </w:r>
    </w:p>
  </w:endnote>
  <w:endnote w:type="continuationSeparator" w:id="0">
    <w:p w14:paraId="40CB0820" w14:textId="77777777" w:rsidR="005C0B83" w:rsidRDefault="005C0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B5B3" w14:textId="072F8AD3" w:rsidR="004F156D" w:rsidRDefault="004F156D" w:rsidP="008C3FCB">
    <w:pPr>
      <w:pStyle w:val="Footer"/>
      <w:rPr>
        <w:sz w:val="18"/>
      </w:rPr>
    </w:pPr>
    <w:r>
      <w:rPr>
        <w:rStyle w:val="PageNumber"/>
        <w:snapToGrid w:val="0"/>
        <w:sz w:val="18"/>
      </w:rPr>
      <w:t xml:space="preserve">EERC </w:t>
    </w:r>
    <w:r w:rsidR="000C4394">
      <w:rPr>
        <w:rStyle w:val="PageNumber"/>
        <w:snapToGrid w:val="0"/>
        <w:sz w:val="18"/>
      </w:rPr>
      <w:t>User Guide</w:t>
    </w:r>
    <w:r>
      <w:rPr>
        <w:rStyle w:val="PageNumber"/>
        <w:snapToGrid w:val="0"/>
        <w:sz w:val="18"/>
      </w:rPr>
      <w:t xml:space="preserve">                          </w:t>
    </w:r>
    <w:r>
      <w:rPr>
        <w:rStyle w:val="PageNumber"/>
        <w:snapToGrid w:val="0"/>
        <w:sz w:val="18"/>
      </w:rPr>
      <w:tab/>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sidR="00784728">
      <w:rPr>
        <w:rStyle w:val="PageNumber"/>
        <w:noProof/>
        <w:sz w:val="18"/>
      </w:rPr>
      <w:t>1</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784728">
      <w:rPr>
        <w:rStyle w:val="PageNumber"/>
        <w:noProof/>
        <w:sz w:val="18"/>
      </w:rPr>
      <w:t>7</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sidR="00787D1F">
      <w:rPr>
        <w:rStyle w:val="PageNumber"/>
        <w:noProof/>
        <w:sz w:val="18"/>
      </w:rPr>
      <w:t>05/18/22</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EFAF8" w14:textId="77777777" w:rsidR="005C0B83" w:rsidRDefault="005C0B83">
      <w:r>
        <w:separator/>
      </w:r>
    </w:p>
  </w:footnote>
  <w:footnote w:type="continuationSeparator" w:id="0">
    <w:p w14:paraId="3368FC50" w14:textId="77777777" w:rsidR="005C0B83" w:rsidRDefault="005C0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B2CD" w14:textId="07C9A7E5" w:rsidR="004F156D" w:rsidRDefault="000C4394">
    <w:pPr>
      <w:pStyle w:val="Header"/>
      <w:jc w:val="right"/>
    </w:pPr>
    <w:r>
      <w:t>EERC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FD5DEE"/>
    <w:multiLevelType w:val="hybridMultilevel"/>
    <w:tmpl w:val="1D6C2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74DDD"/>
    <w:multiLevelType w:val="hybridMultilevel"/>
    <w:tmpl w:val="70504A1C"/>
    <w:lvl w:ilvl="0" w:tplc="95EADA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004832"/>
    <w:multiLevelType w:val="multilevel"/>
    <w:tmpl w:val="10D4E2FC"/>
    <w:lvl w:ilvl="0">
      <w:start w:val="4"/>
      <w:numFmt w:val="decimal"/>
      <w:lvlText w:val="%1."/>
      <w:lvlJc w:val="left"/>
      <w:pPr>
        <w:tabs>
          <w:tab w:val="num" w:pos="360"/>
        </w:tabs>
        <w:ind w:left="360" w:hanging="360"/>
      </w:pPr>
      <w:rPr>
        <w:rFonts w:hint="default"/>
      </w:rPr>
    </w:lvl>
    <w:lvl w:ilvl="1">
      <w:start w:val="3"/>
      <w:numFmt w:val="decimal"/>
      <w:isLgl/>
      <w:lvlText w:val="%1.%2"/>
      <w:lvlJc w:val="left"/>
      <w:pPr>
        <w:ind w:left="577" w:hanging="390"/>
      </w:pPr>
      <w:rPr>
        <w:rFonts w:hint="default"/>
      </w:rPr>
    </w:lvl>
    <w:lvl w:ilvl="2">
      <w:start w:val="1"/>
      <w:numFmt w:val="decimal"/>
      <w:isLgl/>
      <w:lvlText w:val="%1.%2.%3"/>
      <w:lvlJc w:val="left"/>
      <w:pPr>
        <w:ind w:left="1094" w:hanging="720"/>
      </w:pPr>
      <w:rPr>
        <w:rFonts w:hint="default"/>
      </w:rPr>
    </w:lvl>
    <w:lvl w:ilvl="3">
      <w:start w:val="1"/>
      <w:numFmt w:val="decimal"/>
      <w:isLgl/>
      <w:lvlText w:val="%1.%2.%3.%4"/>
      <w:lvlJc w:val="left"/>
      <w:pPr>
        <w:ind w:left="1281" w:hanging="720"/>
      </w:pPr>
      <w:rPr>
        <w:rFonts w:hint="default"/>
      </w:rPr>
    </w:lvl>
    <w:lvl w:ilvl="4">
      <w:start w:val="1"/>
      <w:numFmt w:val="decimal"/>
      <w:isLgl/>
      <w:lvlText w:val="%1.%2.%3.%4.%5"/>
      <w:lvlJc w:val="left"/>
      <w:pPr>
        <w:ind w:left="1828" w:hanging="1080"/>
      </w:pPr>
      <w:rPr>
        <w:rFonts w:hint="default"/>
      </w:rPr>
    </w:lvl>
    <w:lvl w:ilvl="5">
      <w:start w:val="1"/>
      <w:numFmt w:val="decimal"/>
      <w:isLgl/>
      <w:lvlText w:val="%1.%2.%3.%4.%5.%6"/>
      <w:lvlJc w:val="left"/>
      <w:pPr>
        <w:ind w:left="2375" w:hanging="1440"/>
      </w:pPr>
      <w:rPr>
        <w:rFonts w:hint="default"/>
      </w:rPr>
    </w:lvl>
    <w:lvl w:ilvl="6">
      <w:start w:val="1"/>
      <w:numFmt w:val="decimal"/>
      <w:isLgl/>
      <w:lvlText w:val="%1.%2.%3.%4.%5.%6.%7"/>
      <w:lvlJc w:val="left"/>
      <w:pPr>
        <w:ind w:left="2562" w:hanging="1440"/>
      </w:pPr>
      <w:rPr>
        <w:rFonts w:hint="default"/>
      </w:rPr>
    </w:lvl>
    <w:lvl w:ilvl="7">
      <w:start w:val="1"/>
      <w:numFmt w:val="decimal"/>
      <w:isLgl/>
      <w:lvlText w:val="%1.%2.%3.%4.%5.%6.%7.%8"/>
      <w:lvlJc w:val="left"/>
      <w:pPr>
        <w:ind w:left="3109" w:hanging="1800"/>
      </w:pPr>
      <w:rPr>
        <w:rFonts w:hint="default"/>
      </w:rPr>
    </w:lvl>
    <w:lvl w:ilvl="8">
      <w:start w:val="1"/>
      <w:numFmt w:val="decimal"/>
      <w:isLgl/>
      <w:lvlText w:val="%1.%2.%3.%4.%5.%6.%7.%8.%9"/>
      <w:lvlJc w:val="left"/>
      <w:pPr>
        <w:ind w:left="3296" w:hanging="1800"/>
      </w:pPr>
      <w:rPr>
        <w:rFonts w:hint="default"/>
      </w:rPr>
    </w:lvl>
  </w:abstractNum>
  <w:abstractNum w:abstractNumId="4" w15:restartNumberingAfterBreak="0">
    <w:nsid w:val="0B451397"/>
    <w:multiLevelType w:val="hybridMultilevel"/>
    <w:tmpl w:val="5AEEDF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76BB"/>
    <w:multiLevelType w:val="multilevel"/>
    <w:tmpl w:val="8C10E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02C24"/>
    <w:multiLevelType w:val="multilevel"/>
    <w:tmpl w:val="2CF40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27676"/>
    <w:multiLevelType w:val="hybridMultilevel"/>
    <w:tmpl w:val="2098CA44"/>
    <w:lvl w:ilvl="0" w:tplc="646E6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2447F"/>
    <w:multiLevelType w:val="hybridMultilevel"/>
    <w:tmpl w:val="F13C3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BB6C00"/>
    <w:multiLevelType w:val="hybridMultilevel"/>
    <w:tmpl w:val="4030E1C0"/>
    <w:lvl w:ilvl="0" w:tplc="38B6EC7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3B707C"/>
    <w:multiLevelType w:val="hybridMultilevel"/>
    <w:tmpl w:val="3BA0C2FC"/>
    <w:lvl w:ilvl="0" w:tplc="0F1274AC">
      <w:start w:val="1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4165F"/>
    <w:multiLevelType w:val="hybridMultilevel"/>
    <w:tmpl w:val="E46ED31C"/>
    <w:lvl w:ilvl="0" w:tplc="8F6A4E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5E52D3"/>
    <w:multiLevelType w:val="hybridMultilevel"/>
    <w:tmpl w:val="78EC7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9C1A17"/>
    <w:multiLevelType w:val="hybridMultilevel"/>
    <w:tmpl w:val="46E8BD52"/>
    <w:lvl w:ilvl="0" w:tplc="CC36C434">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E7C90"/>
    <w:multiLevelType w:val="hybridMultilevel"/>
    <w:tmpl w:val="4030E1C0"/>
    <w:lvl w:ilvl="0" w:tplc="38B6EC7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8F6B7B"/>
    <w:multiLevelType w:val="hybridMultilevel"/>
    <w:tmpl w:val="E9AAE55C"/>
    <w:lvl w:ilvl="0" w:tplc="77B851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17" w15:restartNumberingAfterBreak="0">
    <w:nsid w:val="4490108A"/>
    <w:multiLevelType w:val="hybridMultilevel"/>
    <w:tmpl w:val="54965304"/>
    <w:lvl w:ilvl="0" w:tplc="397E1CC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283519"/>
    <w:multiLevelType w:val="multilevel"/>
    <w:tmpl w:val="5AA02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979B6"/>
    <w:multiLevelType w:val="hybridMultilevel"/>
    <w:tmpl w:val="269202E2"/>
    <w:lvl w:ilvl="0" w:tplc="B450E34E">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E84F86"/>
    <w:multiLevelType w:val="multilevel"/>
    <w:tmpl w:val="8C10E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75618A"/>
    <w:multiLevelType w:val="multilevel"/>
    <w:tmpl w:val="8826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C706A0"/>
    <w:multiLevelType w:val="hybridMultilevel"/>
    <w:tmpl w:val="F0F6939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1B04C4C"/>
    <w:multiLevelType w:val="hybridMultilevel"/>
    <w:tmpl w:val="7BBC5C22"/>
    <w:lvl w:ilvl="0" w:tplc="D73004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25" w15:restartNumberingAfterBreak="0">
    <w:nsid w:val="76B70D90"/>
    <w:multiLevelType w:val="multilevel"/>
    <w:tmpl w:val="02DA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7004DE"/>
    <w:multiLevelType w:val="hybridMultilevel"/>
    <w:tmpl w:val="C42426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24"/>
  </w:num>
  <w:num w:numId="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3"/>
  </w:num>
  <w:num w:numId="5">
    <w:abstractNumId w:val="12"/>
  </w:num>
  <w:num w:numId="6">
    <w:abstractNumId w:val="8"/>
  </w:num>
  <w:num w:numId="7">
    <w:abstractNumId w:val="2"/>
  </w:num>
  <w:num w:numId="8">
    <w:abstractNumId w:val="9"/>
  </w:num>
  <w:num w:numId="9">
    <w:abstractNumId w:val="14"/>
  </w:num>
  <w:num w:numId="10">
    <w:abstractNumId w:val="26"/>
  </w:num>
  <w:num w:numId="11">
    <w:abstractNumId w:val="17"/>
  </w:num>
  <w:num w:numId="12">
    <w:abstractNumId w:val="15"/>
  </w:num>
  <w:num w:numId="13">
    <w:abstractNumId w:val="11"/>
  </w:num>
  <w:num w:numId="14">
    <w:abstractNumId w:val="23"/>
  </w:num>
  <w:num w:numId="15">
    <w:abstractNumId w:val="10"/>
  </w:num>
  <w:num w:numId="16">
    <w:abstractNumId w:val="19"/>
  </w:num>
  <w:num w:numId="17">
    <w:abstractNumId w:val="13"/>
  </w:num>
  <w:num w:numId="18">
    <w:abstractNumId w:val="22"/>
  </w:num>
  <w:num w:numId="19">
    <w:abstractNumId w:val="4"/>
  </w:num>
  <w:num w:numId="20">
    <w:abstractNumId w:val="1"/>
  </w:num>
  <w:num w:numId="21">
    <w:abstractNumId w:val="25"/>
  </w:num>
  <w:num w:numId="22">
    <w:abstractNumId w:val="21"/>
  </w:num>
  <w:num w:numId="23">
    <w:abstractNumId w:val="18"/>
  </w:num>
  <w:num w:numId="24">
    <w:abstractNumId w:val="20"/>
  </w:num>
  <w:num w:numId="25">
    <w:abstractNumId w:val="6"/>
  </w:num>
  <w:num w:numId="26">
    <w:abstractNumId w:val="5"/>
  </w:num>
  <w:num w:numId="27">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intFractionalCharacterWidth/>
  <w:hideSpellingErrors/>
  <w:hideGrammaticalErrors/>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B67"/>
    <w:rsid w:val="00005DCE"/>
    <w:rsid w:val="00006BD5"/>
    <w:rsid w:val="00006C2A"/>
    <w:rsid w:val="0001275E"/>
    <w:rsid w:val="00021605"/>
    <w:rsid w:val="000305FC"/>
    <w:rsid w:val="00030ED3"/>
    <w:rsid w:val="00031315"/>
    <w:rsid w:val="000316DF"/>
    <w:rsid w:val="000331B7"/>
    <w:rsid w:val="00033BCF"/>
    <w:rsid w:val="00042A95"/>
    <w:rsid w:val="000447DC"/>
    <w:rsid w:val="00061373"/>
    <w:rsid w:val="0006191A"/>
    <w:rsid w:val="00064D5E"/>
    <w:rsid w:val="00065BFB"/>
    <w:rsid w:val="00071786"/>
    <w:rsid w:val="000755A7"/>
    <w:rsid w:val="00075D4D"/>
    <w:rsid w:val="00077CBE"/>
    <w:rsid w:val="00084C08"/>
    <w:rsid w:val="0009564F"/>
    <w:rsid w:val="00095A7A"/>
    <w:rsid w:val="00096471"/>
    <w:rsid w:val="000A1DBB"/>
    <w:rsid w:val="000A2C35"/>
    <w:rsid w:val="000A3365"/>
    <w:rsid w:val="000A4D79"/>
    <w:rsid w:val="000B1946"/>
    <w:rsid w:val="000B44F2"/>
    <w:rsid w:val="000C0186"/>
    <w:rsid w:val="000C19AC"/>
    <w:rsid w:val="000C29A1"/>
    <w:rsid w:val="000C2F80"/>
    <w:rsid w:val="000C4394"/>
    <w:rsid w:val="000C7CCF"/>
    <w:rsid w:val="000D3F4E"/>
    <w:rsid w:val="000D522E"/>
    <w:rsid w:val="000D637E"/>
    <w:rsid w:val="000E0D99"/>
    <w:rsid w:val="000E0F8E"/>
    <w:rsid w:val="000E380E"/>
    <w:rsid w:val="000E756E"/>
    <w:rsid w:val="000E7BAE"/>
    <w:rsid w:val="000F11A3"/>
    <w:rsid w:val="000F12B6"/>
    <w:rsid w:val="00101757"/>
    <w:rsid w:val="00103E73"/>
    <w:rsid w:val="0010780E"/>
    <w:rsid w:val="001102A9"/>
    <w:rsid w:val="00111796"/>
    <w:rsid w:val="00114A69"/>
    <w:rsid w:val="00126E64"/>
    <w:rsid w:val="00131E78"/>
    <w:rsid w:val="0013503D"/>
    <w:rsid w:val="00135423"/>
    <w:rsid w:val="00136D2B"/>
    <w:rsid w:val="00140ED6"/>
    <w:rsid w:val="00154855"/>
    <w:rsid w:val="00166D48"/>
    <w:rsid w:val="00166E13"/>
    <w:rsid w:val="00170F4D"/>
    <w:rsid w:val="001749AA"/>
    <w:rsid w:val="00177879"/>
    <w:rsid w:val="00182207"/>
    <w:rsid w:val="001822A4"/>
    <w:rsid w:val="00186FF0"/>
    <w:rsid w:val="001911D8"/>
    <w:rsid w:val="001A00B2"/>
    <w:rsid w:val="001A0A1B"/>
    <w:rsid w:val="001A17A5"/>
    <w:rsid w:val="001B0CB3"/>
    <w:rsid w:val="001B15AD"/>
    <w:rsid w:val="001B32EE"/>
    <w:rsid w:val="001B3508"/>
    <w:rsid w:val="001B4C69"/>
    <w:rsid w:val="001C4A7D"/>
    <w:rsid w:val="001C5BA4"/>
    <w:rsid w:val="001C6D55"/>
    <w:rsid w:val="001C73F0"/>
    <w:rsid w:val="001D1F14"/>
    <w:rsid w:val="001D2EBF"/>
    <w:rsid w:val="001D6371"/>
    <w:rsid w:val="001E341B"/>
    <w:rsid w:val="001E67FA"/>
    <w:rsid w:val="001E6832"/>
    <w:rsid w:val="001F07E4"/>
    <w:rsid w:val="001F1718"/>
    <w:rsid w:val="001F1A3C"/>
    <w:rsid w:val="002009E3"/>
    <w:rsid w:val="00201C8B"/>
    <w:rsid w:val="00201D42"/>
    <w:rsid w:val="00203557"/>
    <w:rsid w:val="00204132"/>
    <w:rsid w:val="00206CA7"/>
    <w:rsid w:val="00206F47"/>
    <w:rsid w:val="002077B8"/>
    <w:rsid w:val="00210594"/>
    <w:rsid w:val="0021185F"/>
    <w:rsid w:val="0021274C"/>
    <w:rsid w:val="002210A2"/>
    <w:rsid w:val="0022571A"/>
    <w:rsid w:val="0022638A"/>
    <w:rsid w:val="00227E1D"/>
    <w:rsid w:val="00232C97"/>
    <w:rsid w:val="00234268"/>
    <w:rsid w:val="00236F59"/>
    <w:rsid w:val="00240893"/>
    <w:rsid w:val="00242CC6"/>
    <w:rsid w:val="00246EC2"/>
    <w:rsid w:val="002521B6"/>
    <w:rsid w:val="0026120D"/>
    <w:rsid w:val="002634E0"/>
    <w:rsid w:val="00266B79"/>
    <w:rsid w:val="00266D75"/>
    <w:rsid w:val="00271868"/>
    <w:rsid w:val="00273389"/>
    <w:rsid w:val="0027355F"/>
    <w:rsid w:val="002741B1"/>
    <w:rsid w:val="00276A32"/>
    <w:rsid w:val="0028148F"/>
    <w:rsid w:val="00285CBB"/>
    <w:rsid w:val="002870C0"/>
    <w:rsid w:val="002911C5"/>
    <w:rsid w:val="00291EB1"/>
    <w:rsid w:val="00292362"/>
    <w:rsid w:val="00292E82"/>
    <w:rsid w:val="002942F4"/>
    <w:rsid w:val="00295B59"/>
    <w:rsid w:val="002A0D64"/>
    <w:rsid w:val="002A2F31"/>
    <w:rsid w:val="002A31F0"/>
    <w:rsid w:val="002B02ED"/>
    <w:rsid w:val="002B1378"/>
    <w:rsid w:val="002B3925"/>
    <w:rsid w:val="002B6D42"/>
    <w:rsid w:val="002B7323"/>
    <w:rsid w:val="002C094F"/>
    <w:rsid w:val="002C0C0F"/>
    <w:rsid w:val="002C315E"/>
    <w:rsid w:val="002C6A57"/>
    <w:rsid w:val="002D292E"/>
    <w:rsid w:val="002D4190"/>
    <w:rsid w:val="002E1B95"/>
    <w:rsid w:val="002E2CDD"/>
    <w:rsid w:val="002E2D04"/>
    <w:rsid w:val="002E2E26"/>
    <w:rsid w:val="002E73E5"/>
    <w:rsid w:val="002F1982"/>
    <w:rsid w:val="002F2E28"/>
    <w:rsid w:val="002F606C"/>
    <w:rsid w:val="002F612B"/>
    <w:rsid w:val="002F64D1"/>
    <w:rsid w:val="00303B23"/>
    <w:rsid w:val="00303F06"/>
    <w:rsid w:val="0030581D"/>
    <w:rsid w:val="00306BA3"/>
    <w:rsid w:val="0031014C"/>
    <w:rsid w:val="00312529"/>
    <w:rsid w:val="00326047"/>
    <w:rsid w:val="003322AE"/>
    <w:rsid w:val="00332963"/>
    <w:rsid w:val="00341E8C"/>
    <w:rsid w:val="00344AE2"/>
    <w:rsid w:val="00345490"/>
    <w:rsid w:val="00345DD1"/>
    <w:rsid w:val="003520EB"/>
    <w:rsid w:val="00357521"/>
    <w:rsid w:val="00362C93"/>
    <w:rsid w:val="00364488"/>
    <w:rsid w:val="003645DA"/>
    <w:rsid w:val="00365183"/>
    <w:rsid w:val="00370886"/>
    <w:rsid w:val="00374322"/>
    <w:rsid w:val="00376EEB"/>
    <w:rsid w:val="0037722D"/>
    <w:rsid w:val="003808C7"/>
    <w:rsid w:val="00383B1E"/>
    <w:rsid w:val="00387EED"/>
    <w:rsid w:val="00390595"/>
    <w:rsid w:val="003939D6"/>
    <w:rsid w:val="0039446B"/>
    <w:rsid w:val="0039641E"/>
    <w:rsid w:val="003976A1"/>
    <w:rsid w:val="003A3355"/>
    <w:rsid w:val="003A4135"/>
    <w:rsid w:val="003A44D8"/>
    <w:rsid w:val="003A4800"/>
    <w:rsid w:val="003B0FCE"/>
    <w:rsid w:val="003B5219"/>
    <w:rsid w:val="003B7A9E"/>
    <w:rsid w:val="003C19FB"/>
    <w:rsid w:val="003C577A"/>
    <w:rsid w:val="003C6F1F"/>
    <w:rsid w:val="003D04F8"/>
    <w:rsid w:val="003D3AB3"/>
    <w:rsid w:val="003D4266"/>
    <w:rsid w:val="003D66B3"/>
    <w:rsid w:val="003E5219"/>
    <w:rsid w:val="003E6A2A"/>
    <w:rsid w:val="003F038F"/>
    <w:rsid w:val="003F0ADF"/>
    <w:rsid w:val="003F383E"/>
    <w:rsid w:val="003F3B04"/>
    <w:rsid w:val="003F3BF1"/>
    <w:rsid w:val="00411F25"/>
    <w:rsid w:val="00412016"/>
    <w:rsid w:val="00415E0A"/>
    <w:rsid w:val="00432D05"/>
    <w:rsid w:val="00442CA4"/>
    <w:rsid w:val="0045093E"/>
    <w:rsid w:val="0045569B"/>
    <w:rsid w:val="00460CD8"/>
    <w:rsid w:val="00461D90"/>
    <w:rsid w:val="00467C06"/>
    <w:rsid w:val="00472FAD"/>
    <w:rsid w:val="00476366"/>
    <w:rsid w:val="004852DB"/>
    <w:rsid w:val="004859BF"/>
    <w:rsid w:val="00486F03"/>
    <w:rsid w:val="00490ABD"/>
    <w:rsid w:val="00490B08"/>
    <w:rsid w:val="004929AB"/>
    <w:rsid w:val="0049412E"/>
    <w:rsid w:val="00496442"/>
    <w:rsid w:val="00497E80"/>
    <w:rsid w:val="004A3677"/>
    <w:rsid w:val="004A6688"/>
    <w:rsid w:val="004B08D7"/>
    <w:rsid w:val="004B1ED3"/>
    <w:rsid w:val="004B4880"/>
    <w:rsid w:val="004C19CF"/>
    <w:rsid w:val="004C3855"/>
    <w:rsid w:val="004D0810"/>
    <w:rsid w:val="004D2D2F"/>
    <w:rsid w:val="004D37FB"/>
    <w:rsid w:val="004D65B2"/>
    <w:rsid w:val="004E3E58"/>
    <w:rsid w:val="004E6903"/>
    <w:rsid w:val="004F045B"/>
    <w:rsid w:val="004F156D"/>
    <w:rsid w:val="004F367A"/>
    <w:rsid w:val="004F52E8"/>
    <w:rsid w:val="00500DF3"/>
    <w:rsid w:val="00501CF5"/>
    <w:rsid w:val="0051093E"/>
    <w:rsid w:val="005136CB"/>
    <w:rsid w:val="00514A4E"/>
    <w:rsid w:val="00514D7C"/>
    <w:rsid w:val="00517CCC"/>
    <w:rsid w:val="00520149"/>
    <w:rsid w:val="0052757A"/>
    <w:rsid w:val="00530299"/>
    <w:rsid w:val="0053065D"/>
    <w:rsid w:val="00532B8C"/>
    <w:rsid w:val="00532C01"/>
    <w:rsid w:val="00533286"/>
    <w:rsid w:val="005375F6"/>
    <w:rsid w:val="005504D5"/>
    <w:rsid w:val="00551566"/>
    <w:rsid w:val="0055311E"/>
    <w:rsid w:val="00556194"/>
    <w:rsid w:val="00557331"/>
    <w:rsid w:val="005648B4"/>
    <w:rsid w:val="00567F0F"/>
    <w:rsid w:val="00570A58"/>
    <w:rsid w:val="005742ED"/>
    <w:rsid w:val="00575FF9"/>
    <w:rsid w:val="00577304"/>
    <w:rsid w:val="00580825"/>
    <w:rsid w:val="0058644F"/>
    <w:rsid w:val="005871ED"/>
    <w:rsid w:val="005944F5"/>
    <w:rsid w:val="00595EA1"/>
    <w:rsid w:val="005A0C6F"/>
    <w:rsid w:val="005A3027"/>
    <w:rsid w:val="005A585D"/>
    <w:rsid w:val="005A5D31"/>
    <w:rsid w:val="005A5D80"/>
    <w:rsid w:val="005A6564"/>
    <w:rsid w:val="005A7584"/>
    <w:rsid w:val="005B0875"/>
    <w:rsid w:val="005B7BAA"/>
    <w:rsid w:val="005C0B83"/>
    <w:rsid w:val="005C24F2"/>
    <w:rsid w:val="005C5948"/>
    <w:rsid w:val="005C611C"/>
    <w:rsid w:val="005D6EC3"/>
    <w:rsid w:val="005E15D5"/>
    <w:rsid w:val="005E3154"/>
    <w:rsid w:val="005E7A58"/>
    <w:rsid w:val="005E7D53"/>
    <w:rsid w:val="005F019B"/>
    <w:rsid w:val="005F1B45"/>
    <w:rsid w:val="005F5A90"/>
    <w:rsid w:val="005F60CB"/>
    <w:rsid w:val="00601587"/>
    <w:rsid w:val="00601F66"/>
    <w:rsid w:val="006152EE"/>
    <w:rsid w:val="006173F3"/>
    <w:rsid w:val="00620DA9"/>
    <w:rsid w:val="00621051"/>
    <w:rsid w:val="00621CC5"/>
    <w:rsid w:val="00623998"/>
    <w:rsid w:val="006340CD"/>
    <w:rsid w:val="0063492A"/>
    <w:rsid w:val="00645C79"/>
    <w:rsid w:val="006467FB"/>
    <w:rsid w:val="00650839"/>
    <w:rsid w:val="0065083C"/>
    <w:rsid w:val="00651C82"/>
    <w:rsid w:val="006555A9"/>
    <w:rsid w:val="0065650B"/>
    <w:rsid w:val="00660977"/>
    <w:rsid w:val="00664B9B"/>
    <w:rsid w:val="00671609"/>
    <w:rsid w:val="00672654"/>
    <w:rsid w:val="0067631F"/>
    <w:rsid w:val="00676490"/>
    <w:rsid w:val="00676734"/>
    <w:rsid w:val="006775FB"/>
    <w:rsid w:val="0068677D"/>
    <w:rsid w:val="006873B8"/>
    <w:rsid w:val="00687C5F"/>
    <w:rsid w:val="00690A04"/>
    <w:rsid w:val="00691E6A"/>
    <w:rsid w:val="006A087D"/>
    <w:rsid w:val="006A5014"/>
    <w:rsid w:val="006A6596"/>
    <w:rsid w:val="006A6B6A"/>
    <w:rsid w:val="006B5B0F"/>
    <w:rsid w:val="006B63CC"/>
    <w:rsid w:val="006B71B0"/>
    <w:rsid w:val="006C0BD1"/>
    <w:rsid w:val="006C29EC"/>
    <w:rsid w:val="006C4E97"/>
    <w:rsid w:val="006C52B9"/>
    <w:rsid w:val="006C5600"/>
    <w:rsid w:val="006D5B67"/>
    <w:rsid w:val="006D7149"/>
    <w:rsid w:val="006F201C"/>
    <w:rsid w:val="006F6030"/>
    <w:rsid w:val="006F71D4"/>
    <w:rsid w:val="00710700"/>
    <w:rsid w:val="00710E56"/>
    <w:rsid w:val="007110C8"/>
    <w:rsid w:val="00714C15"/>
    <w:rsid w:val="00717F79"/>
    <w:rsid w:val="00720818"/>
    <w:rsid w:val="00723746"/>
    <w:rsid w:val="007400E0"/>
    <w:rsid w:val="00740681"/>
    <w:rsid w:val="00744C94"/>
    <w:rsid w:val="00744F64"/>
    <w:rsid w:val="00752084"/>
    <w:rsid w:val="00753B8A"/>
    <w:rsid w:val="0075667F"/>
    <w:rsid w:val="00760458"/>
    <w:rsid w:val="0076246B"/>
    <w:rsid w:val="00764553"/>
    <w:rsid w:val="0076476E"/>
    <w:rsid w:val="0076548F"/>
    <w:rsid w:val="00765E50"/>
    <w:rsid w:val="00767DC0"/>
    <w:rsid w:val="00771440"/>
    <w:rsid w:val="00772CDF"/>
    <w:rsid w:val="00772E2B"/>
    <w:rsid w:val="00774D20"/>
    <w:rsid w:val="00776248"/>
    <w:rsid w:val="007765EF"/>
    <w:rsid w:val="00777CE7"/>
    <w:rsid w:val="0078163F"/>
    <w:rsid w:val="0078199D"/>
    <w:rsid w:val="00784728"/>
    <w:rsid w:val="00787D1F"/>
    <w:rsid w:val="00792DCA"/>
    <w:rsid w:val="0079667D"/>
    <w:rsid w:val="00797FF2"/>
    <w:rsid w:val="007A0992"/>
    <w:rsid w:val="007A10D1"/>
    <w:rsid w:val="007A135B"/>
    <w:rsid w:val="007A3F0F"/>
    <w:rsid w:val="007A61D7"/>
    <w:rsid w:val="007A7423"/>
    <w:rsid w:val="007A7E35"/>
    <w:rsid w:val="007B055A"/>
    <w:rsid w:val="007C16ED"/>
    <w:rsid w:val="007C44F9"/>
    <w:rsid w:val="007C4A7A"/>
    <w:rsid w:val="007D218B"/>
    <w:rsid w:val="007D2657"/>
    <w:rsid w:val="007D504C"/>
    <w:rsid w:val="007D5406"/>
    <w:rsid w:val="007D7C7E"/>
    <w:rsid w:val="007E2055"/>
    <w:rsid w:val="007E260C"/>
    <w:rsid w:val="007E39F1"/>
    <w:rsid w:val="007E5E4C"/>
    <w:rsid w:val="007F0E2A"/>
    <w:rsid w:val="007F1036"/>
    <w:rsid w:val="007F2658"/>
    <w:rsid w:val="007F6028"/>
    <w:rsid w:val="007F6555"/>
    <w:rsid w:val="007F7466"/>
    <w:rsid w:val="007F7D1A"/>
    <w:rsid w:val="007F7DBD"/>
    <w:rsid w:val="00807AE8"/>
    <w:rsid w:val="00810B90"/>
    <w:rsid w:val="00810E00"/>
    <w:rsid w:val="00812A3F"/>
    <w:rsid w:val="00812E8B"/>
    <w:rsid w:val="00815C3C"/>
    <w:rsid w:val="00817C03"/>
    <w:rsid w:val="008214BB"/>
    <w:rsid w:val="0082210B"/>
    <w:rsid w:val="008232C8"/>
    <w:rsid w:val="00823ABC"/>
    <w:rsid w:val="00823DD5"/>
    <w:rsid w:val="00824FD2"/>
    <w:rsid w:val="008266BD"/>
    <w:rsid w:val="0083163F"/>
    <w:rsid w:val="00832943"/>
    <w:rsid w:val="008347B2"/>
    <w:rsid w:val="00834924"/>
    <w:rsid w:val="00841E65"/>
    <w:rsid w:val="00844903"/>
    <w:rsid w:val="00847A9A"/>
    <w:rsid w:val="00850358"/>
    <w:rsid w:val="00853580"/>
    <w:rsid w:val="00854A64"/>
    <w:rsid w:val="00860211"/>
    <w:rsid w:val="00861F12"/>
    <w:rsid w:val="008631D0"/>
    <w:rsid w:val="00867C92"/>
    <w:rsid w:val="008703D4"/>
    <w:rsid w:val="00870C22"/>
    <w:rsid w:val="00871A06"/>
    <w:rsid w:val="008911C8"/>
    <w:rsid w:val="0089365E"/>
    <w:rsid w:val="00896033"/>
    <w:rsid w:val="008A111E"/>
    <w:rsid w:val="008A2DA3"/>
    <w:rsid w:val="008A64AF"/>
    <w:rsid w:val="008A72D0"/>
    <w:rsid w:val="008B0E1E"/>
    <w:rsid w:val="008B4B30"/>
    <w:rsid w:val="008B5BD6"/>
    <w:rsid w:val="008C18CD"/>
    <w:rsid w:val="008C31DA"/>
    <w:rsid w:val="008C3FCB"/>
    <w:rsid w:val="008C6011"/>
    <w:rsid w:val="008D1CC7"/>
    <w:rsid w:val="008D302D"/>
    <w:rsid w:val="008D5639"/>
    <w:rsid w:val="008D59A2"/>
    <w:rsid w:val="008D6E55"/>
    <w:rsid w:val="008E0F24"/>
    <w:rsid w:val="008E2AF0"/>
    <w:rsid w:val="008E584E"/>
    <w:rsid w:val="008F16E7"/>
    <w:rsid w:val="008F4221"/>
    <w:rsid w:val="008F6713"/>
    <w:rsid w:val="008F7BFC"/>
    <w:rsid w:val="009006DC"/>
    <w:rsid w:val="00905885"/>
    <w:rsid w:val="009062C4"/>
    <w:rsid w:val="00910194"/>
    <w:rsid w:val="009138D0"/>
    <w:rsid w:val="0092764A"/>
    <w:rsid w:val="00927775"/>
    <w:rsid w:val="0093555E"/>
    <w:rsid w:val="009359D4"/>
    <w:rsid w:val="00943795"/>
    <w:rsid w:val="00945B03"/>
    <w:rsid w:val="00950B77"/>
    <w:rsid w:val="00951CEE"/>
    <w:rsid w:val="00953371"/>
    <w:rsid w:val="00957389"/>
    <w:rsid w:val="009605C9"/>
    <w:rsid w:val="009619AC"/>
    <w:rsid w:val="00963DFB"/>
    <w:rsid w:val="0096553A"/>
    <w:rsid w:val="009656AA"/>
    <w:rsid w:val="009657D8"/>
    <w:rsid w:val="00966413"/>
    <w:rsid w:val="00970DAE"/>
    <w:rsid w:val="00973B55"/>
    <w:rsid w:val="0097502F"/>
    <w:rsid w:val="009763A1"/>
    <w:rsid w:val="00987B30"/>
    <w:rsid w:val="00991662"/>
    <w:rsid w:val="00993775"/>
    <w:rsid w:val="009958B8"/>
    <w:rsid w:val="00996493"/>
    <w:rsid w:val="009A039B"/>
    <w:rsid w:val="009A0676"/>
    <w:rsid w:val="009A07CC"/>
    <w:rsid w:val="009A1097"/>
    <w:rsid w:val="009A311F"/>
    <w:rsid w:val="009A3F50"/>
    <w:rsid w:val="009A49E9"/>
    <w:rsid w:val="009A6F98"/>
    <w:rsid w:val="009B3ABA"/>
    <w:rsid w:val="009B632F"/>
    <w:rsid w:val="009B6CF7"/>
    <w:rsid w:val="009B7EAE"/>
    <w:rsid w:val="009C3E43"/>
    <w:rsid w:val="009C4DBC"/>
    <w:rsid w:val="009D1435"/>
    <w:rsid w:val="009D2A4F"/>
    <w:rsid w:val="009D5811"/>
    <w:rsid w:val="009D7D61"/>
    <w:rsid w:val="009E3306"/>
    <w:rsid w:val="009E46D0"/>
    <w:rsid w:val="009F091D"/>
    <w:rsid w:val="009F1B59"/>
    <w:rsid w:val="009F6033"/>
    <w:rsid w:val="00A01D28"/>
    <w:rsid w:val="00A0293B"/>
    <w:rsid w:val="00A0515D"/>
    <w:rsid w:val="00A06867"/>
    <w:rsid w:val="00A06CE8"/>
    <w:rsid w:val="00A11DD7"/>
    <w:rsid w:val="00A14C19"/>
    <w:rsid w:val="00A15588"/>
    <w:rsid w:val="00A23296"/>
    <w:rsid w:val="00A24AFF"/>
    <w:rsid w:val="00A33ABF"/>
    <w:rsid w:val="00A41F7D"/>
    <w:rsid w:val="00A42941"/>
    <w:rsid w:val="00A44817"/>
    <w:rsid w:val="00A44A7D"/>
    <w:rsid w:val="00A45BB1"/>
    <w:rsid w:val="00A47B61"/>
    <w:rsid w:val="00A5182D"/>
    <w:rsid w:val="00A53E61"/>
    <w:rsid w:val="00A5414A"/>
    <w:rsid w:val="00A5620D"/>
    <w:rsid w:val="00A57401"/>
    <w:rsid w:val="00A6030D"/>
    <w:rsid w:val="00A61583"/>
    <w:rsid w:val="00A63B5A"/>
    <w:rsid w:val="00A642F5"/>
    <w:rsid w:val="00A7196C"/>
    <w:rsid w:val="00A725C0"/>
    <w:rsid w:val="00A72D64"/>
    <w:rsid w:val="00A744DE"/>
    <w:rsid w:val="00A74C7A"/>
    <w:rsid w:val="00A76468"/>
    <w:rsid w:val="00A77053"/>
    <w:rsid w:val="00A84070"/>
    <w:rsid w:val="00A84CCE"/>
    <w:rsid w:val="00A864A3"/>
    <w:rsid w:val="00A92011"/>
    <w:rsid w:val="00AB0076"/>
    <w:rsid w:val="00AB1D77"/>
    <w:rsid w:val="00AB2C7A"/>
    <w:rsid w:val="00AB4BBA"/>
    <w:rsid w:val="00AB665D"/>
    <w:rsid w:val="00AC0973"/>
    <w:rsid w:val="00AC16D8"/>
    <w:rsid w:val="00AC1E3B"/>
    <w:rsid w:val="00AC5988"/>
    <w:rsid w:val="00AC7746"/>
    <w:rsid w:val="00AD1B2F"/>
    <w:rsid w:val="00AD3EA1"/>
    <w:rsid w:val="00AD79F7"/>
    <w:rsid w:val="00AE00FB"/>
    <w:rsid w:val="00AE484E"/>
    <w:rsid w:val="00AE4D11"/>
    <w:rsid w:val="00AE5FBB"/>
    <w:rsid w:val="00AE62C4"/>
    <w:rsid w:val="00AE65B5"/>
    <w:rsid w:val="00AF6970"/>
    <w:rsid w:val="00B023CC"/>
    <w:rsid w:val="00B04CBF"/>
    <w:rsid w:val="00B10F32"/>
    <w:rsid w:val="00B12EB1"/>
    <w:rsid w:val="00B13F0E"/>
    <w:rsid w:val="00B16800"/>
    <w:rsid w:val="00B218DA"/>
    <w:rsid w:val="00B23EE7"/>
    <w:rsid w:val="00B24294"/>
    <w:rsid w:val="00B25E62"/>
    <w:rsid w:val="00B32083"/>
    <w:rsid w:val="00B32937"/>
    <w:rsid w:val="00B32C46"/>
    <w:rsid w:val="00B330D7"/>
    <w:rsid w:val="00B33675"/>
    <w:rsid w:val="00B36DF3"/>
    <w:rsid w:val="00B37C68"/>
    <w:rsid w:val="00B37D95"/>
    <w:rsid w:val="00B434E3"/>
    <w:rsid w:val="00B45252"/>
    <w:rsid w:val="00B559DB"/>
    <w:rsid w:val="00B60EB9"/>
    <w:rsid w:val="00B6358E"/>
    <w:rsid w:val="00B714C7"/>
    <w:rsid w:val="00B729F3"/>
    <w:rsid w:val="00B80A89"/>
    <w:rsid w:val="00B91B62"/>
    <w:rsid w:val="00B9590E"/>
    <w:rsid w:val="00BB6077"/>
    <w:rsid w:val="00BC1134"/>
    <w:rsid w:val="00BC16E7"/>
    <w:rsid w:val="00BC2CDC"/>
    <w:rsid w:val="00BC4355"/>
    <w:rsid w:val="00BC6C9D"/>
    <w:rsid w:val="00BD6ADC"/>
    <w:rsid w:val="00BD6ED6"/>
    <w:rsid w:val="00BE1B2B"/>
    <w:rsid w:val="00BE1E01"/>
    <w:rsid w:val="00BE2C59"/>
    <w:rsid w:val="00BE4DBC"/>
    <w:rsid w:val="00BE7CD3"/>
    <w:rsid w:val="00BF3A50"/>
    <w:rsid w:val="00BF4806"/>
    <w:rsid w:val="00BF63CF"/>
    <w:rsid w:val="00BF725F"/>
    <w:rsid w:val="00BF75BE"/>
    <w:rsid w:val="00C013D5"/>
    <w:rsid w:val="00C103F4"/>
    <w:rsid w:val="00C1598D"/>
    <w:rsid w:val="00C21DF9"/>
    <w:rsid w:val="00C313FD"/>
    <w:rsid w:val="00C32440"/>
    <w:rsid w:val="00C331F0"/>
    <w:rsid w:val="00C35730"/>
    <w:rsid w:val="00C36C64"/>
    <w:rsid w:val="00C377CA"/>
    <w:rsid w:val="00C406F4"/>
    <w:rsid w:val="00C40D8F"/>
    <w:rsid w:val="00C44D4F"/>
    <w:rsid w:val="00C52699"/>
    <w:rsid w:val="00C63CCF"/>
    <w:rsid w:val="00C7037D"/>
    <w:rsid w:val="00C72B41"/>
    <w:rsid w:val="00C748FC"/>
    <w:rsid w:val="00C77E7F"/>
    <w:rsid w:val="00C8198E"/>
    <w:rsid w:val="00C87D80"/>
    <w:rsid w:val="00C90679"/>
    <w:rsid w:val="00C923A3"/>
    <w:rsid w:val="00C959B7"/>
    <w:rsid w:val="00CA1569"/>
    <w:rsid w:val="00CA1E39"/>
    <w:rsid w:val="00CA5AD7"/>
    <w:rsid w:val="00CB085B"/>
    <w:rsid w:val="00CB59A6"/>
    <w:rsid w:val="00CC3F7D"/>
    <w:rsid w:val="00CC561D"/>
    <w:rsid w:val="00CC5D86"/>
    <w:rsid w:val="00CD05E5"/>
    <w:rsid w:val="00CD5D4A"/>
    <w:rsid w:val="00CD62F4"/>
    <w:rsid w:val="00CE3A20"/>
    <w:rsid w:val="00CE6AD3"/>
    <w:rsid w:val="00CF1FDA"/>
    <w:rsid w:val="00CF29E4"/>
    <w:rsid w:val="00CF50D2"/>
    <w:rsid w:val="00D0113D"/>
    <w:rsid w:val="00D0498F"/>
    <w:rsid w:val="00D0526D"/>
    <w:rsid w:val="00D06006"/>
    <w:rsid w:val="00D06773"/>
    <w:rsid w:val="00D222ED"/>
    <w:rsid w:val="00D2272F"/>
    <w:rsid w:val="00D2336C"/>
    <w:rsid w:val="00D2674B"/>
    <w:rsid w:val="00D303CD"/>
    <w:rsid w:val="00D33130"/>
    <w:rsid w:val="00D378D0"/>
    <w:rsid w:val="00D45015"/>
    <w:rsid w:val="00D525B2"/>
    <w:rsid w:val="00D565FA"/>
    <w:rsid w:val="00D56772"/>
    <w:rsid w:val="00D75764"/>
    <w:rsid w:val="00D77C40"/>
    <w:rsid w:val="00D80C2F"/>
    <w:rsid w:val="00D909CC"/>
    <w:rsid w:val="00D910A0"/>
    <w:rsid w:val="00D9162E"/>
    <w:rsid w:val="00D9172D"/>
    <w:rsid w:val="00D93531"/>
    <w:rsid w:val="00D9398F"/>
    <w:rsid w:val="00D962B8"/>
    <w:rsid w:val="00DA2613"/>
    <w:rsid w:val="00DA2D3E"/>
    <w:rsid w:val="00DA421B"/>
    <w:rsid w:val="00DA702C"/>
    <w:rsid w:val="00DA7977"/>
    <w:rsid w:val="00DD0467"/>
    <w:rsid w:val="00DD0588"/>
    <w:rsid w:val="00DE648C"/>
    <w:rsid w:val="00DE7C14"/>
    <w:rsid w:val="00DF486A"/>
    <w:rsid w:val="00DF5786"/>
    <w:rsid w:val="00DF67DD"/>
    <w:rsid w:val="00E009F5"/>
    <w:rsid w:val="00E07369"/>
    <w:rsid w:val="00E073F6"/>
    <w:rsid w:val="00E13484"/>
    <w:rsid w:val="00E14A0F"/>
    <w:rsid w:val="00E20E4E"/>
    <w:rsid w:val="00E211E1"/>
    <w:rsid w:val="00E21FE7"/>
    <w:rsid w:val="00E2544C"/>
    <w:rsid w:val="00E2698A"/>
    <w:rsid w:val="00E35923"/>
    <w:rsid w:val="00E40CB8"/>
    <w:rsid w:val="00E40E7C"/>
    <w:rsid w:val="00E41791"/>
    <w:rsid w:val="00E44F97"/>
    <w:rsid w:val="00E46CFA"/>
    <w:rsid w:val="00E52970"/>
    <w:rsid w:val="00E5408B"/>
    <w:rsid w:val="00E54B94"/>
    <w:rsid w:val="00E55521"/>
    <w:rsid w:val="00E61615"/>
    <w:rsid w:val="00E7141E"/>
    <w:rsid w:val="00E727D2"/>
    <w:rsid w:val="00E76D68"/>
    <w:rsid w:val="00E94484"/>
    <w:rsid w:val="00E962F0"/>
    <w:rsid w:val="00EB762F"/>
    <w:rsid w:val="00EC5A29"/>
    <w:rsid w:val="00EC5EEF"/>
    <w:rsid w:val="00ED5A55"/>
    <w:rsid w:val="00ED7836"/>
    <w:rsid w:val="00EE0C44"/>
    <w:rsid w:val="00EE47C4"/>
    <w:rsid w:val="00EE7243"/>
    <w:rsid w:val="00EF093E"/>
    <w:rsid w:val="00EF399F"/>
    <w:rsid w:val="00EF4DA1"/>
    <w:rsid w:val="00EF5F24"/>
    <w:rsid w:val="00F013C7"/>
    <w:rsid w:val="00F052B0"/>
    <w:rsid w:val="00F11661"/>
    <w:rsid w:val="00F155C5"/>
    <w:rsid w:val="00F15804"/>
    <w:rsid w:val="00F258D5"/>
    <w:rsid w:val="00F3378F"/>
    <w:rsid w:val="00F35976"/>
    <w:rsid w:val="00F361B0"/>
    <w:rsid w:val="00F36CA3"/>
    <w:rsid w:val="00F372D5"/>
    <w:rsid w:val="00F50CDE"/>
    <w:rsid w:val="00F576D3"/>
    <w:rsid w:val="00F65929"/>
    <w:rsid w:val="00F65ABC"/>
    <w:rsid w:val="00F66480"/>
    <w:rsid w:val="00F67C1C"/>
    <w:rsid w:val="00F71ACC"/>
    <w:rsid w:val="00F72C61"/>
    <w:rsid w:val="00F74842"/>
    <w:rsid w:val="00F7559F"/>
    <w:rsid w:val="00F84B26"/>
    <w:rsid w:val="00F85B92"/>
    <w:rsid w:val="00F94E67"/>
    <w:rsid w:val="00F95054"/>
    <w:rsid w:val="00F95CA0"/>
    <w:rsid w:val="00FA4B3F"/>
    <w:rsid w:val="00FB0C49"/>
    <w:rsid w:val="00FB18A9"/>
    <w:rsid w:val="00FB2BFC"/>
    <w:rsid w:val="00FB66EB"/>
    <w:rsid w:val="00FC0FA2"/>
    <w:rsid w:val="00FC5F1F"/>
    <w:rsid w:val="00FC638C"/>
    <w:rsid w:val="00FC7A68"/>
    <w:rsid w:val="00FD0068"/>
    <w:rsid w:val="00FD0349"/>
    <w:rsid w:val="00FD5734"/>
    <w:rsid w:val="00FD5DE9"/>
    <w:rsid w:val="00FD76C7"/>
    <w:rsid w:val="00FE0A0C"/>
    <w:rsid w:val="00FE157B"/>
    <w:rsid w:val="00FE404C"/>
    <w:rsid w:val="00FE4DAF"/>
    <w:rsid w:val="00FE70C3"/>
    <w:rsid w:val="00FF1A13"/>
    <w:rsid w:val="00FF1B73"/>
    <w:rsid w:val="00FF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035ACC"/>
  <w15:chartTrackingRefBased/>
  <w15:docId w15:val="{0E39AB7D-D9E9-49C0-BC97-C03A084E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DC0"/>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uiPriority w:val="39"/>
    <w:pPr>
      <w:tabs>
        <w:tab w:val="clear" w:pos="720"/>
        <w:tab w:val="clear" w:pos="5760"/>
        <w:tab w:val="right" w:pos="9360"/>
      </w:tabs>
      <w:ind w:left="480"/>
    </w:pPr>
    <w:rPr>
      <w:sz w:val="20"/>
    </w:rPr>
  </w:style>
  <w:style w:type="paragraph" w:styleId="TOC2">
    <w:name w:val="toc 2"/>
    <w:basedOn w:val="Normal"/>
    <w:next w:val="Normal"/>
    <w:uiPriority w:val="39"/>
    <w:pPr>
      <w:tabs>
        <w:tab w:val="clear" w:pos="720"/>
        <w:tab w:val="clear" w:pos="5760"/>
        <w:tab w:val="right" w:pos="9360"/>
      </w:tabs>
      <w:spacing w:before="120"/>
      <w:ind w:left="240"/>
    </w:pPr>
    <w:rPr>
      <w:i/>
      <w:sz w:val="20"/>
    </w:rPr>
  </w:style>
  <w:style w:type="paragraph" w:styleId="TOC1">
    <w:name w:val="toc 1"/>
    <w:basedOn w:val="Normal"/>
    <w:next w:val="Normal"/>
    <w:uiPriority w:val="39"/>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ListParagraph">
    <w:name w:val="List Paragraph"/>
    <w:basedOn w:val="Normal"/>
    <w:uiPriority w:val="34"/>
    <w:qFormat/>
    <w:rsid w:val="00CF1FDA"/>
    <w:pPr>
      <w:ind w:left="720"/>
      <w:contextualSpacing/>
    </w:pPr>
  </w:style>
  <w:style w:type="paragraph" w:styleId="BalloonText">
    <w:name w:val="Balloon Text"/>
    <w:basedOn w:val="Normal"/>
    <w:link w:val="BalloonTextChar"/>
    <w:uiPriority w:val="99"/>
    <w:semiHidden/>
    <w:unhideWhenUsed/>
    <w:rsid w:val="00664B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B9B"/>
    <w:rPr>
      <w:rFonts w:ascii="Segoe UI" w:hAnsi="Segoe UI" w:cs="Segoe UI"/>
      <w:color w:val="000000"/>
      <w:sz w:val="18"/>
      <w:szCs w:val="18"/>
    </w:rPr>
  </w:style>
  <w:style w:type="paragraph" w:styleId="NormalWeb">
    <w:name w:val="Normal (Web)"/>
    <w:basedOn w:val="Normal"/>
    <w:uiPriority w:val="99"/>
    <w:unhideWhenUsed/>
    <w:rsid w:val="004C3855"/>
    <w:pPr>
      <w:tabs>
        <w:tab w:val="clear" w:pos="720"/>
        <w:tab w:val="clear" w:pos="5760"/>
      </w:tabs>
      <w:spacing w:before="100" w:beforeAutospacing="1" w:after="100" w:afterAutospacing="1"/>
      <w:ind w:right="0"/>
    </w:pPr>
    <w:rPr>
      <w:rFonts w:eastAsiaTheme="minorEastAsia"/>
      <w:color w:val="auto"/>
      <w:szCs w:val="24"/>
    </w:rPr>
  </w:style>
  <w:style w:type="table" w:styleId="TableGrid">
    <w:name w:val="Table Grid"/>
    <w:basedOn w:val="TableNormal"/>
    <w:uiPriority w:val="59"/>
    <w:rsid w:val="008D1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77CE7"/>
    <w:rPr>
      <w:sz w:val="16"/>
      <w:szCs w:val="16"/>
    </w:rPr>
  </w:style>
  <w:style w:type="paragraph" w:styleId="CommentText">
    <w:name w:val="annotation text"/>
    <w:basedOn w:val="Normal"/>
    <w:link w:val="CommentTextChar"/>
    <w:uiPriority w:val="99"/>
    <w:semiHidden/>
    <w:unhideWhenUsed/>
    <w:rsid w:val="00777CE7"/>
    <w:rPr>
      <w:sz w:val="20"/>
    </w:rPr>
  </w:style>
  <w:style w:type="character" w:customStyle="1" w:styleId="CommentTextChar">
    <w:name w:val="Comment Text Char"/>
    <w:basedOn w:val="DefaultParagraphFont"/>
    <w:link w:val="CommentText"/>
    <w:uiPriority w:val="99"/>
    <w:semiHidden/>
    <w:rsid w:val="00777CE7"/>
    <w:rPr>
      <w:rFonts w:ascii="Times New Roman" w:hAnsi="Times New Roman"/>
      <w:color w:val="000000"/>
    </w:rPr>
  </w:style>
  <w:style w:type="paragraph" w:styleId="CommentSubject">
    <w:name w:val="annotation subject"/>
    <w:basedOn w:val="CommentText"/>
    <w:next w:val="CommentText"/>
    <w:link w:val="CommentSubjectChar"/>
    <w:uiPriority w:val="99"/>
    <w:semiHidden/>
    <w:unhideWhenUsed/>
    <w:rsid w:val="00777CE7"/>
    <w:rPr>
      <w:b/>
      <w:bCs/>
    </w:rPr>
  </w:style>
  <w:style w:type="character" w:customStyle="1" w:styleId="CommentSubjectChar">
    <w:name w:val="Comment Subject Char"/>
    <w:basedOn w:val="CommentTextChar"/>
    <w:link w:val="CommentSubject"/>
    <w:uiPriority w:val="99"/>
    <w:semiHidden/>
    <w:rsid w:val="00777CE7"/>
    <w:rPr>
      <w:rFonts w:ascii="Times New Roman" w:hAnsi="Times New Roman"/>
      <w:b/>
      <w:bCs/>
      <w:color w:val="000000"/>
    </w:rPr>
  </w:style>
  <w:style w:type="character" w:styleId="Hyperlink">
    <w:name w:val="Hyperlink"/>
    <w:basedOn w:val="DefaultParagraphFont"/>
    <w:uiPriority w:val="99"/>
    <w:unhideWhenUsed/>
    <w:rsid w:val="00364488"/>
    <w:rPr>
      <w:color w:val="0000FF"/>
      <w:u w:val="single"/>
    </w:rPr>
  </w:style>
  <w:style w:type="character" w:customStyle="1" w:styleId="UnresolvedMention1">
    <w:name w:val="Unresolved Mention1"/>
    <w:basedOn w:val="DefaultParagraphFont"/>
    <w:uiPriority w:val="99"/>
    <w:semiHidden/>
    <w:unhideWhenUsed/>
    <w:rsid w:val="00364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5944">
      <w:bodyDiv w:val="1"/>
      <w:marLeft w:val="0"/>
      <w:marRight w:val="0"/>
      <w:marTop w:val="0"/>
      <w:marBottom w:val="0"/>
      <w:divBdr>
        <w:top w:val="none" w:sz="0" w:space="0" w:color="auto"/>
        <w:left w:val="none" w:sz="0" w:space="0" w:color="auto"/>
        <w:bottom w:val="none" w:sz="0" w:space="0" w:color="auto"/>
        <w:right w:val="none" w:sz="0" w:space="0" w:color="auto"/>
      </w:divBdr>
    </w:div>
    <w:div w:id="72202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BE78B-8765-47CF-9FF9-3AA613DF0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dc:description/>
  <cp:lastModifiedBy>Kneifel, Joshua D. (Fed)</cp:lastModifiedBy>
  <cp:revision>7</cp:revision>
  <cp:lastPrinted>2019-08-20T19:20:00Z</cp:lastPrinted>
  <dcterms:created xsi:type="dcterms:W3CDTF">2022-05-18T18:01:00Z</dcterms:created>
  <dcterms:modified xsi:type="dcterms:W3CDTF">2022-05-18T18:11:00Z</dcterms:modified>
</cp:coreProperties>
</file>