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EERC Updates</w:t>
      </w:r>
    </w:p>
    <w:p w:rsidR="00000000" w:rsidDel="00000000" w:rsidP="00000000" w:rsidRDefault="00000000" w:rsidRPr="00000000" w14:paraId="00000002">
      <w:pPr>
        <w:rPr/>
      </w:pPr>
      <w:r w:rsidDel="00000000" w:rsidR="00000000" w:rsidRPr="00000000">
        <w:rPr>
          <w:rtl w:val="0"/>
        </w:rPr>
        <w:t xml:space="preserve">3/15/22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Modify EERC interface</w:t>
      </w:r>
    </w:p>
    <w:p w:rsidR="00000000" w:rsidDel="00000000" w:rsidP="00000000" w:rsidRDefault="00000000" w:rsidRPr="00000000" w14:paraId="00000005">
      <w:pPr>
        <w:numPr>
          <w:ilvl w:val="1"/>
          <w:numId w:val="8"/>
        </w:numPr>
        <w:ind w:left="1440" w:hanging="360"/>
        <w:rPr/>
      </w:pPr>
      <w:r w:rsidDel="00000000" w:rsidR="00000000" w:rsidRPr="00000000">
        <w:rPr>
          <w:highlight w:val="white"/>
          <w:rtl w:val="0"/>
        </w:rPr>
        <w:t xml:space="preserve">Retitle </w:t>
      </w:r>
      <w:r w:rsidDel="00000000" w:rsidR="00000000" w:rsidRPr="00000000">
        <w:rPr>
          <w:b w:val="1"/>
          <w:highlight w:val="white"/>
          <w:rtl w:val="0"/>
        </w:rPr>
        <w:t xml:space="preserve">Carbon Pricing Policy</w:t>
      </w:r>
      <w:r w:rsidDel="00000000" w:rsidR="00000000" w:rsidRPr="00000000">
        <w:rPr>
          <w:highlight w:val="white"/>
          <w:rtl w:val="0"/>
        </w:rPr>
        <w:t xml:space="preserve"> as </w:t>
      </w:r>
      <w:r w:rsidDel="00000000" w:rsidR="00000000" w:rsidRPr="00000000">
        <w:rPr>
          <w:b w:val="1"/>
          <w:highlight w:val="white"/>
          <w:rtl w:val="0"/>
        </w:rPr>
        <w:t xml:space="preserve">Social Cost of GHG Assumptions</w:t>
      </w:r>
    </w:p>
    <w:p w:rsidR="00000000" w:rsidDel="00000000" w:rsidP="00000000" w:rsidRDefault="00000000" w:rsidRPr="00000000" w14:paraId="00000006">
      <w:pPr>
        <w:numPr>
          <w:ilvl w:val="1"/>
          <w:numId w:val="8"/>
        </w:numPr>
        <w:ind w:left="1440" w:hanging="360"/>
        <w:rPr>
          <w:highlight w:val="white"/>
        </w:rPr>
      </w:pPr>
      <w:r w:rsidDel="00000000" w:rsidR="00000000" w:rsidRPr="00000000">
        <w:rPr>
          <w:highlight w:val="white"/>
          <w:rtl w:val="0"/>
        </w:rPr>
        <w:t xml:space="preserve">Retitle </w:t>
      </w:r>
      <w:r w:rsidDel="00000000" w:rsidR="00000000" w:rsidRPr="00000000">
        <w:rPr>
          <w:b w:val="1"/>
          <w:highlight w:val="white"/>
          <w:rtl w:val="0"/>
        </w:rPr>
        <w:t xml:space="preserve">Carbon Price </w:t>
      </w:r>
      <w:r w:rsidDel="00000000" w:rsidR="00000000" w:rsidRPr="00000000">
        <w:rPr>
          <w:highlight w:val="white"/>
          <w:rtl w:val="0"/>
        </w:rPr>
        <w:t xml:space="preserve">as </w:t>
      </w:r>
      <w:r w:rsidDel="00000000" w:rsidR="00000000" w:rsidRPr="00000000">
        <w:rPr>
          <w:b w:val="1"/>
          <w:highlight w:val="white"/>
          <w:rtl w:val="0"/>
        </w:rPr>
        <w:t xml:space="preserve">SCC</w:t>
      </w:r>
    </w:p>
    <w:p w:rsidR="00000000" w:rsidDel="00000000" w:rsidP="00000000" w:rsidRDefault="00000000" w:rsidRPr="00000000" w14:paraId="00000007">
      <w:pPr>
        <w:numPr>
          <w:ilvl w:val="1"/>
          <w:numId w:val="8"/>
        </w:numPr>
        <w:ind w:left="1440" w:hanging="360"/>
        <w:rPr>
          <w:highlight w:val="white"/>
        </w:rPr>
      </w:pPr>
      <w:r w:rsidDel="00000000" w:rsidR="00000000" w:rsidRPr="00000000">
        <w:rPr>
          <w:highlight w:val="white"/>
          <w:rtl w:val="0"/>
        </w:rPr>
        <w:t xml:space="preserve">Retitle </w:t>
      </w:r>
      <w:r w:rsidDel="00000000" w:rsidR="00000000" w:rsidRPr="00000000">
        <w:rPr>
          <w:b w:val="1"/>
          <w:highlight w:val="white"/>
          <w:rtl w:val="0"/>
        </w:rPr>
        <w:t xml:space="preserve">Select policy</w:t>
      </w:r>
      <w:r w:rsidDel="00000000" w:rsidR="00000000" w:rsidRPr="00000000">
        <w:rPr>
          <w:highlight w:val="white"/>
          <w:rtl w:val="0"/>
        </w:rPr>
        <w:t xml:space="preserve"> with </w:t>
      </w:r>
      <w:r w:rsidDel="00000000" w:rsidR="00000000" w:rsidRPr="00000000">
        <w:rPr>
          <w:b w:val="1"/>
          <w:highlight w:val="white"/>
          <w:rtl w:val="0"/>
        </w:rPr>
        <w:t xml:space="preserve">Select SCC Projection</w:t>
      </w:r>
    </w:p>
    <w:p w:rsidR="00000000" w:rsidDel="00000000" w:rsidP="00000000" w:rsidRDefault="00000000" w:rsidRPr="00000000" w14:paraId="00000008">
      <w:pPr>
        <w:numPr>
          <w:ilvl w:val="1"/>
          <w:numId w:val="8"/>
        </w:numPr>
        <w:ind w:left="1440" w:hanging="360"/>
        <w:rPr>
          <w:u w:val="none"/>
        </w:rPr>
      </w:pPr>
      <w:r w:rsidDel="00000000" w:rsidR="00000000" w:rsidRPr="00000000">
        <w:rPr>
          <w:rtl w:val="0"/>
        </w:rPr>
        <w:t xml:space="preserve">Modify the dropdown choices in the UI for Carbon Pricing Policy</w:t>
      </w:r>
    </w:p>
    <w:p w:rsidR="00000000" w:rsidDel="00000000" w:rsidP="00000000" w:rsidRDefault="00000000" w:rsidRPr="00000000" w14:paraId="00000009">
      <w:pPr>
        <w:numPr>
          <w:ilvl w:val="2"/>
          <w:numId w:val="8"/>
        </w:numPr>
        <w:ind w:left="2160" w:hanging="360"/>
        <w:rPr>
          <w:u w:val="none"/>
        </w:rPr>
      </w:pPr>
      <w:r w:rsidDel="00000000" w:rsidR="00000000" w:rsidRPr="00000000">
        <w:rPr>
          <w:rtl w:val="0"/>
        </w:rPr>
        <w:t xml:space="preserve">Replace </w:t>
      </w:r>
      <w:r w:rsidDel="00000000" w:rsidR="00000000" w:rsidRPr="00000000">
        <w:rPr>
          <w:b w:val="1"/>
          <w:highlight w:val="white"/>
          <w:rtl w:val="0"/>
        </w:rPr>
        <w:t xml:space="preserve">Default</w:t>
      </w:r>
      <w:r w:rsidDel="00000000" w:rsidR="00000000" w:rsidRPr="00000000">
        <w:rPr>
          <w:highlight w:val="white"/>
          <w:rtl w:val="0"/>
        </w:rPr>
        <w:t xml:space="preserve"> with </w:t>
      </w:r>
      <w:r w:rsidDel="00000000" w:rsidR="00000000" w:rsidRPr="00000000">
        <w:rPr>
          <w:b w:val="1"/>
          <w:highlight w:val="white"/>
          <w:rtl w:val="0"/>
        </w:rPr>
        <w:t xml:space="preserve">SCC 3% DR (Average</w:t>
      </w:r>
      <w:r w:rsidDel="00000000" w:rsidR="00000000" w:rsidRPr="00000000">
        <w:rPr>
          <w:highlight w:val="white"/>
          <w:rtl w:val="0"/>
        </w:rPr>
        <w:t xml:space="preserve">)</w:t>
      </w:r>
    </w:p>
    <w:p w:rsidR="00000000" w:rsidDel="00000000" w:rsidP="00000000" w:rsidRDefault="00000000" w:rsidRPr="00000000" w14:paraId="0000000A">
      <w:pPr>
        <w:numPr>
          <w:ilvl w:val="2"/>
          <w:numId w:val="8"/>
        </w:numPr>
        <w:ind w:left="2160" w:hanging="360"/>
        <w:rPr>
          <w:u w:val="none"/>
        </w:rPr>
      </w:pPr>
      <w:r w:rsidDel="00000000" w:rsidR="00000000" w:rsidRPr="00000000">
        <w:rPr>
          <w:highlight w:val="white"/>
          <w:rtl w:val="0"/>
        </w:rPr>
        <w:t xml:space="preserve">Replace </w:t>
      </w:r>
      <w:r w:rsidDel="00000000" w:rsidR="00000000" w:rsidRPr="00000000">
        <w:rPr>
          <w:b w:val="1"/>
          <w:highlight w:val="white"/>
          <w:rtl w:val="0"/>
        </w:rPr>
        <w:t xml:space="preserve">Low</w:t>
      </w:r>
      <w:r w:rsidDel="00000000" w:rsidR="00000000" w:rsidRPr="00000000">
        <w:rPr>
          <w:highlight w:val="white"/>
          <w:rtl w:val="0"/>
        </w:rPr>
        <w:t xml:space="preserve"> with </w:t>
      </w:r>
      <w:r w:rsidDel="00000000" w:rsidR="00000000" w:rsidRPr="00000000">
        <w:rPr>
          <w:b w:val="1"/>
          <w:highlight w:val="white"/>
          <w:rtl w:val="0"/>
        </w:rPr>
        <w:t xml:space="preserve">SCC 5% DR (Average)</w:t>
      </w:r>
    </w:p>
    <w:p w:rsidR="00000000" w:rsidDel="00000000" w:rsidP="00000000" w:rsidRDefault="00000000" w:rsidRPr="00000000" w14:paraId="0000000B">
      <w:pPr>
        <w:numPr>
          <w:ilvl w:val="2"/>
          <w:numId w:val="8"/>
        </w:numPr>
        <w:ind w:left="2160" w:hanging="360"/>
        <w:rPr>
          <w:u w:val="none"/>
        </w:rPr>
      </w:pPr>
      <w:r w:rsidDel="00000000" w:rsidR="00000000" w:rsidRPr="00000000">
        <w:rPr>
          <w:highlight w:val="white"/>
          <w:rtl w:val="0"/>
        </w:rPr>
        <w:t xml:space="preserve">Replace </w:t>
      </w:r>
      <w:r w:rsidDel="00000000" w:rsidR="00000000" w:rsidRPr="00000000">
        <w:rPr>
          <w:b w:val="1"/>
          <w:highlight w:val="white"/>
          <w:rtl w:val="0"/>
        </w:rPr>
        <w:t xml:space="preserve">High</w:t>
      </w:r>
      <w:r w:rsidDel="00000000" w:rsidR="00000000" w:rsidRPr="00000000">
        <w:rPr>
          <w:highlight w:val="white"/>
          <w:rtl w:val="0"/>
        </w:rPr>
        <w:t xml:space="preserve"> with </w:t>
      </w:r>
      <w:r w:rsidDel="00000000" w:rsidR="00000000" w:rsidRPr="00000000">
        <w:rPr>
          <w:b w:val="1"/>
          <w:highlight w:val="white"/>
          <w:rtl w:val="0"/>
        </w:rPr>
        <w:t xml:space="preserve">SCC 3% DR (95th percentile)</w:t>
      </w:r>
    </w:p>
    <w:p w:rsidR="00000000" w:rsidDel="00000000" w:rsidP="00000000" w:rsidRDefault="00000000" w:rsidRPr="00000000" w14:paraId="0000000C">
      <w:pPr>
        <w:numPr>
          <w:ilvl w:val="1"/>
          <w:numId w:val="8"/>
        </w:numPr>
        <w:ind w:left="1440" w:hanging="360"/>
        <w:rPr/>
      </w:pPr>
      <w:r w:rsidDel="00000000" w:rsidR="00000000" w:rsidRPr="00000000">
        <w:rPr>
          <w:highlight w:val="white"/>
          <w:rtl w:val="0"/>
        </w:rPr>
        <w:t xml:space="preserve">Change tool tips text to…</w:t>
      </w:r>
    </w:p>
    <w:p w:rsidR="00000000" w:rsidDel="00000000" w:rsidP="00000000" w:rsidRDefault="00000000" w:rsidRPr="00000000" w14:paraId="0000000D">
      <w:pPr>
        <w:ind w:left="0" w:firstLine="0"/>
        <w:rPr>
          <w:highlight w:val="whit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Determines the social cost of GHG emissions projection to use from in the Interagency Working Group on Social Cost of Greenhouse Gases Interim Estimates under Executive Order 13990. The scenarios are based on the assumed discount rate and projection percentile.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SCC 3% DR (Average) = average social cost of GHG assuming a 3 % real discount rate. Best match to DOE and OMB real discount rates.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SCC 5% DR (Average) = average social cost of GHG assuming a 5 % real discount rate</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SCC 3% DR (95th Percentile) = 95th Percentile social cost of GHG assuming a 3 % real discount rate</w:t>
      </w:r>
    </w:p>
    <w:p w:rsidR="00000000" w:rsidDel="00000000" w:rsidP="00000000" w:rsidRDefault="00000000" w:rsidRPr="00000000" w14:paraId="0000001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8"/>
        </w:numPr>
        <w:ind w:left="720" w:hanging="360"/>
        <w:rPr>
          <w:highlight w:val="white"/>
        </w:rPr>
      </w:pPr>
      <w:r w:rsidDel="00000000" w:rsidR="00000000" w:rsidRPr="00000000">
        <w:rPr>
          <w:highlight w:val="white"/>
          <w:rtl w:val="0"/>
        </w:rPr>
        <w:t xml:space="preserve">The </w:t>
      </w:r>
      <w:r w:rsidDel="00000000" w:rsidR="00000000" w:rsidRPr="00000000">
        <w:rPr>
          <w:highlight w:val="white"/>
          <w:rtl w:val="0"/>
        </w:rPr>
        <w:t xml:space="preserve">CO2ePrices in the data file EERC-CO2.txt will be defined by the new labels above so modify code as needed to accommodate this change.  </w:t>
      </w:r>
      <w:r w:rsidDel="00000000" w:rsidR="00000000" w:rsidRPr="00000000">
        <w:rPr>
          <w:rtl w:val="0"/>
        </w:rPr>
      </w:r>
    </w:p>
    <w:p w:rsidR="00000000" w:rsidDel="00000000" w:rsidP="00000000" w:rsidRDefault="00000000" w:rsidRPr="00000000" w14:paraId="00000014">
      <w:pPr>
        <w:numPr>
          <w:ilvl w:val="0"/>
          <w:numId w:val="8"/>
        </w:numPr>
        <w:ind w:left="720" w:hanging="360"/>
        <w:rPr>
          <w:highlight w:val="white"/>
        </w:rPr>
      </w:pPr>
      <w:r w:rsidDel="00000000" w:rsidR="00000000" w:rsidRPr="00000000">
        <w:rPr>
          <w:highlight w:val="white"/>
          <w:rtl w:val="0"/>
        </w:rPr>
        <w:t xml:space="preserve">The data for CO2FutureEmission will be formatted differently going forward. The data will vary by state and year. Default, low and high will no longer be used.  Use the state user input and year to look up CO2 Future Emission Price. Just changing the data lookup, the calculations will stay the same. The EERC-CO2 Changes.txt file in google drive includes an example of the new format of CO2FutureEmission. The data has $ before each value which should probably not be included in the actual data file.</w:t>
      </w:r>
    </w:p>
    <w:p w:rsidR="00000000" w:rsidDel="00000000" w:rsidP="00000000" w:rsidRDefault="00000000" w:rsidRPr="00000000" w14:paraId="00000015">
      <w:pPr>
        <w:numPr>
          <w:ilvl w:val="0"/>
          <w:numId w:val="8"/>
        </w:numPr>
        <w:ind w:left="720" w:hanging="360"/>
        <w:rPr>
          <w:highlight w:val="white"/>
          <w:u w:val="none"/>
        </w:rPr>
      </w:pPr>
      <w:r w:rsidDel="00000000" w:rsidR="00000000" w:rsidRPr="00000000">
        <w:rPr>
          <w:highlight w:val="white"/>
          <w:rtl w:val="0"/>
        </w:rPr>
        <w:t xml:space="preserve">Update HTML/PDF Text to…</w:t>
      </w:r>
    </w:p>
    <w:p w:rsidR="00000000" w:rsidDel="00000000" w:rsidP="00000000" w:rsidRDefault="00000000" w:rsidRPr="00000000" w14:paraId="00000016">
      <w:pPr>
        <w:pStyle w:val="Heading1"/>
        <w:keepNext w:val="0"/>
        <w:keepLines w:val="0"/>
        <w:spacing w:before="480" w:lineRule="auto"/>
        <w:rPr>
          <w:rFonts w:ascii="Times New Roman" w:cs="Times New Roman" w:eastAsia="Times New Roman" w:hAnsi="Times New Roman"/>
          <w:b w:val="1"/>
          <w:sz w:val="24"/>
          <w:szCs w:val="24"/>
          <w:highlight w:val="white"/>
        </w:rPr>
      </w:pPr>
      <w:bookmarkStart w:colFirst="0" w:colLast="0" w:name="_3nx2uka4e20g" w:id="0"/>
      <w:bookmarkEnd w:id="0"/>
      <w:r w:rsidDel="00000000" w:rsidR="00000000" w:rsidRPr="00000000">
        <w:rPr>
          <w:rFonts w:ascii="Times New Roman" w:cs="Times New Roman" w:eastAsia="Times New Roman" w:hAnsi="Times New Roman"/>
          <w:b w:val="1"/>
          <w:sz w:val="24"/>
          <w:szCs w:val="24"/>
          <w:highlight w:val="white"/>
          <w:rtl w:val="0"/>
        </w:rPr>
        <w:t xml:space="preserve">Summary</w:t>
      </w:r>
    </w:p>
    <w:p w:rsidR="00000000" w:rsidDel="00000000" w:rsidP="00000000" w:rsidRDefault="00000000" w:rsidRPr="00000000" w14:paraId="00000017">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EERC computes an average rate of escalation for a specified time period, which can be used as an escalation rate for contract payments in ESPCs and UESCs. While the underlying energy price projections vary from year to year, for calculating contract payments the EERC-calculated uniform average rate is preferable. The rate is stated in real (excluding inflation) and nominal (including inflation) terms and weighted by the share of each of the energy types used in the project. When applied to the base-year energy costs or savings of ESPC or UESC projects, it results in approximately the same total amounts over the performance period as do the underlying energy price projections.</w:t>
      </w:r>
    </w:p>
    <w:p w:rsidR="00000000" w:rsidDel="00000000" w:rsidP="00000000" w:rsidRDefault="00000000" w:rsidRPr="00000000" w14:paraId="00000018">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assist federal agencies in considering a range of energy price scenarios, escalation rates may be computed based on: (1) the annual energy price forecasts of the EIA, which do not account for potential climate change externality costs (i.e., social cost of carbon), and (2) EIA projections adjusted by NIST for three levels of social cost of greenhouse gas (GHG) emissions projections. This range of rates may be considered by federal agencies for use as energy price escalation rates for contract payments, when the payments are based on projected annual energy cost savings. The EIA projections adjusted by NIST for the social cost of GHG are based on estimates provided in the Interagency Working Group on Social Cost of Greenhouse Gases Interim Estimates under Executive Order 13990. </w:t>
      </w:r>
    </w:p>
    <w:p w:rsidR="00000000" w:rsidDel="00000000" w:rsidP="00000000" w:rsidRDefault="00000000" w:rsidRPr="00000000" w14:paraId="00000019">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A">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prior (executeable) user interface is shown below. The user provides the fuel type, fuel rate, study period, carbon pricing scenario, and inflation rate. Default values are provided for carbon pricing scenario (no carbon price) and inflation rate (based on annual supplement value). The discount rate is fixed based on the Annual Supplement. The output is a real escalation rate and nominal escalation rate values.</w:t>
      </w:r>
    </w:p>
    <w:p w:rsidR="00000000" w:rsidDel="00000000" w:rsidP="00000000" w:rsidRDefault="00000000" w:rsidRPr="00000000" w14:paraId="0000001B">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930400" cy="3530600"/>
            <wp:effectExtent b="0" l="0" r="0" t="0"/>
            <wp:docPr descr="EERC" id="1" name="image4.png"/>
            <a:graphic>
              <a:graphicData uri="http://schemas.openxmlformats.org/drawingml/2006/picture">
                <pic:pic>
                  <pic:nvPicPr>
                    <pic:cNvPr descr="EERC" id="0" name="image4.png"/>
                    <pic:cNvPicPr preferRelativeResize="0"/>
                  </pic:nvPicPr>
                  <pic:blipFill>
                    <a:blip r:embed="rId6"/>
                    <a:srcRect b="0" l="0" r="0" t="0"/>
                    <a:stretch>
                      <a:fillRect/>
                    </a:stretch>
                  </pic:blipFill>
                  <pic:spPr>
                    <a:xfrm>
                      <a:off x="0" y="0"/>
                      <a:ext cx="1930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D">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is the flow diagram for the EERC workflow including the required data.</w:t>
      </w:r>
    </w:p>
    <w:p w:rsidR="00000000" w:rsidDel="00000000" w:rsidP="00000000" w:rsidRDefault="00000000" w:rsidRPr="00000000" w14:paraId="0000001E">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15000" cy="4127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50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20">
      <w:pPr>
        <w:pStyle w:val="Heading2"/>
        <w:keepNext w:val="0"/>
        <w:keepLines w:val="0"/>
        <w:spacing w:after="0" w:before="120" w:lineRule="auto"/>
        <w:ind w:left="180" w:firstLine="0"/>
        <w:rPr>
          <w:rFonts w:ascii="Times New Roman" w:cs="Times New Roman" w:eastAsia="Times New Roman" w:hAnsi="Times New Roman"/>
          <w:b w:val="1"/>
          <w:sz w:val="24"/>
          <w:szCs w:val="24"/>
          <w:highlight w:val="white"/>
          <w:u w:val="single"/>
        </w:rPr>
      </w:pPr>
      <w:bookmarkStart w:colFirst="0" w:colLast="0" w:name="_3yb0qr45ayfh" w:id="1"/>
      <w:bookmarkEnd w:id="1"/>
      <w:r w:rsidDel="00000000" w:rsidR="00000000" w:rsidRPr="00000000">
        <w:rPr>
          <w:rFonts w:ascii="Times New Roman" w:cs="Times New Roman" w:eastAsia="Times New Roman" w:hAnsi="Times New Roman"/>
          <w:b w:val="1"/>
          <w:sz w:val="24"/>
          <w:szCs w:val="24"/>
          <w:highlight w:val="white"/>
          <w:u w:val="single"/>
          <w:rtl w:val="0"/>
        </w:rPr>
        <w:t xml:space="preserve">3.1 Inputs and Outputs</w:t>
      </w:r>
    </w:p>
    <w:p w:rsidR="00000000" w:rsidDel="00000000" w:rsidP="00000000" w:rsidRDefault="00000000" w:rsidRPr="00000000" w14:paraId="00000021">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22">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EERC prompts the user for information on the share of cost savings attributable to each fuel type, project location, industry sector, and the beginning date and duration of the performance period. It also prompts the user to select one of several social cost of GHG projections, and then retrieves the relevant energy price forecasts and computes the average escalation rate, as described above. Since the performance period start date could begin later than the base date, the calculated average rate includes the price escalation for the intervening year(s).</w:t>
      </w:r>
    </w:p>
    <w:p w:rsidR="00000000" w:rsidDel="00000000" w:rsidP="00000000" w:rsidRDefault="00000000" w:rsidRPr="00000000" w14:paraId="00000023">
      <w:pPr>
        <w:ind w:right="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calculated average escalation rate is reported in both real (excluding inflation) and nominal (including inflation) terms. The energy price projections for all scenarios exclude inflation and thus generate real rates. The default inflation rate used in the EERC is the long-term inflation rate calculated annually by DOE/FEMP using 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w:t>
      </w:r>
    </w:p>
    <w:p w:rsidR="00000000" w:rsidDel="00000000" w:rsidP="00000000" w:rsidRDefault="00000000" w:rsidRPr="00000000" w14:paraId="00000025">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26">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Inputs</w:t>
      </w:r>
    </w:p>
    <w:p w:rsidR="00000000" w:rsidDel="00000000" w:rsidP="00000000" w:rsidRDefault="00000000" w:rsidRPr="00000000" w14:paraId="0000002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Percent of Energy Cost Savings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8">
      <w:pPr>
        <w:numPr>
          <w:ilvl w:val="0"/>
          <w:numId w:val="7"/>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 of energy cost savings in dollars that is attributable to one or more of the fuel types used in the project. This input is used to weight the escalation rate.</w:t>
      </w:r>
    </w:p>
    <w:p w:rsidR="00000000" w:rsidDel="00000000" w:rsidP="00000000" w:rsidRDefault="00000000" w:rsidRPr="00000000" w14:paraId="00000029">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Default values are zeros</w:t>
      </w:r>
    </w:p>
    <w:p w:rsidR="00000000" w:rsidDel="00000000" w:rsidP="00000000" w:rsidRDefault="00000000" w:rsidRPr="00000000" w14:paraId="0000002A">
      <w:pPr>
        <w:numPr>
          <w:ilvl w:val="0"/>
          <w:numId w:val="7"/>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Inputted values must sum to 100%</w:t>
      </w:r>
    </w:p>
    <w:p w:rsidR="00000000" w:rsidDel="00000000" w:rsidP="00000000" w:rsidRDefault="00000000" w:rsidRPr="00000000" w14:paraId="0000002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Fuel Rate Information:</w:t>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Location</w:t>
      </w:r>
      <w:r w:rsidDel="00000000" w:rsidR="00000000" w:rsidRPr="00000000">
        <w:rPr>
          <w:rFonts w:ascii="Times New Roman" w:cs="Times New Roman" w:eastAsia="Times New Roman" w:hAnsi="Times New Roman"/>
          <w:sz w:val="24"/>
          <w:szCs w:val="24"/>
          <w:highlight w:val="white"/>
          <w:rtl w:val="0"/>
        </w:rPr>
        <w:t xml:space="preserve">: Selection of the state in which the project is located allows the program to select the energy price escalation rates for the corresponding Census Region.</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Sector</w:t>
      </w:r>
      <w:r w:rsidDel="00000000" w:rsidR="00000000" w:rsidRPr="00000000">
        <w:rPr>
          <w:rFonts w:ascii="Times New Roman" w:cs="Times New Roman" w:eastAsia="Times New Roman" w:hAnsi="Times New Roman"/>
          <w:sz w:val="24"/>
          <w:szCs w:val="24"/>
          <w:highlight w:val="white"/>
          <w:rtl w:val="0"/>
        </w:rPr>
        <w:t xml:space="preserve">: Selection of commercial or industrial sector determines the type of utility rate schedule applied to the energy cost calculation.</w:t>
      </w:r>
    </w:p>
    <w:p w:rsidR="00000000" w:rsidDel="00000000" w:rsidP="00000000" w:rsidRDefault="00000000" w:rsidRPr="00000000" w14:paraId="0000002E">
      <w:pPr>
        <w:numPr>
          <w:ilvl w:val="0"/>
          <w:numId w:val="1"/>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User must make a selection of both inputs</w:t>
      </w:r>
    </w:p>
    <w:p w:rsidR="00000000" w:rsidDel="00000000" w:rsidP="00000000" w:rsidRDefault="00000000" w:rsidRPr="00000000" w14:paraId="0000002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Performance Period:</w:t>
      </w:r>
    </w:p>
    <w:p w:rsidR="00000000" w:rsidDel="00000000" w:rsidP="00000000" w:rsidRDefault="00000000" w:rsidRPr="00000000" w14:paraId="00000030">
      <w:pPr>
        <w:numPr>
          <w:ilvl w:val="0"/>
          <w:numId w:val="2"/>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Start Date</w:t>
      </w:r>
      <w:r w:rsidDel="00000000" w:rsidR="00000000" w:rsidRPr="00000000">
        <w:rPr>
          <w:rFonts w:ascii="Times New Roman" w:cs="Times New Roman" w:eastAsia="Times New Roman" w:hAnsi="Times New Roman"/>
          <w:sz w:val="24"/>
          <w:szCs w:val="24"/>
          <w:highlight w:val="white"/>
          <w:rtl w:val="0"/>
        </w:rPr>
        <w:t xml:space="preserve">: Date when energy savings start to accrue, which is usually after project acceptance at the beginning of performance period.</w:t>
      </w:r>
    </w:p>
    <w:p w:rsidR="00000000" w:rsidDel="00000000" w:rsidP="00000000" w:rsidRDefault="00000000" w:rsidRPr="00000000" w14:paraId="00000031">
      <w:pPr>
        <w:ind w:left="1440" w:firstLine="0"/>
        <w:rPr>
          <w:rFonts w:ascii="Times New Roman" w:cs="Times New Roman" w:eastAsia="Times New Roman" w:hAnsi="Times New Roman"/>
          <w:i w:val="1"/>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User must select a start date year</w:t>
      </w:r>
    </w:p>
    <w:p w:rsidR="00000000" w:rsidDel="00000000" w:rsidP="00000000" w:rsidRDefault="00000000" w:rsidRPr="00000000" w14:paraId="00000032">
      <w:pPr>
        <w:ind w:left="1440" w:firstLine="0"/>
        <w:rPr>
          <w:rFonts w:ascii="Times New Roman" w:cs="Times New Roman" w:eastAsia="Times New Roman" w:hAnsi="Times New Roman"/>
          <w:i w:val="1"/>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Options are limited to the next 3 years</w:t>
      </w:r>
    </w:p>
    <w:p w:rsidR="00000000" w:rsidDel="00000000" w:rsidP="00000000" w:rsidRDefault="00000000" w:rsidRPr="00000000" w14:paraId="00000033">
      <w:pPr>
        <w:numPr>
          <w:ilvl w:val="0"/>
          <w:numId w:val="3"/>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Duration</w:t>
      </w:r>
      <w:r w:rsidDel="00000000" w:rsidR="00000000" w:rsidRPr="00000000">
        <w:rPr>
          <w:rFonts w:ascii="Times New Roman" w:cs="Times New Roman" w:eastAsia="Times New Roman" w:hAnsi="Times New Roman"/>
          <w:sz w:val="24"/>
          <w:szCs w:val="24"/>
          <w:highlight w:val="white"/>
          <w:rtl w:val="0"/>
        </w:rPr>
        <w:t xml:space="preserve">: Number of years of the performance period for which the average escalation rate will be calculated.</w:t>
      </w:r>
    </w:p>
    <w:p w:rsidR="00000000" w:rsidDel="00000000" w:rsidP="00000000" w:rsidRDefault="00000000" w:rsidRPr="00000000" w14:paraId="00000034">
      <w:pPr>
        <w:ind w:left="1440" w:firstLine="0"/>
        <w:rPr>
          <w:rFonts w:ascii="Times New Roman" w:cs="Times New Roman" w:eastAsia="Times New Roman" w:hAnsi="Times New Roman"/>
          <w:i w:val="1"/>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User must make a selection for the duration</w:t>
      </w:r>
    </w:p>
    <w:p w:rsidR="00000000" w:rsidDel="00000000" w:rsidP="00000000" w:rsidRDefault="00000000" w:rsidRPr="00000000" w14:paraId="00000035">
      <w:pPr>
        <w:ind w:left="1440" w:firstLine="0"/>
        <w:rPr>
          <w:rFonts w:ascii="Times New Roman" w:cs="Times New Roman" w:eastAsia="Times New Roman" w:hAnsi="Times New Roman"/>
          <w:i w:val="1"/>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The duration is limited between 10 years and 25 years</w:t>
      </w:r>
    </w:p>
    <w:p w:rsidR="00000000" w:rsidDel="00000000" w:rsidP="00000000" w:rsidRDefault="00000000" w:rsidRPr="00000000" w14:paraId="00000036">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Carbon Pricing Policy:</w:t>
      </w:r>
    </w:p>
    <w:p w:rsidR="00000000" w:rsidDel="00000000" w:rsidP="00000000" w:rsidRDefault="00000000" w:rsidRPr="00000000" w14:paraId="0000003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Selection of one of the following carbon pricing scenarios:</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Carbon cost of zero</w:t>
      </w:r>
    </w:p>
    <w:p w:rsidR="00000000" w:rsidDel="00000000" w:rsidP="00000000" w:rsidRDefault="00000000" w:rsidRPr="00000000" w14:paraId="00000039">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Assumes social cost of carbon of zero</w:t>
      </w:r>
    </w:p>
    <w:p w:rsidR="00000000" w:rsidDel="00000000" w:rsidP="00000000" w:rsidRDefault="00000000" w:rsidRPr="00000000" w14:paraId="0000003A">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Uses annual energy price forecasts of the Energy Information Administration, which do not account for potential social cost of carbon</w:t>
      </w:r>
    </w:p>
    <w:p w:rsidR="00000000" w:rsidDel="00000000" w:rsidP="00000000" w:rsidRDefault="00000000" w:rsidRPr="00000000" w14:paraId="0000003B">
      <w:pPr>
        <w:numPr>
          <w:ilvl w:val="0"/>
          <w:numId w:val="6"/>
        </w:numPr>
        <w:ind w:left="72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3 % DR (Average)</w:t>
      </w:r>
    </w:p>
    <w:p w:rsidR="00000000" w:rsidDel="00000000" w:rsidP="00000000" w:rsidRDefault="00000000" w:rsidRPr="00000000" w14:paraId="0000003C">
      <w:pPr>
        <w:numPr>
          <w:ilvl w:val="1"/>
          <w:numId w:val="6"/>
        </w:numPr>
        <w:ind w:left="144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average social cost of GHG assuming a 3 % discount rate</w:t>
      </w:r>
    </w:p>
    <w:p w:rsidR="00000000" w:rsidDel="00000000" w:rsidP="00000000" w:rsidRDefault="00000000" w:rsidRPr="00000000" w14:paraId="0000003D">
      <w:pPr>
        <w:numPr>
          <w:ilvl w:val="1"/>
          <w:numId w:val="6"/>
        </w:numPr>
        <w:ind w:left="144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represents the assumptions that best align with the DOE and OMB discount rates</w:t>
      </w:r>
    </w:p>
    <w:p w:rsidR="00000000" w:rsidDel="00000000" w:rsidP="00000000" w:rsidRDefault="00000000" w:rsidRPr="00000000" w14:paraId="0000003E">
      <w:pPr>
        <w:numPr>
          <w:ilvl w:val="0"/>
          <w:numId w:val="6"/>
        </w:numPr>
        <w:ind w:left="72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5 % DR (Average)</w:t>
      </w:r>
    </w:p>
    <w:p w:rsidR="00000000" w:rsidDel="00000000" w:rsidP="00000000" w:rsidRDefault="00000000" w:rsidRPr="00000000" w14:paraId="0000003F">
      <w:pPr>
        <w:numPr>
          <w:ilvl w:val="1"/>
          <w:numId w:val="6"/>
        </w:numPr>
        <w:ind w:left="144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average social cost of GHG assuming a 5 % discount rate (5 % DR Average)</w:t>
      </w:r>
    </w:p>
    <w:p w:rsidR="00000000" w:rsidDel="00000000" w:rsidP="00000000" w:rsidRDefault="00000000" w:rsidRPr="00000000" w14:paraId="00000040">
      <w:pPr>
        <w:numPr>
          <w:ilvl w:val="1"/>
          <w:numId w:val="6"/>
        </w:numPr>
        <w:ind w:left="144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higher discount rate than the official DOE or OMB rates leading to lower cost estimate</w:t>
      </w:r>
    </w:p>
    <w:p w:rsidR="00000000" w:rsidDel="00000000" w:rsidP="00000000" w:rsidRDefault="00000000" w:rsidRPr="00000000" w14:paraId="00000041">
      <w:pPr>
        <w:numPr>
          <w:ilvl w:val="0"/>
          <w:numId w:val="6"/>
        </w:numPr>
        <w:ind w:left="72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3 % DR (95th Percentile)</w:t>
      </w:r>
    </w:p>
    <w:p w:rsidR="00000000" w:rsidDel="00000000" w:rsidP="00000000" w:rsidRDefault="00000000" w:rsidRPr="00000000" w14:paraId="00000042">
      <w:pPr>
        <w:numPr>
          <w:ilvl w:val="1"/>
          <w:numId w:val="6"/>
        </w:numPr>
        <w:ind w:left="144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social cost of GHG assuming a 3 % discount rate with the 95th percentile price</w:t>
      </w:r>
    </w:p>
    <w:p w:rsidR="00000000" w:rsidDel="00000000" w:rsidP="00000000" w:rsidRDefault="00000000" w:rsidRPr="00000000" w14:paraId="00000043">
      <w:pPr>
        <w:numPr>
          <w:ilvl w:val="1"/>
          <w:numId w:val="6"/>
        </w:numPr>
        <w:ind w:left="1440" w:righ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represents the highest 5% of projected values - represents a “high” cost estimate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4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i w:val="1"/>
          <w:highlight w:val="white"/>
          <w:rtl w:val="0"/>
        </w:rPr>
        <w:t xml:space="preserve">Annual Inflation Rate</w:t>
      </w:r>
      <w:r w:rsidDel="00000000" w:rsidR="00000000" w:rsidRPr="00000000">
        <w:rPr>
          <w:rFonts w:ascii="Times New Roman" w:cs="Times New Roman" w:eastAsia="Times New Roman" w:hAnsi="Times New Roman"/>
          <w:b w:val="1"/>
          <w:highlight w:val="white"/>
          <w:rtl w:val="0"/>
        </w:rPr>
        <w:t xml:space="preserve">:</w:t>
      </w:r>
    </w:p>
    <w:p w:rsidR="00000000" w:rsidDel="00000000" w:rsidP="00000000" w:rsidRDefault="00000000" w:rsidRPr="00000000" w14:paraId="0000004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default rate of inflation is the long-term inflation rate calculated annually by DOE/FEMP using 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 The inflation rate may be edited.</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tool makes all the calculations using the default inflation rate</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If the user decides to change the inflation rate, the calculations should be re-created.</w:t>
      </w:r>
    </w:p>
    <w:p w:rsidR="00000000" w:rsidDel="00000000" w:rsidP="00000000" w:rsidRDefault="00000000" w:rsidRPr="00000000" w14:paraId="0000004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4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Output - Annual Energy Escalation Rates:</w:t>
      </w:r>
    </w:p>
    <w:p w:rsidR="00000000" w:rsidDel="00000000" w:rsidP="00000000" w:rsidRDefault="00000000" w:rsidRPr="00000000" w14:paraId="0000004B">
      <w:pPr>
        <w:numPr>
          <w:ilvl w:val="0"/>
          <w:numId w:val="5"/>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Real and Nominal Escalation Rates</w:t>
      </w:r>
      <w:r w:rsidDel="00000000" w:rsidR="00000000" w:rsidRPr="00000000">
        <w:rPr>
          <w:rFonts w:ascii="Times New Roman" w:cs="Times New Roman" w:eastAsia="Times New Roman" w:hAnsi="Times New Roman"/>
          <w:sz w:val="24"/>
          <w:szCs w:val="24"/>
          <w:highlight w:val="white"/>
          <w:rtl w:val="0"/>
        </w:rPr>
        <w:t xml:space="preserve">: The output of the program is the calculated average escalation rate, stated both in real terms (excluding the rate of inflation) and in nominal terms (including the rate of inflation).</w:t>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b w:val="1"/>
          <w:sz w:val="24"/>
          <w:szCs w:val="24"/>
          <w:highlight w:val="white"/>
          <w:u w:val="single"/>
        </w:rPr>
      </w:pPr>
      <w:bookmarkStart w:colFirst="0" w:colLast="0" w:name="_hergq4wymmh0" w:id="2"/>
      <w:bookmarkEnd w:id="2"/>
      <w:r w:rsidDel="00000000" w:rsidR="00000000" w:rsidRPr="00000000">
        <w:rPr>
          <w:rFonts w:ascii="Times New Roman" w:cs="Times New Roman" w:eastAsia="Times New Roman" w:hAnsi="Times New Roman"/>
          <w:b w:val="1"/>
          <w:sz w:val="24"/>
          <w:szCs w:val="24"/>
          <w:highlight w:val="white"/>
          <w:u w:val="single"/>
          <w:rtl w:val="0"/>
        </w:rPr>
        <w:t xml:space="preserve">Functions</w:t>
      </w:r>
    </w:p>
    <w:p w:rsidR="00000000" w:rsidDel="00000000" w:rsidP="00000000" w:rsidRDefault="00000000" w:rsidRPr="00000000" w14:paraId="0000004D">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calculate the nominal escalation rate, which includes inflation, the calculator uses the following relationship:</w:t>
      </w:r>
    </w:p>
    <w:p w:rsidR="00000000" w:rsidDel="00000000" w:rsidP="00000000" w:rsidRDefault="00000000" w:rsidRPr="00000000" w14:paraId="0000004E">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768600" cy="215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68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calculated average annual escalation rate, </w:t>
      </w:r>
      <w:r w:rsidDel="00000000" w:rsidR="00000000" w:rsidRPr="00000000">
        <w:rPr>
          <w:rFonts w:ascii="Times New Roman" w:cs="Times New Roman" w:eastAsia="Times New Roman" w:hAnsi="Times New Roman"/>
          <w:i w:val="1"/>
          <w:highlight w:val="white"/>
          <w:rtl w:val="0"/>
        </w:rPr>
        <w:t xml:space="preserve">e</w:t>
      </w:r>
      <w:r w:rsidDel="00000000" w:rsidR="00000000" w:rsidRPr="00000000">
        <w:rPr>
          <w:rFonts w:ascii="Times New Roman" w:cs="Times New Roman" w:eastAsia="Times New Roman" w:hAnsi="Times New Roman"/>
          <w:i w:val="1"/>
          <w:highlight w:val="white"/>
          <w:vertAlign w:val="subscript"/>
          <w:rtl w:val="0"/>
        </w:rPr>
        <w:t xml:space="preserve">avg</w:t>
      </w:r>
      <w:r w:rsidDel="00000000" w:rsidR="00000000" w:rsidRPr="00000000">
        <w:rPr>
          <w:rFonts w:ascii="Times New Roman" w:cs="Times New Roman" w:eastAsia="Times New Roman" w:hAnsi="Times New Roman"/>
          <w:highlight w:val="white"/>
          <w:rtl w:val="0"/>
        </w:rPr>
        <w:t xml:space="preserve">, when applied to the base-year energy costs or savings of ESPC or UESC projects, results in approximately the same undiscounted total amounts over the performance period as do the EIA-projected, or adjusted EIA-projected, variable rates. If more than one fuel is used in the project, the EERC weights the average escalation rate according to the proportions stated by the user.</w:t>
      </w:r>
    </w:p>
    <w:p w:rsidR="00000000" w:rsidDel="00000000" w:rsidP="00000000" w:rsidRDefault="00000000" w:rsidRPr="00000000" w14:paraId="00000050">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1">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compute an average annual escalation rate, base-year energy costs are escalated from year to year at rates projected by EIA, or at EIA rates adjusted by NIST for carbon pricing, to arrive at the total energy cost over a given performance period. The escalation rates, e, are projected by Census Region, energy type, and industrial sector and vary from year to year. The formula used EERC prompts the user for information on the share of cost savings attributable to each fuel type, project location, industry sector, and the beginning date and duration of the performance period. It also prompts the user to select one of several carbon pricing scenarios--No Carbon Pricing, Default Pricing, Low Pricing, or High Pricing--then retrieves the relevant energy price forecasts and computes the average escalation rate, as described above. Since the performance period begins later than the base date, the calculated average rate includes the price escalation for the intervening year(s).</w:t>
      </w:r>
    </w:p>
    <w:p w:rsidR="00000000" w:rsidDel="00000000" w:rsidP="00000000" w:rsidRDefault="00000000" w:rsidRPr="00000000" w14:paraId="00000052">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3">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calculate total energy costs is:</w:t>
      </w:r>
    </w:p>
    <w:p w:rsidR="00000000" w:rsidDel="00000000" w:rsidP="00000000" w:rsidRDefault="00000000" w:rsidRPr="00000000" w14:paraId="00000054">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549900" cy="368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49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w:t>
      </w:r>
    </w:p>
    <w:p w:rsidR="00000000" w:rsidDel="00000000" w:rsidP="00000000" w:rsidRDefault="00000000" w:rsidRPr="00000000" w14:paraId="00000056">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C</w:t>
      </w:r>
      <w:r w:rsidDel="00000000" w:rsidR="00000000" w:rsidRPr="00000000">
        <w:rPr>
          <w:rFonts w:ascii="Times New Roman" w:cs="Times New Roman" w:eastAsia="Times New Roman" w:hAnsi="Times New Roman"/>
          <w:highlight w:val="white"/>
          <w:rtl w:val="0"/>
        </w:rPr>
        <w:t xml:space="preserve"> is the undiscounted total of future energy costs over the performance period</w:t>
      </w:r>
    </w:p>
    <w:p w:rsidR="00000000" w:rsidDel="00000000" w:rsidP="00000000" w:rsidRDefault="00000000" w:rsidRPr="00000000" w14:paraId="00000057">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is the base-year annual cost</w:t>
      </w:r>
    </w:p>
    <w:p w:rsidR="00000000" w:rsidDel="00000000" w:rsidP="00000000" w:rsidRDefault="00000000" w:rsidRPr="00000000" w14:paraId="00000058">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e</w:t>
      </w:r>
      <w:r w:rsidDel="00000000" w:rsidR="00000000" w:rsidRPr="00000000">
        <w:rPr>
          <w:rFonts w:ascii="Times New Roman" w:cs="Times New Roman" w:eastAsia="Times New Roman" w:hAnsi="Times New Roman"/>
          <w:i w:val="1"/>
          <w:highlight w:val="white"/>
          <w:vertAlign w:val="subscript"/>
          <w:rtl w:val="0"/>
        </w:rPr>
        <w:t xml:space="preserve">i</w:t>
      </w:r>
      <w:r w:rsidDel="00000000" w:rsidR="00000000" w:rsidRPr="00000000">
        <w:rPr>
          <w:rFonts w:ascii="Times New Roman" w:cs="Times New Roman" w:eastAsia="Times New Roman" w:hAnsi="Times New Roman"/>
          <w:highlight w:val="white"/>
          <w:rtl w:val="0"/>
        </w:rPr>
        <w:t xml:space="preserve"> is the annual escalation rate, which varies from year to year over the performance period</w:t>
      </w:r>
    </w:p>
    <w:p w:rsidR="00000000" w:rsidDel="00000000" w:rsidP="00000000" w:rsidRDefault="00000000" w:rsidRPr="00000000" w14:paraId="00000059">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is the number of years in the performance period</w:t>
      </w:r>
    </w:p>
    <w:p w:rsidR="00000000" w:rsidDel="00000000" w:rsidP="00000000" w:rsidRDefault="00000000" w:rsidRPr="00000000" w14:paraId="0000005A">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B">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the escalation rate is the same in each year of the study period, the series can be simplified to a factor applied to the base-year annual cost, A:</w:t>
      </w:r>
    </w:p>
    <w:p w:rsidR="00000000" w:rsidDel="00000000" w:rsidP="00000000" w:rsidRDefault="00000000" w:rsidRPr="00000000" w14:paraId="0000005C">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425700" cy="495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25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i w:val="1"/>
          <w:highlight w:val="white"/>
          <w:rtl w:val="0"/>
        </w:rPr>
        <w:t xml:space="preserve">e</w:t>
      </w:r>
      <w:r w:rsidDel="00000000" w:rsidR="00000000" w:rsidRPr="00000000">
        <w:rPr>
          <w:rFonts w:ascii="Times New Roman" w:cs="Times New Roman" w:eastAsia="Times New Roman" w:hAnsi="Times New Roman"/>
          <w:i w:val="1"/>
          <w:highlight w:val="white"/>
          <w:vertAlign w:val="subscript"/>
          <w:rtl w:val="0"/>
        </w:rPr>
        <w:t xml:space="preserve">avg</w:t>
      </w:r>
      <w:r w:rsidDel="00000000" w:rsidR="00000000" w:rsidRPr="00000000">
        <w:rPr>
          <w:rFonts w:ascii="Times New Roman" w:cs="Times New Roman" w:eastAsia="Times New Roman" w:hAnsi="Times New Roman"/>
          <w:highlight w:val="white"/>
          <w:rtl w:val="0"/>
        </w:rPr>
        <w:t xml:space="preserve"> is the average annual escalation rate</w:t>
      </w:r>
    </w:p>
    <w:p w:rsidR="00000000" w:rsidDel="00000000" w:rsidP="00000000" w:rsidRDefault="00000000" w:rsidRPr="00000000" w14:paraId="0000005E">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 a uniform escalation rate is needed to compute the contract payments in ESPC and UESC projects, the EERC uses this equation to approximate </w:t>
      </w:r>
      <w:r w:rsidDel="00000000" w:rsidR="00000000" w:rsidRPr="00000000">
        <w:rPr>
          <w:rFonts w:ascii="Times New Roman" w:cs="Times New Roman" w:eastAsia="Times New Roman" w:hAnsi="Times New Roman"/>
          <w:i w:val="1"/>
          <w:highlight w:val="white"/>
          <w:rtl w:val="0"/>
        </w:rPr>
        <w:t xml:space="preserve">C</w:t>
      </w:r>
      <w:r w:rsidDel="00000000" w:rsidR="00000000" w:rsidRPr="00000000">
        <w:rPr>
          <w:rFonts w:ascii="Times New Roman" w:cs="Times New Roman" w:eastAsia="Times New Roman" w:hAnsi="Times New Roman"/>
          <w:highlight w:val="white"/>
          <w:rtl w:val="0"/>
        </w:rPr>
        <w:t xml:space="preserve">, as calculated with EIA rates or adjusted EIA rates, and iteratively solves for </w:t>
      </w:r>
      <w:r w:rsidDel="00000000" w:rsidR="00000000" w:rsidRPr="00000000">
        <w:rPr>
          <w:rFonts w:ascii="Times New Roman" w:cs="Times New Roman" w:eastAsia="Times New Roman" w:hAnsi="Times New Roman"/>
          <w:i w:val="1"/>
          <w:highlight w:val="white"/>
          <w:rtl w:val="0"/>
        </w:rPr>
        <w:t xml:space="preserve">e</w:t>
      </w:r>
      <w:r w:rsidDel="00000000" w:rsidR="00000000" w:rsidRPr="00000000">
        <w:rPr>
          <w:rFonts w:ascii="Times New Roman" w:cs="Times New Roman" w:eastAsia="Times New Roman" w:hAnsi="Times New Roman"/>
          <w:i w:val="1"/>
          <w:highlight w:val="white"/>
          <w:vertAlign w:val="subscript"/>
          <w:rtl w:val="0"/>
        </w:rPr>
        <w:t xml:space="preserve">avg</w:t>
      </w:r>
      <w:r w:rsidDel="00000000" w:rsidR="00000000" w:rsidRPr="00000000">
        <w:rPr>
          <w:rFonts w:ascii="Times New Roman" w:cs="Times New Roman" w:eastAsia="Times New Roman" w:hAnsi="Times New Roman"/>
          <w:highlight w:val="white"/>
          <w:rtl w:val="0"/>
        </w:rPr>
        <w:t xml:space="preserve">, the average annual escalation rate. The relationship between the factor calculated in the equation and the variable escalation rates in the series can be expressed as follows for a performance period of </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years duration:</w:t>
      </w:r>
    </w:p>
    <w:p w:rsidR="00000000" w:rsidDel="00000000" w:rsidP="00000000" w:rsidRDefault="00000000" w:rsidRPr="00000000" w14:paraId="0000005F">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673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1">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social cost of carbon is calculated using the emissions per unit of fuel type, the carbon cost projections, and the carbon emissions factor to calculate a price per unit of fuel. Then it’s added into the projected energy prices before the escalation rate is calculated.</w:t>
      </w:r>
    </w:p>
    <w:p w:rsidR="00000000" w:rsidDel="00000000" w:rsidP="00000000" w:rsidRDefault="00000000" w:rsidRPr="00000000" w14:paraId="00000062">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3">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Take the baseline CO2 emissions rate and create the emissions rate for each year for a given carbon scenario by multiplying it by the emission factor (fraction of baseline emissions rate by year). This value is then multiplied by the carbon price for the carbon scenario by year. This provides the carbon price per unit of electricity.</w:t>
      </w:r>
    </w:p>
    <w:p w:rsidR="00000000" w:rsidDel="00000000" w:rsidP="00000000" w:rsidRDefault="00000000" w:rsidRPr="00000000" w14:paraId="00000064">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5">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CO2 emissions rates for other fuels (distillate oil, residual oil, nat gas, LPG, and coal). These rates do not change by year. Therefore, the emissions per unit are constant over time.</w:t>
      </w:r>
    </w:p>
    <w:p w:rsidR="00000000" w:rsidDel="00000000" w:rsidP="00000000" w:rsidRDefault="00000000" w:rsidRPr="00000000" w14:paraId="00000066">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7">
      <w:pPr>
        <w:ind w:righ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energy price is adjusted by the cost of carbon per unit of fuel (i.e., assumes a 100% pass through to the retail price). This is added before the escalation rates are calculated so that the escalation rates are appropriately adjusted for the carbon scenario.</w:t>
      </w:r>
    </w:p>
    <w:p w:rsidR="00000000" w:rsidDel="00000000" w:rsidP="00000000" w:rsidRDefault="00000000" w:rsidRPr="00000000" w14:paraId="00000068">
      <w:pPr>
        <w:pStyle w:val="Heading2"/>
        <w:keepNext w:val="0"/>
        <w:keepLines w:val="0"/>
        <w:spacing w:after="80" w:lineRule="auto"/>
        <w:rPr>
          <w:rFonts w:ascii="Times New Roman" w:cs="Times New Roman" w:eastAsia="Times New Roman" w:hAnsi="Times New Roman"/>
          <w:b w:val="1"/>
          <w:sz w:val="24"/>
          <w:szCs w:val="24"/>
          <w:highlight w:val="white"/>
          <w:u w:val="single"/>
        </w:rPr>
      </w:pPr>
      <w:bookmarkStart w:colFirst="0" w:colLast="0" w:name="_5morjgffxnc7" w:id="3"/>
      <w:bookmarkEnd w:id="3"/>
      <w:r w:rsidDel="00000000" w:rsidR="00000000" w:rsidRPr="00000000">
        <w:rPr>
          <w:rFonts w:ascii="Times New Roman" w:cs="Times New Roman" w:eastAsia="Times New Roman" w:hAnsi="Times New Roman"/>
          <w:b w:val="1"/>
          <w:sz w:val="24"/>
          <w:szCs w:val="24"/>
          <w:highlight w:val="white"/>
          <w:u w:val="single"/>
          <w:rtl w:val="0"/>
        </w:rPr>
        <w:t xml:space="preserve">Data Tables</w:t>
      </w:r>
    </w:p>
    <w:p w:rsidR="00000000" w:rsidDel="00000000" w:rsidP="00000000" w:rsidRDefault="00000000" w:rsidRPr="00000000" w14:paraId="0000006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 tables include</w:t>
      </w:r>
    </w:p>
    <w:p w:rsidR="00000000" w:rsidDel="00000000" w:rsidP="00000000" w:rsidRDefault="00000000" w:rsidRPr="00000000" w14:paraId="0000006B">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the Encost file that includes the EIA energy price projections for each fuel type over time</w:t>
      </w:r>
    </w:p>
    <w:p w:rsidR="00000000" w:rsidDel="00000000" w:rsidP="00000000" w:rsidRDefault="00000000" w:rsidRPr="00000000" w14:paraId="0000006C">
      <w:pPr>
        <w:ind w:left="144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This file is provided by EIA and then NIST manipulates it to create the annual supplement data</w:t>
      </w:r>
    </w:p>
    <w:p w:rsidR="00000000" w:rsidDel="00000000" w:rsidP="00000000" w:rsidRDefault="00000000" w:rsidRPr="00000000" w14:paraId="0000006D">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CO2 Price file that includes the projected prices for CO2 emissions</w:t>
      </w:r>
    </w:p>
    <w:p w:rsidR="00000000" w:rsidDel="00000000" w:rsidP="00000000" w:rsidRDefault="00000000" w:rsidRPr="00000000" w14:paraId="0000006E">
      <w:pPr>
        <w:ind w:left="144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Provided by AEO by projection scenario and year</w:t>
      </w:r>
    </w:p>
    <w:p w:rsidR="00000000" w:rsidDel="00000000" w:rsidP="00000000" w:rsidRDefault="00000000" w:rsidRPr="00000000" w14:paraId="0000006F">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CO2 Future Emissions file that includes the projected emissions rate factors for electric grid by location over time</w:t>
      </w:r>
    </w:p>
    <w:p w:rsidR="00000000" w:rsidDel="00000000" w:rsidP="00000000" w:rsidRDefault="00000000" w:rsidRPr="00000000" w14:paraId="00000070">
      <w:pPr>
        <w:ind w:left="144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Fraction of Current Year's Emissions Rate</w:t>
      </w:r>
    </w:p>
    <w:p w:rsidR="00000000" w:rsidDel="00000000" w:rsidP="00000000" w:rsidRDefault="00000000" w:rsidRPr="00000000" w14:paraId="00000071">
      <w:pPr>
        <w:ind w:left="144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Indifferent to initial baseline CO2 factors</w:t>
      </w:r>
    </w:p>
    <w:p w:rsidR="00000000" w:rsidDel="00000000" w:rsidP="00000000" w:rsidRDefault="00000000" w:rsidRPr="00000000" w14:paraId="00000072">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CO2 Factors file that includes the baseline emissions rates for electricity and other fuel types</w:t>
      </w:r>
    </w:p>
    <w:p w:rsidR="00000000" w:rsidDel="00000000" w:rsidP="00000000" w:rsidRDefault="00000000" w:rsidRPr="00000000" w14:paraId="00000073">
      <w:pPr>
        <w:ind w:left="144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Electricity emission rates are provided by AEO by state</w:t>
      </w:r>
    </w:p>
    <w:p w:rsidR="00000000" w:rsidDel="00000000" w:rsidP="00000000" w:rsidRDefault="00000000" w:rsidRPr="00000000" w14:paraId="00000074">
      <w:pPr>
        <w:ind w:left="144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sz w:val="20"/>
          <w:szCs w:val="20"/>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Other fuel types are assumed to be constant using a national average rate</w:t>
      </w:r>
    </w:p>
    <w:p w:rsidR="00000000" w:rsidDel="00000000" w:rsidP="00000000" w:rsidRDefault="00000000" w:rsidRPr="00000000" w14:paraId="0000007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data tables are called on by the code, will stay constant over time in term of format, but the data is updated annually.</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