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FBA7F" w14:textId="76295CC5" w:rsidR="00DC6AB1" w:rsidRPr="00DA3E63" w:rsidRDefault="00B738AE">
      <w:pPr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>Immunization</w:t>
      </w:r>
      <w:r w:rsidR="00973F9F" w:rsidRPr="00DA3E63">
        <w:rPr>
          <w:b/>
          <w:sz w:val="28"/>
          <w:szCs w:val="28"/>
          <w:u w:val="single"/>
        </w:rPr>
        <w:t xml:space="preserve"> Test Tool</w:t>
      </w:r>
      <w:r w:rsidR="000E75EF" w:rsidRPr="00DA3E63">
        <w:rPr>
          <w:b/>
          <w:sz w:val="28"/>
          <w:szCs w:val="28"/>
          <w:u w:val="single"/>
        </w:rPr>
        <w:t xml:space="preserve"> Release Notes for Version 1.</w:t>
      </w:r>
      <w:r w:rsidR="009E0545" w:rsidRPr="00DA3E63">
        <w:rPr>
          <w:b/>
          <w:sz w:val="28"/>
          <w:szCs w:val="28"/>
          <w:u w:val="single"/>
        </w:rPr>
        <w:t>4.1</w:t>
      </w:r>
      <w:r w:rsidR="000F4ABD" w:rsidRPr="00DA3E63">
        <w:rPr>
          <w:b/>
          <w:sz w:val="28"/>
          <w:szCs w:val="28"/>
          <w:u w:val="single"/>
        </w:rPr>
        <w:t xml:space="preserve"> </w:t>
      </w:r>
      <w:r w:rsidR="009E0545" w:rsidRPr="00DA3E63">
        <w:rPr>
          <w:b/>
          <w:sz w:val="28"/>
          <w:szCs w:val="28"/>
          <w:u w:val="single"/>
        </w:rPr>
        <w:t>October 12</w:t>
      </w:r>
      <w:r w:rsidR="000F4ABD" w:rsidRPr="00DA3E63">
        <w:rPr>
          <w:b/>
          <w:sz w:val="28"/>
          <w:szCs w:val="28"/>
          <w:u w:val="single"/>
        </w:rPr>
        <w:t xml:space="preserve">, </w:t>
      </w:r>
      <w:r w:rsidR="00002468" w:rsidRPr="00DA3E63">
        <w:rPr>
          <w:b/>
          <w:sz w:val="28"/>
          <w:szCs w:val="28"/>
          <w:u w:val="single"/>
        </w:rPr>
        <w:t>2016</w:t>
      </w:r>
    </w:p>
    <w:p w14:paraId="50A262F7" w14:textId="77777777" w:rsidR="00412050" w:rsidRPr="00CD7F5B" w:rsidRDefault="00412050" w:rsidP="00A33741">
      <w:pPr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Data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3595"/>
        <w:gridCol w:w="4268"/>
        <w:gridCol w:w="5182"/>
      </w:tblGrid>
      <w:tr w:rsidR="00412050" w:rsidRPr="0024144B" w14:paraId="5D3FA680" w14:textId="77777777" w:rsidTr="00EA21F7">
        <w:trPr>
          <w:cantSplit/>
          <w:tblHeader/>
        </w:trPr>
        <w:tc>
          <w:tcPr>
            <w:tcW w:w="3595" w:type="dxa"/>
          </w:tcPr>
          <w:p w14:paraId="00BB8CDA" w14:textId="77777777" w:rsidR="00412050" w:rsidRPr="00990721" w:rsidRDefault="00412050">
            <w:pPr>
              <w:rPr>
                <w:b/>
              </w:rPr>
            </w:pPr>
            <w:r w:rsidRPr="00990721">
              <w:rPr>
                <w:b/>
              </w:rPr>
              <w:t>Test Case</w:t>
            </w:r>
          </w:p>
        </w:tc>
        <w:tc>
          <w:tcPr>
            <w:tcW w:w="4268" w:type="dxa"/>
          </w:tcPr>
          <w:p w14:paraId="361748FC" w14:textId="77777777" w:rsidR="00412050" w:rsidRPr="00990721" w:rsidRDefault="00412050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182" w:type="dxa"/>
          </w:tcPr>
          <w:p w14:paraId="3657B175" w14:textId="77777777" w:rsidR="00412050" w:rsidRPr="00990721" w:rsidRDefault="00412050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EA21F7" w:rsidRPr="0024144B" w14:paraId="7A36A187" w14:textId="77777777" w:rsidTr="00EA21F7">
        <w:trPr>
          <w:cantSplit/>
        </w:trPr>
        <w:tc>
          <w:tcPr>
            <w:tcW w:w="3595" w:type="dxa"/>
          </w:tcPr>
          <w:p w14:paraId="6DE363E6" w14:textId="77777777" w:rsidR="00EA21F7" w:rsidRPr="003D0F90" w:rsidRDefault="00EA21F7" w:rsidP="00EA21F7">
            <w:pPr>
              <w:pStyle w:val="PlainText"/>
              <w:rPr>
                <w:rStyle w:val="indented"/>
                <w:rFonts w:asciiTheme="minorHAnsi" w:hAnsiTheme="minorHAnsi"/>
                <w:sz w:val="22"/>
                <w:szCs w:val="22"/>
              </w:rPr>
            </w:pPr>
            <w:r w:rsidRPr="003D0F90">
              <w:rPr>
                <w:rStyle w:val="indented"/>
                <w:rFonts w:asciiTheme="minorHAnsi" w:hAnsiTheme="minorHAnsi"/>
                <w:sz w:val="22"/>
                <w:szCs w:val="22"/>
              </w:rPr>
              <w:t xml:space="preserve">Administration Group </w:t>
            </w:r>
          </w:p>
          <w:p w14:paraId="477C61DF" w14:textId="77777777" w:rsidR="00EA21F7" w:rsidRPr="003D0F90" w:rsidRDefault="00EA21F7" w:rsidP="00EA21F7">
            <w:pPr>
              <w:pStyle w:val="PlainText"/>
              <w:rPr>
                <w:rStyle w:val="indented"/>
                <w:rFonts w:asciiTheme="minorHAnsi" w:hAnsiTheme="minorHAnsi"/>
                <w:sz w:val="22"/>
                <w:szCs w:val="22"/>
              </w:rPr>
            </w:pPr>
          </w:p>
          <w:p w14:paraId="09C37079" w14:textId="77777777" w:rsidR="00EA21F7" w:rsidRPr="003D0F90" w:rsidRDefault="00EA21F7" w:rsidP="00EA21F7">
            <w:pPr>
              <w:pStyle w:val="PlainText"/>
              <w:rPr>
                <w:rStyle w:val="indented"/>
                <w:rFonts w:asciiTheme="minorHAnsi" w:hAnsiTheme="minorHAnsi"/>
                <w:sz w:val="22"/>
                <w:szCs w:val="22"/>
              </w:rPr>
            </w:pPr>
            <w:r w:rsidRPr="003D0F90">
              <w:rPr>
                <w:rStyle w:val="indented"/>
                <w:rFonts w:asciiTheme="minorHAnsi" w:hAnsiTheme="minorHAnsi"/>
                <w:sz w:val="22"/>
                <w:szCs w:val="22"/>
              </w:rPr>
              <w:t>Z-AD-5_Refusal</w:t>
            </w:r>
          </w:p>
          <w:p w14:paraId="29BE77DF" w14:textId="77777777" w:rsidR="00EA21F7" w:rsidRPr="003D0F90" w:rsidRDefault="00EA21F7" w:rsidP="00EA21F7">
            <w:pPr>
              <w:pStyle w:val="PlainText"/>
              <w:rPr>
                <w:rStyle w:val="indented"/>
                <w:rFonts w:asciiTheme="minorHAnsi" w:hAnsiTheme="minorHAnsi"/>
                <w:sz w:val="22"/>
                <w:szCs w:val="22"/>
              </w:rPr>
            </w:pPr>
            <w:r w:rsidRPr="003D0F90">
              <w:rPr>
                <w:rStyle w:val="indented"/>
                <w:rFonts w:asciiTheme="minorHAnsi" w:hAnsiTheme="minorHAnsi"/>
                <w:sz w:val="22"/>
                <w:szCs w:val="22"/>
              </w:rPr>
              <w:t>Test Step:</w:t>
            </w:r>
            <w:r>
              <w:rPr>
                <w:rStyle w:val="indented"/>
                <w:rFonts w:asciiTheme="minorHAnsi" w:hAnsiTheme="minorHAnsi"/>
                <w:sz w:val="22"/>
                <w:szCs w:val="22"/>
              </w:rPr>
              <w:t xml:space="preserve"> </w:t>
            </w:r>
            <w:r w:rsidRPr="003D0F90">
              <w:rPr>
                <w:rFonts w:asciiTheme="minorHAnsi" w:hAnsiTheme="minorHAnsi"/>
                <w:sz w:val="22"/>
                <w:szCs w:val="22"/>
              </w:rPr>
              <w:t>IZ-AD-5.1_Send_V04_Z22</w:t>
            </w:r>
          </w:p>
          <w:p w14:paraId="0B097C68" w14:textId="77777777" w:rsidR="00EA21F7" w:rsidRPr="003D0F90" w:rsidRDefault="00EA21F7" w:rsidP="00EA21F7">
            <w:pPr>
              <w:pStyle w:val="PlainText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4268" w:type="dxa"/>
          </w:tcPr>
          <w:p w14:paraId="05F665D2" w14:textId="77777777" w:rsidR="00EA21F7" w:rsidRPr="003D0F90" w:rsidRDefault="00EA21F7" w:rsidP="00EA21F7">
            <w:pPr>
              <w:pStyle w:val="Plain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</w:t>
            </w:r>
            <w:r w:rsidRPr="003D0F90">
              <w:rPr>
                <w:rFonts w:asciiTheme="minorHAnsi" w:hAnsiTheme="minorHAnsi"/>
                <w:sz w:val="22"/>
                <w:szCs w:val="22"/>
              </w:rPr>
              <w:t>est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Step </w:t>
            </w:r>
            <w:r w:rsidRPr="003D0F90">
              <w:rPr>
                <w:rFonts w:asciiTheme="minorHAnsi" w:hAnsiTheme="minorHAnsi"/>
                <w:sz w:val="22"/>
                <w:szCs w:val="22"/>
              </w:rPr>
              <w:t>still expects the 10/22/2014 edition of the "Multiple Vaccines VIS" (barcode value "253088698300026411141022") to be reported for th</w:t>
            </w:r>
            <w:bookmarkStart w:id="0" w:name="_GoBack"/>
            <w:bookmarkEnd w:id="0"/>
            <w:r w:rsidRPr="003D0F90">
              <w:rPr>
                <w:rFonts w:asciiTheme="minorHAnsi" w:hAnsiTheme="minorHAnsi"/>
                <w:sz w:val="22"/>
                <w:szCs w:val="22"/>
              </w:rPr>
              <w:t>e HIBERIX administration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5182" w:type="dxa"/>
            <w:shd w:val="clear" w:color="auto" w:fill="auto"/>
          </w:tcPr>
          <w:p w14:paraId="58ACDA11" w14:textId="77777777" w:rsidR="00EA21F7" w:rsidRPr="000F4ABD" w:rsidRDefault="00EA21F7" w:rsidP="00EA21F7">
            <w:proofErr w:type="gramStart"/>
            <w:r>
              <w:t>OBX[</w:t>
            </w:r>
            <w:proofErr w:type="gramEnd"/>
            <w:r>
              <w:t>3]-5[1].1 and 5[1].2 in this message have been changed from “</w:t>
            </w:r>
            <w:r w:rsidRPr="003D0F90">
              <w:t>253088698300026411141022</w:t>
            </w:r>
            <w:r>
              <w:t>” and “</w:t>
            </w:r>
            <w:r w:rsidRPr="003D0F90">
              <w:t>Multiple Vaccines VIS</w:t>
            </w:r>
            <w:r>
              <w:t>” to “</w:t>
            </w:r>
            <w:r w:rsidRPr="003D0F90">
              <w:t>253088698300026411151105</w:t>
            </w:r>
            <w:r>
              <w:t>” and “</w:t>
            </w:r>
            <w:r w:rsidRPr="003D0F90">
              <w:t>Multi Pediatric Vaccines VIS</w:t>
            </w:r>
            <w:r>
              <w:t>” respectively to reflect the updated/correct information provided for HIBERIX.</w:t>
            </w:r>
          </w:p>
        </w:tc>
      </w:tr>
    </w:tbl>
    <w:p w14:paraId="1CDFB2B4" w14:textId="77777777" w:rsidR="00D90F00" w:rsidRPr="00D90F00" w:rsidRDefault="00D90F00" w:rsidP="00D90F00"/>
    <w:p w14:paraId="4CD76434" w14:textId="77777777" w:rsidR="00420C09" w:rsidRPr="00CD7F5B" w:rsidRDefault="00987C70" w:rsidP="00A33741">
      <w:pPr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 xml:space="preserve">Specific </w:t>
      </w:r>
      <w:r w:rsidR="00420C09" w:rsidRPr="00CD7F5B">
        <w:rPr>
          <w:b/>
          <w:sz w:val="28"/>
          <w:szCs w:val="28"/>
        </w:rPr>
        <w:t>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8"/>
        <w:gridCol w:w="6782"/>
      </w:tblGrid>
      <w:tr w:rsidR="00D65A11" w14:paraId="5E49221A" w14:textId="77777777" w:rsidTr="00314C76">
        <w:trPr>
          <w:cantSplit/>
          <w:tblHeader/>
        </w:trPr>
        <w:tc>
          <w:tcPr>
            <w:tcW w:w="6168" w:type="dxa"/>
          </w:tcPr>
          <w:p w14:paraId="7E2BFD4C" w14:textId="77777777" w:rsidR="00D65A11" w:rsidRPr="00412050" w:rsidRDefault="00D65A11" w:rsidP="003269D6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2" w:type="dxa"/>
          </w:tcPr>
          <w:p w14:paraId="78A147B7" w14:textId="77777777" w:rsidR="00D65A11" w:rsidRPr="00412050" w:rsidRDefault="00D65A11" w:rsidP="003269D6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A33741" w14:paraId="32C53983" w14:textId="77777777" w:rsidTr="00314C76">
        <w:trPr>
          <w:cantSplit/>
          <w:tblHeader/>
        </w:trPr>
        <w:tc>
          <w:tcPr>
            <w:tcW w:w="6168" w:type="dxa"/>
          </w:tcPr>
          <w:p w14:paraId="36AE2B91" w14:textId="77777777" w:rsidR="0028317E" w:rsidRPr="001D0184" w:rsidRDefault="00EA21F7" w:rsidP="008926A4">
            <w:pPr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6782" w:type="dxa"/>
          </w:tcPr>
          <w:p w14:paraId="52CA37A3" w14:textId="77777777" w:rsidR="00A33741" w:rsidRPr="001D0184" w:rsidRDefault="00A33741" w:rsidP="000122ED"/>
        </w:tc>
      </w:tr>
    </w:tbl>
    <w:p w14:paraId="533C3380" w14:textId="77777777" w:rsidR="00C410A6" w:rsidRDefault="00C410A6" w:rsidP="00987C70"/>
    <w:p w14:paraId="47909855" w14:textId="605597CD" w:rsidR="00987C70" w:rsidRPr="00CD7F5B" w:rsidRDefault="00987C70" w:rsidP="00CD7F5B">
      <w:pPr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4"/>
        <w:gridCol w:w="6776"/>
      </w:tblGrid>
      <w:tr w:rsidR="00113599" w14:paraId="707698A1" w14:textId="77777777" w:rsidTr="002D01CA">
        <w:trPr>
          <w:cantSplit/>
          <w:tblHeader/>
        </w:trPr>
        <w:tc>
          <w:tcPr>
            <w:tcW w:w="6228" w:type="dxa"/>
          </w:tcPr>
          <w:p w14:paraId="1130BEC3" w14:textId="77777777" w:rsidR="00113599" w:rsidRPr="00412050" w:rsidRDefault="00113599" w:rsidP="002D01CA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6840" w:type="dxa"/>
          </w:tcPr>
          <w:p w14:paraId="1612F611" w14:textId="77777777" w:rsidR="00113599" w:rsidRPr="00412050" w:rsidRDefault="00113599" w:rsidP="002D01CA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CD7F5B" w14:paraId="209AA04B" w14:textId="77777777" w:rsidTr="002D01CA">
        <w:trPr>
          <w:cantSplit/>
        </w:trPr>
        <w:tc>
          <w:tcPr>
            <w:tcW w:w="6228" w:type="dxa"/>
          </w:tcPr>
          <w:p w14:paraId="10CA4A02" w14:textId="002C0B71" w:rsidR="00CD7F5B" w:rsidRPr="007D6B22" w:rsidRDefault="006B0FFC" w:rsidP="00296539">
            <w:pPr>
              <w:tabs>
                <w:tab w:val="center" w:pos="3006"/>
              </w:tabs>
            </w:pPr>
            <w:r>
              <w:t>W</w:t>
            </w:r>
            <w:r w:rsidR="00D31B6F" w:rsidRPr="007D6B22">
              <w:t>hen</w:t>
            </w:r>
            <w:r w:rsidR="00296539">
              <w:t xml:space="preserve"> IE</w:t>
            </w:r>
            <w:r w:rsidR="00D31B6F" w:rsidRPr="007D6B22">
              <w:t xml:space="preserve"> is used to access the Immunization Test Suite, the various arrow icons for expanding and collapsing the Test Case Groups and/or Test Cases in the "Test Cases" window are not visible.</w:t>
            </w:r>
            <w:r w:rsidR="0051113C" w:rsidRPr="007D6B22">
              <w:tab/>
            </w:r>
          </w:p>
        </w:tc>
        <w:tc>
          <w:tcPr>
            <w:tcW w:w="6840" w:type="dxa"/>
          </w:tcPr>
          <w:p w14:paraId="3B85E965" w14:textId="306E9C29" w:rsidR="00296539" w:rsidRPr="005013C1" w:rsidRDefault="0051113C" w:rsidP="00296539">
            <w:pPr>
              <w:tabs>
                <w:tab w:val="left" w:pos="4540"/>
              </w:tabs>
              <w:rPr>
                <w:rFonts w:eastAsia="Times New Roman" w:cs="Times New Roman"/>
              </w:rPr>
            </w:pPr>
            <w:r w:rsidRPr="007D6B22">
              <w:t>Th</w:t>
            </w:r>
            <w:r w:rsidR="00D31B6F" w:rsidRPr="007D6B22">
              <w:t>is</w:t>
            </w:r>
            <w:r w:rsidRPr="007D6B22">
              <w:t xml:space="preserve"> issue </w:t>
            </w:r>
            <w:r w:rsidR="00296539">
              <w:t>was</w:t>
            </w:r>
            <w:r w:rsidRPr="007D6B22">
              <w:t xml:space="preserve"> </w:t>
            </w:r>
            <w:r w:rsidR="00E52FC4" w:rsidRPr="007D6B22">
              <w:t>related to</w:t>
            </w:r>
            <w:r w:rsidRPr="007D6B22">
              <w:t xml:space="preserve"> </w:t>
            </w:r>
            <w:r w:rsidR="00D31B6F" w:rsidRPr="007D6B22">
              <w:t xml:space="preserve">the </w:t>
            </w:r>
            <w:r w:rsidR="00296539">
              <w:t>IE</w:t>
            </w:r>
            <w:r w:rsidRPr="007D6B22">
              <w:t xml:space="preserve"> security settings</w:t>
            </w:r>
            <w:r w:rsidR="00296539">
              <w:t xml:space="preserve"> and it has been fixed</w:t>
            </w:r>
            <w:r w:rsidRPr="007D6B22">
              <w:t xml:space="preserve">. </w:t>
            </w:r>
          </w:p>
          <w:p w14:paraId="607C6E26" w14:textId="403F75FD" w:rsidR="005013C1" w:rsidRPr="005013C1" w:rsidRDefault="005013C1" w:rsidP="005013C1">
            <w:pPr>
              <w:shd w:val="clear" w:color="auto" w:fill="FFFFFF"/>
              <w:spacing w:after="120"/>
              <w:rPr>
                <w:rFonts w:eastAsia="Times New Roman" w:cs="Times New Roman"/>
              </w:rPr>
            </w:pPr>
          </w:p>
        </w:tc>
      </w:tr>
    </w:tbl>
    <w:p w14:paraId="670413B8" w14:textId="538DB327" w:rsidR="001C6347" w:rsidRPr="00AC6135" w:rsidRDefault="001C6347" w:rsidP="0051113C">
      <w:pPr>
        <w:tabs>
          <w:tab w:val="left" w:pos="2080"/>
        </w:tabs>
        <w:rPr>
          <w:b/>
        </w:rPr>
      </w:pPr>
    </w:p>
    <w:p w14:paraId="227555B5" w14:textId="77777777" w:rsidR="00C758DB" w:rsidRPr="00CD7F5B" w:rsidRDefault="00C758DB" w:rsidP="00CD7F5B">
      <w:pPr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Core</w:t>
      </w:r>
      <w:r w:rsidR="0048361B" w:rsidRPr="00CD7F5B">
        <w:rPr>
          <w:b/>
          <w:sz w:val="28"/>
          <w:szCs w:val="28"/>
        </w:rPr>
        <w:t xml:space="preserve">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C758DB" w14:paraId="32220B7E" w14:textId="77777777" w:rsidTr="0052426D">
        <w:trPr>
          <w:cantSplit/>
          <w:tblHeader/>
        </w:trPr>
        <w:tc>
          <w:tcPr>
            <w:tcW w:w="6228" w:type="dxa"/>
          </w:tcPr>
          <w:p w14:paraId="0A65CEC2" w14:textId="77777777" w:rsidR="00C758DB" w:rsidRPr="00412050" w:rsidRDefault="00C758DB" w:rsidP="003269D6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40" w:type="dxa"/>
          </w:tcPr>
          <w:p w14:paraId="7EB99F52" w14:textId="77777777" w:rsidR="00C758DB" w:rsidRPr="00412050" w:rsidRDefault="00C758DB" w:rsidP="003269D6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C758DB" w14:paraId="34A81266" w14:textId="77777777" w:rsidTr="0052426D">
        <w:trPr>
          <w:cantSplit/>
        </w:trPr>
        <w:tc>
          <w:tcPr>
            <w:tcW w:w="6228" w:type="dxa"/>
          </w:tcPr>
          <w:p w14:paraId="5F1FC09B" w14:textId="7DE12B17" w:rsidR="00C758DB" w:rsidRPr="00AC6135" w:rsidRDefault="00AC6135" w:rsidP="002857E5">
            <w:pPr>
              <w:pStyle w:val="PlainTex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None</w:t>
            </w:r>
          </w:p>
        </w:tc>
        <w:tc>
          <w:tcPr>
            <w:tcW w:w="6840" w:type="dxa"/>
          </w:tcPr>
          <w:p w14:paraId="602CE05C" w14:textId="3A6F747C" w:rsidR="00C758DB" w:rsidRPr="00AC6135" w:rsidRDefault="00C758DB" w:rsidP="002857E5"/>
        </w:tc>
      </w:tr>
    </w:tbl>
    <w:p w14:paraId="2ED698E4" w14:textId="77777777" w:rsidR="00C410A6" w:rsidRDefault="00C410A6" w:rsidP="00B015D8"/>
    <w:p w14:paraId="79B42164" w14:textId="77777777" w:rsidR="00E751C0" w:rsidRPr="00CD7F5B" w:rsidRDefault="00E751C0" w:rsidP="00E751C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E751C0" w14:paraId="5A8CB8E0" w14:textId="77777777" w:rsidTr="00990721">
        <w:trPr>
          <w:cantSplit/>
          <w:tblHeader/>
        </w:trPr>
        <w:tc>
          <w:tcPr>
            <w:tcW w:w="6170" w:type="dxa"/>
          </w:tcPr>
          <w:p w14:paraId="0E71ECDF" w14:textId="77777777" w:rsidR="00E751C0" w:rsidRPr="00412050" w:rsidRDefault="00E751C0" w:rsidP="005F1201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0" w:type="dxa"/>
          </w:tcPr>
          <w:p w14:paraId="4398DE16" w14:textId="77777777" w:rsidR="00E751C0" w:rsidRPr="00412050" w:rsidRDefault="00E751C0" w:rsidP="005F1201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E751C0" w14:paraId="544F5B76" w14:textId="77777777" w:rsidTr="00990721">
        <w:trPr>
          <w:cantSplit/>
        </w:trPr>
        <w:tc>
          <w:tcPr>
            <w:tcW w:w="6170" w:type="dxa"/>
          </w:tcPr>
          <w:p w14:paraId="639D3CC5" w14:textId="77777777" w:rsidR="00716FEB" w:rsidRPr="007D6B22" w:rsidRDefault="00716FEB" w:rsidP="00716FEB">
            <w:r w:rsidRPr="007D6B22">
              <w:t>A conflict exists in the implementation guide regarding acknowledgement processing requests in the outbound message that affects validation of MSH-15 and MSH-16 by the test tool.</w:t>
            </w:r>
          </w:p>
        </w:tc>
        <w:tc>
          <w:tcPr>
            <w:tcW w:w="6780" w:type="dxa"/>
          </w:tcPr>
          <w:p w14:paraId="223131C7" w14:textId="77777777" w:rsidR="00E751C0" w:rsidRPr="007D6B22" w:rsidRDefault="00716FEB" w:rsidP="00716FEB">
            <w:r w:rsidRPr="007D6B22">
              <w:t>A new item has been added to the Known Issues document for the Immunization Test Suite regarding how the test tool handles MSH-15 and MSH-16 validation.</w:t>
            </w:r>
          </w:p>
        </w:tc>
      </w:tr>
      <w:tr w:rsidR="007F1741" w14:paraId="400535A0" w14:textId="77777777" w:rsidTr="00990721">
        <w:trPr>
          <w:cantSplit/>
        </w:trPr>
        <w:tc>
          <w:tcPr>
            <w:tcW w:w="6170" w:type="dxa"/>
          </w:tcPr>
          <w:p w14:paraId="3482040A" w14:textId="5E4C0FCF" w:rsidR="007F1741" w:rsidRPr="007F1741" w:rsidRDefault="007F1741" w:rsidP="007F1741">
            <w:pPr>
              <w:rPr>
                <w:rFonts w:cs="Arial"/>
              </w:rPr>
            </w:pPr>
            <w:r>
              <w:rPr>
                <w:rFonts w:cs="Arial"/>
              </w:rPr>
              <w:t>O</w:t>
            </w:r>
            <w:r>
              <w:rPr>
                <w:rFonts w:cs="Arial"/>
              </w:rPr>
              <w:t>n the Documentation page in the Tool</w:t>
            </w:r>
            <w:r>
              <w:rPr>
                <w:rFonts w:cs="Arial"/>
              </w:rPr>
              <w:t>, t</w:t>
            </w:r>
            <w:r w:rsidRPr="007F1741">
              <w:rPr>
                <w:rFonts w:cs="Arial"/>
              </w:rPr>
              <w:t xml:space="preserve">he link </w:t>
            </w:r>
            <w:r>
              <w:rPr>
                <w:rFonts w:cs="Arial"/>
              </w:rPr>
              <w:t xml:space="preserve">provided </w:t>
            </w:r>
            <w:r w:rsidRPr="007F1741">
              <w:rPr>
                <w:rFonts w:cs="Arial"/>
              </w:rPr>
              <w:t xml:space="preserve">to the </w:t>
            </w:r>
            <w:r w:rsidRPr="007F1741">
              <w:rPr>
                <w:rFonts w:cs="Arial"/>
                <w:color w:val="000000"/>
                <w:shd w:val="clear" w:color="auto" w:fill="F9F9F9"/>
              </w:rPr>
              <w:t>ONC 2015 Edition Immunization Test Procedure</w:t>
            </w:r>
            <w:r w:rsidRPr="007F1741">
              <w:rPr>
                <w:rFonts w:cs="Arial"/>
                <w:color w:val="000000"/>
                <w:shd w:val="clear" w:color="auto" w:fill="F9F9F9"/>
              </w:rPr>
              <w:t xml:space="preserve"> document </w:t>
            </w:r>
            <w:r>
              <w:rPr>
                <w:rFonts w:cs="Arial"/>
                <w:color w:val="000000"/>
                <w:shd w:val="clear" w:color="auto" w:fill="F9F9F9"/>
              </w:rPr>
              <w:t xml:space="preserve">incorrectly displays the version of this document from 10/27/15 that was posted </w:t>
            </w:r>
            <w:r w:rsidR="00296539">
              <w:rPr>
                <w:rFonts w:cs="Arial"/>
                <w:color w:val="000000"/>
                <w:shd w:val="clear" w:color="auto" w:fill="F9F9F9"/>
              </w:rPr>
              <w:t xml:space="preserve">by ONC </w:t>
            </w:r>
            <w:r>
              <w:rPr>
                <w:rFonts w:cs="Arial"/>
                <w:color w:val="000000"/>
                <w:shd w:val="clear" w:color="auto" w:fill="F9F9F9"/>
              </w:rPr>
              <w:t>for public comment.</w:t>
            </w:r>
          </w:p>
        </w:tc>
        <w:tc>
          <w:tcPr>
            <w:tcW w:w="6780" w:type="dxa"/>
          </w:tcPr>
          <w:p w14:paraId="7AE1B5B7" w14:textId="3E0B6708" w:rsidR="007F1741" w:rsidRPr="007D6B22" w:rsidRDefault="007F1741" w:rsidP="00716FEB">
            <w:r>
              <w:t xml:space="preserve">The link has been changed to display the </w:t>
            </w:r>
            <w:r w:rsidRPr="007F1741">
              <w:rPr>
                <w:rFonts w:cs="Arial"/>
                <w:color w:val="000000"/>
                <w:shd w:val="clear" w:color="auto" w:fill="F9F9F9"/>
              </w:rPr>
              <w:t>ONC 2015 Edition Immunization Test Procedure document</w:t>
            </w:r>
            <w:r>
              <w:rPr>
                <w:rFonts w:cs="Arial"/>
                <w:color w:val="000000"/>
                <w:shd w:val="clear" w:color="auto" w:fill="F9F9F9"/>
              </w:rPr>
              <w:t xml:space="preserve"> that is posted on the ONC </w:t>
            </w:r>
            <w:r>
              <w:rPr>
                <w:lang w:val="en"/>
              </w:rPr>
              <w:t>2015 Edition Test Method</w:t>
            </w:r>
            <w:r>
              <w:rPr>
                <w:lang w:val="en"/>
              </w:rPr>
              <w:t xml:space="preserve"> page.</w:t>
            </w:r>
          </w:p>
        </w:tc>
      </w:tr>
    </w:tbl>
    <w:p w14:paraId="0374923E" w14:textId="77777777" w:rsidR="00FA2AE9" w:rsidRPr="004C6FAF" w:rsidRDefault="00FA2AE9" w:rsidP="004C6FAF">
      <w:pPr>
        <w:rPr>
          <w:b/>
        </w:rPr>
      </w:pPr>
    </w:p>
    <w:p w14:paraId="2A1AF5DE" w14:textId="77777777" w:rsidR="00B015D8" w:rsidRPr="001424E9" w:rsidRDefault="00B015D8" w:rsidP="00CD7F5B">
      <w:pPr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6158"/>
        <w:gridCol w:w="6797"/>
      </w:tblGrid>
      <w:tr w:rsidR="00D30DDD" w14:paraId="40D09288" w14:textId="77777777" w:rsidTr="00D264AD">
        <w:trPr>
          <w:cantSplit/>
          <w:tblHeader/>
        </w:trPr>
        <w:tc>
          <w:tcPr>
            <w:tcW w:w="6158" w:type="dxa"/>
          </w:tcPr>
          <w:p w14:paraId="675718F7" w14:textId="77777777" w:rsidR="00D30DDD" w:rsidRPr="00990721" w:rsidRDefault="00D30DDD" w:rsidP="003B76A2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6797" w:type="dxa"/>
          </w:tcPr>
          <w:p w14:paraId="1365BB56" w14:textId="77777777" w:rsidR="00D30DDD" w:rsidRPr="00990721" w:rsidRDefault="00D30DDD" w:rsidP="003B76A2">
            <w:pPr>
              <w:rPr>
                <w:b/>
              </w:rPr>
            </w:pPr>
            <w:r>
              <w:rPr>
                <w:b/>
              </w:rPr>
              <w:t>Resolution</w:t>
            </w:r>
          </w:p>
        </w:tc>
      </w:tr>
      <w:tr w:rsidR="00D30DDD" w14:paraId="0D592ADF" w14:textId="77777777" w:rsidTr="00D264AD">
        <w:trPr>
          <w:cantSplit/>
        </w:trPr>
        <w:tc>
          <w:tcPr>
            <w:tcW w:w="6158" w:type="dxa"/>
          </w:tcPr>
          <w:p w14:paraId="1C923F67" w14:textId="6F88B72C" w:rsidR="00D30DDD" w:rsidRPr="00694D18" w:rsidRDefault="00694D18" w:rsidP="00BB1D01">
            <w:pPr>
              <w:pStyle w:val="PlainText"/>
              <w:rPr>
                <w:rFonts w:asciiTheme="minorHAnsi" w:hAnsiTheme="minorHAnsi"/>
                <w:sz w:val="22"/>
                <w:szCs w:val="22"/>
              </w:rPr>
            </w:pPr>
            <w:r w:rsidRPr="00694D18"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6797" w:type="dxa"/>
          </w:tcPr>
          <w:p w14:paraId="31971DA6" w14:textId="292B4866" w:rsidR="00BB1D01" w:rsidRPr="00BB1D01" w:rsidRDefault="00BB1D01" w:rsidP="00C247EF">
            <w:pPr>
              <w:pStyle w:val="PlainText"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</w:tr>
    </w:tbl>
    <w:p w14:paraId="30CE5E04" w14:textId="77777777" w:rsidR="00EA21F7" w:rsidRPr="00AC6135" w:rsidRDefault="00EA21F7" w:rsidP="00AC6135">
      <w:pPr>
        <w:rPr>
          <w:b/>
        </w:rPr>
      </w:pPr>
    </w:p>
    <w:p w14:paraId="77F99159" w14:textId="7E2F63D6" w:rsidR="00CD7F5B" w:rsidRPr="00CD7F5B" w:rsidRDefault="00CD7F5B" w:rsidP="00CD7F5B">
      <w:pPr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CD7F5B" w:rsidRPr="00990721" w14:paraId="7BC76F59" w14:textId="77777777" w:rsidTr="00EA21F7">
        <w:trPr>
          <w:trHeight w:val="260"/>
        </w:trPr>
        <w:tc>
          <w:tcPr>
            <w:tcW w:w="13068" w:type="dxa"/>
          </w:tcPr>
          <w:p w14:paraId="3C49F1A1" w14:textId="37C103C0" w:rsidR="00CD7F5B" w:rsidRPr="006170F0" w:rsidRDefault="00694D18" w:rsidP="00DF0531">
            <w:pPr>
              <w:pStyle w:val="NormalWeb"/>
              <w:shd w:val="clear" w:color="auto" w:fill="FFFFFF"/>
              <w:rPr>
                <w:rFonts w:asciiTheme="minorHAnsi" w:hAnsiTheme="minorHAnsi"/>
                <w:sz w:val="22"/>
                <w:szCs w:val="20"/>
              </w:rPr>
            </w:pPr>
            <w:r w:rsidRPr="006170F0">
              <w:rPr>
                <w:rFonts w:asciiTheme="minorHAnsi" w:hAnsiTheme="minorHAnsi"/>
                <w:sz w:val="22"/>
                <w:szCs w:val="22"/>
              </w:rPr>
              <w:t xml:space="preserve">The Account Login feature has been changed so the </w:t>
            </w:r>
            <w:r w:rsidR="00817F5B" w:rsidRPr="006170F0">
              <w:rPr>
                <w:rFonts w:asciiTheme="minorHAnsi" w:hAnsiTheme="minorHAnsi"/>
                <w:sz w:val="22"/>
                <w:szCs w:val="22"/>
              </w:rPr>
              <w:t xml:space="preserve">Username and </w:t>
            </w:r>
            <w:proofErr w:type="spellStart"/>
            <w:r w:rsidRPr="006170F0">
              <w:rPr>
                <w:rFonts w:asciiTheme="minorHAnsi" w:hAnsiTheme="minorHAnsi"/>
                <w:sz w:val="22"/>
                <w:szCs w:val="22"/>
              </w:rPr>
              <w:t>FacilityID</w:t>
            </w:r>
            <w:proofErr w:type="spellEnd"/>
            <w:r w:rsidRPr="006170F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817F5B" w:rsidRPr="006170F0">
              <w:rPr>
                <w:rFonts w:asciiTheme="minorHAnsi" w:hAnsiTheme="minorHAnsi"/>
                <w:sz w:val="22"/>
                <w:szCs w:val="22"/>
              </w:rPr>
              <w:t xml:space="preserve">values </w:t>
            </w:r>
            <w:r w:rsidRPr="006170F0">
              <w:rPr>
                <w:rFonts w:asciiTheme="minorHAnsi" w:hAnsiTheme="minorHAnsi"/>
                <w:sz w:val="22"/>
                <w:szCs w:val="22"/>
              </w:rPr>
              <w:t xml:space="preserve">in the Sender (NIST Assigned) Transport Settings </w:t>
            </w:r>
            <w:r w:rsidR="00817F5B" w:rsidRPr="006170F0">
              <w:rPr>
                <w:rFonts w:asciiTheme="minorHAnsi" w:hAnsiTheme="minorHAnsi"/>
                <w:sz w:val="22"/>
                <w:szCs w:val="22"/>
              </w:rPr>
              <w:t>are</w:t>
            </w:r>
            <w:r w:rsidRPr="006170F0">
              <w:rPr>
                <w:rFonts w:asciiTheme="minorHAnsi" w:hAnsiTheme="minorHAnsi"/>
                <w:sz w:val="22"/>
                <w:szCs w:val="22"/>
              </w:rPr>
              <w:t xml:space="preserve"> the same as the Username that i</w:t>
            </w:r>
            <w:r w:rsidR="00817F5B" w:rsidRPr="006170F0">
              <w:rPr>
                <w:rFonts w:asciiTheme="minorHAnsi" w:hAnsiTheme="minorHAnsi"/>
                <w:sz w:val="22"/>
                <w:szCs w:val="22"/>
              </w:rPr>
              <w:t>s entered by the user when the A</w:t>
            </w:r>
            <w:r w:rsidRPr="006170F0">
              <w:rPr>
                <w:rFonts w:asciiTheme="minorHAnsi" w:hAnsiTheme="minorHAnsi"/>
                <w:sz w:val="22"/>
                <w:szCs w:val="22"/>
              </w:rPr>
              <w:t>ccount is created.</w:t>
            </w:r>
            <w:r w:rsidR="00E22E3E" w:rsidRPr="006170F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971447" w:rsidRPr="006170F0">
              <w:rPr>
                <w:rFonts w:asciiTheme="minorHAnsi" w:hAnsiTheme="minorHAnsi"/>
                <w:sz w:val="22"/>
                <w:szCs w:val="22"/>
              </w:rPr>
              <w:t xml:space="preserve">The Tool populates the Username and </w:t>
            </w:r>
            <w:proofErr w:type="spellStart"/>
            <w:r w:rsidR="00971447" w:rsidRPr="006170F0">
              <w:rPr>
                <w:rFonts w:asciiTheme="minorHAnsi" w:hAnsiTheme="minorHAnsi"/>
                <w:sz w:val="22"/>
                <w:szCs w:val="22"/>
              </w:rPr>
              <w:t>FacilityID</w:t>
            </w:r>
            <w:proofErr w:type="spellEnd"/>
            <w:r w:rsidR="00971447" w:rsidRPr="006170F0">
              <w:rPr>
                <w:rFonts w:asciiTheme="minorHAnsi" w:hAnsiTheme="minorHAnsi"/>
                <w:sz w:val="22"/>
                <w:szCs w:val="22"/>
              </w:rPr>
              <w:t xml:space="preserve"> fields with t</w:t>
            </w:r>
            <w:r w:rsidR="00E22E3E" w:rsidRPr="006170F0">
              <w:rPr>
                <w:rFonts w:asciiTheme="minorHAnsi" w:hAnsiTheme="minorHAnsi"/>
                <w:sz w:val="22"/>
                <w:szCs w:val="22"/>
              </w:rPr>
              <w:t xml:space="preserve">his </w:t>
            </w:r>
            <w:r w:rsidR="00817F5B" w:rsidRPr="006170F0">
              <w:rPr>
                <w:rFonts w:asciiTheme="minorHAnsi" w:hAnsiTheme="minorHAnsi"/>
                <w:sz w:val="22"/>
                <w:szCs w:val="22"/>
              </w:rPr>
              <w:t xml:space="preserve">Username </w:t>
            </w:r>
            <w:r w:rsidR="00971447" w:rsidRPr="006170F0">
              <w:rPr>
                <w:rFonts w:asciiTheme="minorHAnsi" w:hAnsiTheme="minorHAnsi"/>
                <w:sz w:val="22"/>
                <w:szCs w:val="22"/>
              </w:rPr>
              <w:t xml:space="preserve">by </w:t>
            </w:r>
            <w:r w:rsidR="00817F5B" w:rsidRPr="006170F0">
              <w:rPr>
                <w:rFonts w:asciiTheme="minorHAnsi" w:hAnsiTheme="minorHAnsi"/>
                <w:sz w:val="22"/>
                <w:szCs w:val="22"/>
              </w:rPr>
              <w:t>default</w:t>
            </w:r>
            <w:r w:rsidR="00DF0531">
              <w:rPr>
                <w:rFonts w:asciiTheme="minorHAnsi" w:hAnsiTheme="minorHAnsi"/>
                <w:sz w:val="22"/>
                <w:szCs w:val="22"/>
              </w:rPr>
              <w:t xml:space="preserve"> and saves the information.</w:t>
            </w:r>
          </w:p>
        </w:tc>
      </w:tr>
    </w:tbl>
    <w:p w14:paraId="2D079C93" w14:textId="77777777" w:rsidR="00D264AD" w:rsidRPr="00AC6135" w:rsidRDefault="00D264AD" w:rsidP="00AC6135">
      <w:pPr>
        <w:rPr>
          <w:b/>
        </w:rPr>
      </w:pPr>
    </w:p>
    <w:p w14:paraId="180E74F8" w14:textId="77777777" w:rsidR="00513518" w:rsidRPr="00056813" w:rsidRDefault="00513518" w:rsidP="00CD7F5B">
      <w:pPr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Future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9803"/>
      </w:tblGrid>
      <w:tr w:rsidR="00513518" w14:paraId="5252EC30" w14:textId="77777777" w:rsidTr="0052426D">
        <w:trPr>
          <w:cantSplit/>
          <w:tblHeader/>
        </w:trPr>
        <w:tc>
          <w:tcPr>
            <w:tcW w:w="3168" w:type="dxa"/>
          </w:tcPr>
          <w:p w14:paraId="7DA9FF18" w14:textId="77777777" w:rsidR="00513518" w:rsidRPr="00412050" w:rsidRDefault="00513518" w:rsidP="00B801FE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900" w:type="dxa"/>
          </w:tcPr>
          <w:p w14:paraId="7DAC33FA" w14:textId="77777777" w:rsidR="00513518" w:rsidRPr="00412050" w:rsidRDefault="00513518" w:rsidP="00B801FE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513518" w:rsidRPr="0024144B" w14:paraId="4C86BB59" w14:textId="77777777" w:rsidTr="0052426D">
        <w:trPr>
          <w:cantSplit/>
        </w:trPr>
        <w:tc>
          <w:tcPr>
            <w:tcW w:w="3168" w:type="dxa"/>
          </w:tcPr>
          <w:p w14:paraId="523BDCB5" w14:textId="77777777" w:rsidR="00513518" w:rsidRPr="0024144B" w:rsidRDefault="00513518" w:rsidP="00B801FE"/>
        </w:tc>
        <w:tc>
          <w:tcPr>
            <w:tcW w:w="9900" w:type="dxa"/>
          </w:tcPr>
          <w:p w14:paraId="5D8EDB7A" w14:textId="77777777" w:rsidR="00513518" w:rsidRPr="0024144B" w:rsidRDefault="00513518" w:rsidP="00504913"/>
        </w:tc>
      </w:tr>
    </w:tbl>
    <w:p w14:paraId="67CE31FA" w14:textId="77777777" w:rsidR="00513518" w:rsidRDefault="00513518" w:rsidP="00513518">
      <w:pPr>
        <w:rPr>
          <w:b/>
        </w:rPr>
      </w:pPr>
    </w:p>
    <w:sectPr w:rsidR="00513518" w:rsidSect="001769C2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640E47" w14:textId="77777777" w:rsidR="00B25EB3" w:rsidRDefault="00B25EB3" w:rsidP="0052426D">
      <w:pPr>
        <w:spacing w:after="0" w:line="240" w:lineRule="auto"/>
      </w:pPr>
      <w:r>
        <w:separator/>
      </w:r>
    </w:p>
  </w:endnote>
  <w:endnote w:type="continuationSeparator" w:id="0">
    <w:p w14:paraId="174C201E" w14:textId="77777777" w:rsidR="00B25EB3" w:rsidRDefault="00B25EB3" w:rsidP="0052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1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B287C" w14:textId="07C48FE5" w:rsidR="00990721" w:rsidRDefault="009907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239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3D1C6C" w14:textId="77777777" w:rsidR="00990721" w:rsidRDefault="009907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4CEDA9" w14:textId="77777777" w:rsidR="00B25EB3" w:rsidRDefault="00B25EB3" w:rsidP="0052426D">
      <w:pPr>
        <w:spacing w:after="0" w:line="240" w:lineRule="auto"/>
      </w:pPr>
      <w:r>
        <w:separator/>
      </w:r>
    </w:p>
  </w:footnote>
  <w:footnote w:type="continuationSeparator" w:id="0">
    <w:p w14:paraId="714F057C" w14:textId="77777777" w:rsidR="00B25EB3" w:rsidRDefault="00B25EB3" w:rsidP="0052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E0C12"/>
    <w:multiLevelType w:val="hybridMultilevel"/>
    <w:tmpl w:val="9990BE6E"/>
    <w:lvl w:ilvl="0" w:tplc="C94268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25F4F"/>
    <w:multiLevelType w:val="hybridMultilevel"/>
    <w:tmpl w:val="4AD8D5EC"/>
    <w:lvl w:ilvl="0" w:tplc="13FAB990">
      <w:start w:val="3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87AB3"/>
    <w:multiLevelType w:val="hybridMultilevel"/>
    <w:tmpl w:val="8F5A17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E752C2"/>
    <w:multiLevelType w:val="hybridMultilevel"/>
    <w:tmpl w:val="50CC2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CF30CC"/>
    <w:multiLevelType w:val="multilevel"/>
    <w:tmpl w:val="488203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FE7E04"/>
    <w:multiLevelType w:val="hybridMultilevel"/>
    <w:tmpl w:val="7E3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14D60"/>
    <w:multiLevelType w:val="hybridMultilevel"/>
    <w:tmpl w:val="591A9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027198"/>
    <w:multiLevelType w:val="hybridMultilevel"/>
    <w:tmpl w:val="23F867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E153F72"/>
    <w:multiLevelType w:val="hybridMultilevel"/>
    <w:tmpl w:val="3D5090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468"/>
    <w:rsid w:val="00002AD8"/>
    <w:rsid w:val="000122ED"/>
    <w:rsid w:val="000239C2"/>
    <w:rsid w:val="000242D1"/>
    <w:rsid w:val="000335DF"/>
    <w:rsid w:val="000540C7"/>
    <w:rsid w:val="00056813"/>
    <w:rsid w:val="000652F0"/>
    <w:rsid w:val="00072390"/>
    <w:rsid w:val="00083E54"/>
    <w:rsid w:val="000A4FCB"/>
    <w:rsid w:val="000A6147"/>
    <w:rsid w:val="000C494C"/>
    <w:rsid w:val="000D419B"/>
    <w:rsid w:val="000E474D"/>
    <w:rsid w:val="000E75EF"/>
    <w:rsid w:val="000F4ABD"/>
    <w:rsid w:val="00103E69"/>
    <w:rsid w:val="00110649"/>
    <w:rsid w:val="0011302B"/>
    <w:rsid w:val="00113599"/>
    <w:rsid w:val="001210E9"/>
    <w:rsid w:val="00133430"/>
    <w:rsid w:val="00136961"/>
    <w:rsid w:val="001424E9"/>
    <w:rsid w:val="00145B42"/>
    <w:rsid w:val="00152200"/>
    <w:rsid w:val="00155512"/>
    <w:rsid w:val="001564B8"/>
    <w:rsid w:val="00172DD9"/>
    <w:rsid w:val="001769C2"/>
    <w:rsid w:val="00180B00"/>
    <w:rsid w:val="001901D9"/>
    <w:rsid w:val="001C5AD7"/>
    <w:rsid w:val="001C6347"/>
    <w:rsid w:val="001C74BB"/>
    <w:rsid w:val="001D0184"/>
    <w:rsid w:val="001E434B"/>
    <w:rsid w:val="001E601F"/>
    <w:rsid w:val="001F2221"/>
    <w:rsid w:val="0021198E"/>
    <w:rsid w:val="002228FA"/>
    <w:rsid w:val="00223ACB"/>
    <w:rsid w:val="00240095"/>
    <w:rsid w:val="0024144B"/>
    <w:rsid w:val="0025692D"/>
    <w:rsid w:val="002830DF"/>
    <w:rsid w:val="0028317E"/>
    <w:rsid w:val="00283DD6"/>
    <w:rsid w:val="002857E5"/>
    <w:rsid w:val="0029034D"/>
    <w:rsid w:val="002961A4"/>
    <w:rsid w:val="00296539"/>
    <w:rsid w:val="002E0387"/>
    <w:rsid w:val="002F3632"/>
    <w:rsid w:val="002F6BE3"/>
    <w:rsid w:val="00304A21"/>
    <w:rsid w:val="00307A0C"/>
    <w:rsid w:val="0031490F"/>
    <w:rsid w:val="00314C76"/>
    <w:rsid w:val="0032162C"/>
    <w:rsid w:val="003502D7"/>
    <w:rsid w:val="003529D6"/>
    <w:rsid w:val="003565AB"/>
    <w:rsid w:val="003578BA"/>
    <w:rsid w:val="003748E1"/>
    <w:rsid w:val="00375185"/>
    <w:rsid w:val="003B0D03"/>
    <w:rsid w:val="003C2EAA"/>
    <w:rsid w:val="003C7EF2"/>
    <w:rsid w:val="003D0654"/>
    <w:rsid w:val="003D0F90"/>
    <w:rsid w:val="003D6411"/>
    <w:rsid w:val="003E6508"/>
    <w:rsid w:val="003E7225"/>
    <w:rsid w:val="003F4B58"/>
    <w:rsid w:val="003F73FF"/>
    <w:rsid w:val="00402B77"/>
    <w:rsid w:val="00412050"/>
    <w:rsid w:val="00420C09"/>
    <w:rsid w:val="00421D5C"/>
    <w:rsid w:val="00423A49"/>
    <w:rsid w:val="0042725B"/>
    <w:rsid w:val="00440FB2"/>
    <w:rsid w:val="00446501"/>
    <w:rsid w:val="0046236D"/>
    <w:rsid w:val="00473634"/>
    <w:rsid w:val="0047576C"/>
    <w:rsid w:val="0048361B"/>
    <w:rsid w:val="004A4D74"/>
    <w:rsid w:val="004C1B86"/>
    <w:rsid w:val="004C1E40"/>
    <w:rsid w:val="004C6FAF"/>
    <w:rsid w:val="004E1A4F"/>
    <w:rsid w:val="004F1848"/>
    <w:rsid w:val="005013C1"/>
    <w:rsid w:val="00504913"/>
    <w:rsid w:val="00511023"/>
    <w:rsid w:val="0051113C"/>
    <w:rsid w:val="00513518"/>
    <w:rsid w:val="0052426D"/>
    <w:rsid w:val="00532281"/>
    <w:rsid w:val="00540E7C"/>
    <w:rsid w:val="00560541"/>
    <w:rsid w:val="005674D9"/>
    <w:rsid w:val="00581F40"/>
    <w:rsid w:val="005A0B92"/>
    <w:rsid w:val="005A3769"/>
    <w:rsid w:val="005A44AA"/>
    <w:rsid w:val="005C333E"/>
    <w:rsid w:val="005D09F5"/>
    <w:rsid w:val="005D3372"/>
    <w:rsid w:val="005E2379"/>
    <w:rsid w:val="006170F0"/>
    <w:rsid w:val="006324F8"/>
    <w:rsid w:val="006415A8"/>
    <w:rsid w:val="006477DB"/>
    <w:rsid w:val="00650C7B"/>
    <w:rsid w:val="00653707"/>
    <w:rsid w:val="00671FF0"/>
    <w:rsid w:val="00675BE9"/>
    <w:rsid w:val="00676228"/>
    <w:rsid w:val="00687C42"/>
    <w:rsid w:val="00694D18"/>
    <w:rsid w:val="006A22DD"/>
    <w:rsid w:val="006B0FFC"/>
    <w:rsid w:val="006B28CF"/>
    <w:rsid w:val="006C4D6F"/>
    <w:rsid w:val="006D2922"/>
    <w:rsid w:val="006D36BE"/>
    <w:rsid w:val="006E2297"/>
    <w:rsid w:val="006F2545"/>
    <w:rsid w:val="006F5E50"/>
    <w:rsid w:val="0071206C"/>
    <w:rsid w:val="0071617A"/>
    <w:rsid w:val="00716636"/>
    <w:rsid w:val="00716FEB"/>
    <w:rsid w:val="00727B20"/>
    <w:rsid w:val="00731274"/>
    <w:rsid w:val="00741AE6"/>
    <w:rsid w:val="00743ED2"/>
    <w:rsid w:val="007461BD"/>
    <w:rsid w:val="00746F0F"/>
    <w:rsid w:val="00752FDA"/>
    <w:rsid w:val="00775615"/>
    <w:rsid w:val="007A0CFD"/>
    <w:rsid w:val="007B2595"/>
    <w:rsid w:val="007B35CA"/>
    <w:rsid w:val="007C017B"/>
    <w:rsid w:val="007C2E67"/>
    <w:rsid w:val="007C4AC1"/>
    <w:rsid w:val="007D23EA"/>
    <w:rsid w:val="007D3827"/>
    <w:rsid w:val="007D6B22"/>
    <w:rsid w:val="007E11A0"/>
    <w:rsid w:val="007E3512"/>
    <w:rsid w:val="007E598C"/>
    <w:rsid w:val="007F1741"/>
    <w:rsid w:val="007F5F70"/>
    <w:rsid w:val="00800AB2"/>
    <w:rsid w:val="00817F5B"/>
    <w:rsid w:val="00827CE9"/>
    <w:rsid w:val="00831CCE"/>
    <w:rsid w:val="008353FF"/>
    <w:rsid w:val="00835983"/>
    <w:rsid w:val="008415D0"/>
    <w:rsid w:val="0084647E"/>
    <w:rsid w:val="00853CB2"/>
    <w:rsid w:val="00887A91"/>
    <w:rsid w:val="008926A4"/>
    <w:rsid w:val="008A17B6"/>
    <w:rsid w:val="008A7210"/>
    <w:rsid w:val="008B0126"/>
    <w:rsid w:val="008B2C07"/>
    <w:rsid w:val="008B3AFA"/>
    <w:rsid w:val="008C024F"/>
    <w:rsid w:val="008E2BC0"/>
    <w:rsid w:val="008E6063"/>
    <w:rsid w:val="0092742D"/>
    <w:rsid w:val="0093347F"/>
    <w:rsid w:val="00935B83"/>
    <w:rsid w:val="00943692"/>
    <w:rsid w:val="009462EF"/>
    <w:rsid w:val="0096699F"/>
    <w:rsid w:val="00970E3A"/>
    <w:rsid w:val="00971447"/>
    <w:rsid w:val="00972972"/>
    <w:rsid w:val="00973F9F"/>
    <w:rsid w:val="00987C70"/>
    <w:rsid w:val="00990721"/>
    <w:rsid w:val="009A5B26"/>
    <w:rsid w:val="009D6046"/>
    <w:rsid w:val="009E0545"/>
    <w:rsid w:val="009E36A0"/>
    <w:rsid w:val="00A03454"/>
    <w:rsid w:val="00A05EBA"/>
    <w:rsid w:val="00A1745C"/>
    <w:rsid w:val="00A25CE4"/>
    <w:rsid w:val="00A26A88"/>
    <w:rsid w:val="00A27D12"/>
    <w:rsid w:val="00A33741"/>
    <w:rsid w:val="00A41FB0"/>
    <w:rsid w:val="00A505D3"/>
    <w:rsid w:val="00A639E1"/>
    <w:rsid w:val="00A732B0"/>
    <w:rsid w:val="00A82912"/>
    <w:rsid w:val="00AB2DBE"/>
    <w:rsid w:val="00AB5EB7"/>
    <w:rsid w:val="00AC37E9"/>
    <w:rsid w:val="00AC6135"/>
    <w:rsid w:val="00AD74D7"/>
    <w:rsid w:val="00AE73EE"/>
    <w:rsid w:val="00AF088B"/>
    <w:rsid w:val="00B0037B"/>
    <w:rsid w:val="00B015D8"/>
    <w:rsid w:val="00B06B6D"/>
    <w:rsid w:val="00B14F81"/>
    <w:rsid w:val="00B16F69"/>
    <w:rsid w:val="00B2114C"/>
    <w:rsid w:val="00B24458"/>
    <w:rsid w:val="00B25EB3"/>
    <w:rsid w:val="00B26824"/>
    <w:rsid w:val="00B2742A"/>
    <w:rsid w:val="00B45B9E"/>
    <w:rsid w:val="00B6219A"/>
    <w:rsid w:val="00B62711"/>
    <w:rsid w:val="00B649B7"/>
    <w:rsid w:val="00B738AE"/>
    <w:rsid w:val="00B754E5"/>
    <w:rsid w:val="00B870BC"/>
    <w:rsid w:val="00B87897"/>
    <w:rsid w:val="00B93CE7"/>
    <w:rsid w:val="00BA31AB"/>
    <w:rsid w:val="00BB14FB"/>
    <w:rsid w:val="00BB1D01"/>
    <w:rsid w:val="00BB4B5C"/>
    <w:rsid w:val="00BD303D"/>
    <w:rsid w:val="00BE1963"/>
    <w:rsid w:val="00BF754A"/>
    <w:rsid w:val="00C06F37"/>
    <w:rsid w:val="00C20ACC"/>
    <w:rsid w:val="00C24412"/>
    <w:rsid w:val="00C247EF"/>
    <w:rsid w:val="00C410A6"/>
    <w:rsid w:val="00C51E10"/>
    <w:rsid w:val="00C53491"/>
    <w:rsid w:val="00C65CB5"/>
    <w:rsid w:val="00C758DB"/>
    <w:rsid w:val="00C81B60"/>
    <w:rsid w:val="00C958AB"/>
    <w:rsid w:val="00C96250"/>
    <w:rsid w:val="00CB5224"/>
    <w:rsid w:val="00CB6B56"/>
    <w:rsid w:val="00CD0089"/>
    <w:rsid w:val="00CD7F5B"/>
    <w:rsid w:val="00CE22AE"/>
    <w:rsid w:val="00CE778B"/>
    <w:rsid w:val="00D00908"/>
    <w:rsid w:val="00D0772A"/>
    <w:rsid w:val="00D15DE6"/>
    <w:rsid w:val="00D1685F"/>
    <w:rsid w:val="00D232F8"/>
    <w:rsid w:val="00D264AD"/>
    <w:rsid w:val="00D30DDD"/>
    <w:rsid w:val="00D31B6F"/>
    <w:rsid w:val="00D3548A"/>
    <w:rsid w:val="00D57404"/>
    <w:rsid w:val="00D611A0"/>
    <w:rsid w:val="00D61BE8"/>
    <w:rsid w:val="00D65A11"/>
    <w:rsid w:val="00D87D51"/>
    <w:rsid w:val="00D90F00"/>
    <w:rsid w:val="00D96E90"/>
    <w:rsid w:val="00DA0190"/>
    <w:rsid w:val="00DA1775"/>
    <w:rsid w:val="00DA2EEC"/>
    <w:rsid w:val="00DA3E63"/>
    <w:rsid w:val="00DA7C66"/>
    <w:rsid w:val="00DB5AB5"/>
    <w:rsid w:val="00DC5E7E"/>
    <w:rsid w:val="00DD256B"/>
    <w:rsid w:val="00DF0531"/>
    <w:rsid w:val="00DF2FE2"/>
    <w:rsid w:val="00E03C4B"/>
    <w:rsid w:val="00E04D57"/>
    <w:rsid w:val="00E2237D"/>
    <w:rsid w:val="00E22E3E"/>
    <w:rsid w:val="00E321EE"/>
    <w:rsid w:val="00E419D0"/>
    <w:rsid w:val="00E47154"/>
    <w:rsid w:val="00E52FC4"/>
    <w:rsid w:val="00E72D77"/>
    <w:rsid w:val="00E751C0"/>
    <w:rsid w:val="00E84038"/>
    <w:rsid w:val="00E85EB8"/>
    <w:rsid w:val="00E87657"/>
    <w:rsid w:val="00E95908"/>
    <w:rsid w:val="00EA21F7"/>
    <w:rsid w:val="00EB195E"/>
    <w:rsid w:val="00F00477"/>
    <w:rsid w:val="00F07B93"/>
    <w:rsid w:val="00F1053D"/>
    <w:rsid w:val="00F13A05"/>
    <w:rsid w:val="00F4306C"/>
    <w:rsid w:val="00F456BB"/>
    <w:rsid w:val="00F466B4"/>
    <w:rsid w:val="00F5003F"/>
    <w:rsid w:val="00F526D8"/>
    <w:rsid w:val="00F73019"/>
    <w:rsid w:val="00F9027A"/>
    <w:rsid w:val="00F91FCB"/>
    <w:rsid w:val="00FA2AE9"/>
    <w:rsid w:val="00FA43CC"/>
    <w:rsid w:val="00FA5D0E"/>
    <w:rsid w:val="00FB5EBD"/>
    <w:rsid w:val="00FD1AE9"/>
    <w:rsid w:val="00FD41FB"/>
    <w:rsid w:val="00FE62A0"/>
    <w:rsid w:val="00FE7365"/>
    <w:rsid w:val="00FF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B18C7"/>
  <w15:docId w15:val="{73827AC9-FA69-4418-8427-2171AA30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9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446501"/>
    <w:rPr>
      <w:color w:val="0000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6D"/>
  </w:style>
  <w:style w:type="paragraph" w:styleId="Footer">
    <w:name w:val="footer"/>
    <w:basedOn w:val="Normal"/>
    <w:link w:val="Foot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6D"/>
  </w:style>
  <w:style w:type="character" w:styleId="CommentReference">
    <w:name w:val="annotation reference"/>
    <w:basedOn w:val="DefaultParagraphFont"/>
    <w:uiPriority w:val="99"/>
    <w:semiHidden/>
    <w:unhideWhenUsed/>
    <w:rsid w:val="00C20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44B"/>
    <w:pPr>
      <w:ind w:left="720"/>
      <w:contextualSpacing/>
    </w:pPr>
  </w:style>
  <w:style w:type="character" w:customStyle="1" w:styleId="js-issue-title">
    <w:name w:val="js-issue-title"/>
    <w:basedOn w:val="DefaultParagraphFont"/>
    <w:rsid w:val="000E474D"/>
  </w:style>
  <w:style w:type="paragraph" w:styleId="NormalWeb">
    <w:name w:val="Normal (Web)"/>
    <w:basedOn w:val="Normal"/>
    <w:uiPriority w:val="99"/>
    <w:unhideWhenUsed/>
    <w:rsid w:val="00283D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33741"/>
  </w:style>
  <w:style w:type="character" w:customStyle="1" w:styleId="NoSpacingChar">
    <w:name w:val="No Spacing Char"/>
    <w:basedOn w:val="DefaultParagraphFont"/>
    <w:link w:val="NoSpacing"/>
    <w:uiPriority w:val="1"/>
    <w:locked/>
    <w:rsid w:val="00E751C0"/>
    <w:rPr>
      <w:rFonts w:ascii="Calibri Light" w:hAnsi="Calibri Light"/>
    </w:rPr>
  </w:style>
  <w:style w:type="paragraph" w:styleId="NoSpacing">
    <w:name w:val="No Spacing"/>
    <w:basedOn w:val="Normal"/>
    <w:link w:val="NoSpacingChar"/>
    <w:uiPriority w:val="1"/>
    <w:qFormat/>
    <w:rsid w:val="00E751C0"/>
    <w:pPr>
      <w:spacing w:after="0" w:line="240" w:lineRule="auto"/>
    </w:pPr>
    <w:rPr>
      <w:rFonts w:ascii="Calibri Light" w:hAnsi="Calibri Light"/>
    </w:rPr>
  </w:style>
  <w:style w:type="character" w:customStyle="1" w:styleId="indented">
    <w:name w:val="indented"/>
    <w:basedOn w:val="DefaultParagraphFont"/>
    <w:rsid w:val="00C95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13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4486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960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52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168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986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2830416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555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827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251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2194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7854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3987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93735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4183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Taylor, Sheryl L. (Fed)</cp:lastModifiedBy>
  <cp:revision>2</cp:revision>
  <cp:lastPrinted>2016-10-11T15:00:00Z</cp:lastPrinted>
  <dcterms:created xsi:type="dcterms:W3CDTF">2016-10-11T20:22:00Z</dcterms:created>
  <dcterms:modified xsi:type="dcterms:W3CDTF">2016-10-11T20:22:00Z</dcterms:modified>
</cp:coreProperties>
</file>