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506" w14:textId="59F7F6B2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>Version 2.0</w:t>
      </w:r>
      <w:r w:rsidRPr="00FD1DCD">
        <w:rPr>
          <w:b/>
          <w:sz w:val="28"/>
          <w:szCs w:val="28"/>
          <w:u w:val="single"/>
        </w:rPr>
        <w:t>.</w:t>
      </w:r>
      <w:r w:rsidR="00B8454B">
        <w:rPr>
          <w:b/>
          <w:sz w:val="28"/>
          <w:szCs w:val="28"/>
          <w:u w:val="single"/>
        </w:rPr>
        <w:t>1</w:t>
      </w:r>
      <w:r w:rsidR="008B34E9">
        <w:rPr>
          <w:b/>
          <w:sz w:val="28"/>
          <w:szCs w:val="28"/>
          <w:u w:val="single"/>
        </w:rPr>
        <w:t>3</w:t>
      </w:r>
      <w:r w:rsidR="00AC162B">
        <w:rPr>
          <w:b/>
          <w:sz w:val="28"/>
          <w:szCs w:val="28"/>
          <w:u w:val="single"/>
        </w:rPr>
        <w:t xml:space="preserve"> June 22</w:t>
      </w:r>
      <w:r w:rsidRPr="00FD1DCD">
        <w:rPr>
          <w:b/>
          <w:sz w:val="28"/>
          <w:szCs w:val="28"/>
          <w:u w:val="single"/>
        </w:rPr>
        <w:t>, 202</w:t>
      </w:r>
      <w:r w:rsidR="00AC162B">
        <w:rPr>
          <w:b/>
          <w:sz w:val="28"/>
          <w:szCs w:val="28"/>
          <w:u w:val="single"/>
        </w:rPr>
        <w:t>3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E64A3F" w14:paraId="47C7D757" w14:textId="77777777" w:rsidTr="00DC7C90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3" w:name="_Hlk109902283"/>
            <w:bookmarkEnd w:id="0"/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60C7F9E0" w14:textId="5DC2D32A" w:rsidR="00D051B6" w:rsidRPr="00AC162B" w:rsidRDefault="00AC162B" w:rsidP="00AC16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  <w:tc>
          <w:tcPr>
            <w:tcW w:w="5035" w:type="dxa"/>
          </w:tcPr>
          <w:p w14:paraId="72C9EE4C" w14:textId="35BA6B44" w:rsidR="006B4E29" w:rsidRPr="002F6305" w:rsidRDefault="006B4E29" w:rsidP="002F6305">
            <w:pPr>
              <w:rPr>
                <w:rFonts w:eastAsia="Times New Roman" w:cstheme="minorHAnsi"/>
                <w:color w:val="0000FF"/>
              </w:rPr>
            </w:pPr>
          </w:p>
        </w:tc>
      </w:tr>
      <w:bookmarkEnd w:id="3"/>
      <w:tr w:rsidR="00414EB4" w14:paraId="0CFE3942" w14:textId="77777777" w:rsidTr="000A72B2">
        <w:trPr>
          <w:cantSplit/>
        </w:trPr>
        <w:tc>
          <w:tcPr>
            <w:tcW w:w="3060" w:type="dxa"/>
          </w:tcPr>
          <w:p w14:paraId="00025661" w14:textId="57E1E17B" w:rsidR="00414EB4" w:rsidRPr="00AC162B" w:rsidRDefault="00414EB4" w:rsidP="00AC162B">
            <w:pPr>
              <w:ind w:right="-90"/>
            </w:pPr>
            <w:r w:rsidRPr="00AC162B">
              <w:t>ONC 2015 Test Plan</w:t>
            </w:r>
          </w:p>
        </w:tc>
        <w:tc>
          <w:tcPr>
            <w:tcW w:w="5130" w:type="dxa"/>
          </w:tcPr>
          <w:p w14:paraId="58D78EE8" w14:textId="7CBC1E43" w:rsidR="00414EB4" w:rsidRPr="00B21EA4" w:rsidRDefault="00AC162B" w:rsidP="00AC162B">
            <w:pPr>
              <w:rPr>
                <w:rFonts w:eastAsia="Times New Roman" w:cstheme="minorHAnsi"/>
                <w:color w:val="0000FF"/>
              </w:rPr>
            </w:pPr>
            <w:r w:rsidRPr="00E46D5D">
              <w:rPr>
                <w:rFonts w:eastAsia="Times New Roman" w:cstheme="minorHAnsi"/>
              </w:rPr>
              <w:t>None</w:t>
            </w:r>
          </w:p>
        </w:tc>
        <w:tc>
          <w:tcPr>
            <w:tcW w:w="5035" w:type="dxa"/>
          </w:tcPr>
          <w:p w14:paraId="6641FFC6" w14:textId="390CEEEB" w:rsidR="00414EB4" w:rsidRPr="00B21EA4" w:rsidRDefault="00414EB4" w:rsidP="000A72B2">
            <w:pPr>
              <w:ind w:left="292"/>
              <w:rPr>
                <w:color w:val="0000FF"/>
              </w:rPr>
            </w:pPr>
          </w:p>
        </w:tc>
      </w:tr>
      <w:bookmarkEnd w:id="1"/>
      <w:bookmarkEnd w:id="2"/>
    </w:tbl>
    <w:p w14:paraId="7B528EC0" w14:textId="0EDA9437" w:rsidR="00CD2820" w:rsidRDefault="00CD2820"/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4" w:name="_Hlk91502380"/>
      <w:r w:rsidRPr="00651823">
        <w:rPr>
          <w:b/>
          <w:sz w:val="28"/>
          <w:szCs w:val="28"/>
        </w:rPr>
        <w:t>Specific Validation</w:t>
      </w:r>
      <w:bookmarkEnd w:id="4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bookmarkStart w:id="5" w:name="_Hlk138247525"/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2ABD6457" w:rsidR="00C442BA" w:rsidRPr="00572985" w:rsidRDefault="00572985" w:rsidP="00572985">
            <w:pPr>
              <w:rPr>
                <w:rFonts w:eastAsia="Times New Roman"/>
              </w:rPr>
            </w:pPr>
            <w:r w:rsidRPr="00572985">
              <w:t>Constraint</w:t>
            </w:r>
            <w:r w:rsidR="00A20FAA">
              <w:t>s</w:t>
            </w:r>
            <w:r w:rsidRPr="00572985">
              <w:t xml:space="preserve"> file does not contain the right message </w:t>
            </w:r>
            <w:r>
              <w:t>ID</w:t>
            </w:r>
            <w:r w:rsidR="00D83B6C">
              <w:t xml:space="preserve"> </w:t>
            </w:r>
            <w:r w:rsidR="00A20FAA">
              <w:t xml:space="preserve">for the message it is referencing </w:t>
            </w:r>
            <w:r w:rsidR="00D83B6C">
              <w:t>(</w:t>
            </w:r>
            <w:r w:rsidRPr="00572985">
              <w:t xml:space="preserve">a problem that </w:t>
            </w:r>
            <w:r>
              <w:t>occurs</w:t>
            </w:r>
            <w:r w:rsidRPr="00572985">
              <w:t xml:space="preserve"> when either the </w:t>
            </w:r>
            <w:r>
              <w:t xml:space="preserve">profile or </w:t>
            </w:r>
            <w:r w:rsidRPr="00572985">
              <w:t>constraints get update</w:t>
            </w:r>
            <w:r>
              <w:t>d</w:t>
            </w:r>
            <w:r w:rsidRPr="00572985">
              <w:t xml:space="preserve"> in TCAMT </w:t>
            </w:r>
            <w:r>
              <w:t>and</w:t>
            </w:r>
            <w:r w:rsidRPr="00572985">
              <w:t xml:space="preserve"> their IDs get out</w:t>
            </w:r>
            <w:r w:rsidR="00222FC5">
              <w:t>-</w:t>
            </w:r>
            <w:r w:rsidRPr="00572985">
              <w:t>of</w:t>
            </w:r>
            <w:r w:rsidR="00222FC5">
              <w:t>-</w:t>
            </w:r>
            <w:r w:rsidRPr="00572985">
              <w:t>sync</w:t>
            </w:r>
            <w:r w:rsidR="00D83B6C">
              <w:t>)</w:t>
            </w:r>
            <w:r>
              <w:t xml:space="preserve">, which </w:t>
            </w:r>
            <w:r w:rsidR="00D83B6C">
              <w:t xml:space="preserve">is </w:t>
            </w:r>
            <w:r>
              <w:t>caus</w:t>
            </w:r>
            <w:r w:rsidR="00D83B6C">
              <w:t>ing</w:t>
            </w:r>
            <w:r>
              <w:t xml:space="preserve"> </w:t>
            </w:r>
            <w:r w:rsidRPr="00572985">
              <w:t>set</w:t>
            </w:r>
            <w:r>
              <w:t>s</w:t>
            </w:r>
            <w:r w:rsidRPr="00572985">
              <w:t xml:space="preserve"> of constraints on </w:t>
            </w:r>
            <w:r>
              <w:t xml:space="preserve">certain </w:t>
            </w:r>
            <w:r w:rsidRPr="00572985">
              <w:t>message</w:t>
            </w:r>
            <w:r w:rsidR="00A20FAA">
              <w:t>s</w:t>
            </w:r>
            <w:r w:rsidRPr="00572985">
              <w:t xml:space="preserve"> not </w:t>
            </w:r>
            <w:r>
              <w:t xml:space="preserve">to be </w:t>
            </w:r>
            <w:r w:rsidRPr="00572985">
              <w:t>validated</w:t>
            </w:r>
            <w:r>
              <w:t>. E.g.</w:t>
            </w:r>
            <w:r w:rsidR="00DA3060">
              <w:t>,</w:t>
            </w:r>
            <w:r>
              <w:t xml:space="preserve"> t</w:t>
            </w:r>
            <w:r w:rsidRPr="00572985">
              <w:rPr>
                <w:rFonts w:eastAsia="Times New Roman"/>
              </w:rPr>
              <w:t xml:space="preserve">he Validator is not </w:t>
            </w:r>
            <w:r>
              <w:rPr>
                <w:rFonts w:eastAsia="Times New Roman"/>
              </w:rPr>
              <w:t>detecting Categorizations, such as Value-Test Case Fixed, that are assigned to the Data Elements in TCAMT.</w:t>
            </w:r>
          </w:p>
        </w:tc>
        <w:tc>
          <w:tcPr>
            <w:tcW w:w="6655" w:type="dxa"/>
          </w:tcPr>
          <w:p w14:paraId="730B6E9E" w14:textId="147676A4" w:rsidR="00A20FAA" w:rsidRPr="00A20FAA" w:rsidRDefault="00D83B6C" w:rsidP="00A20FAA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  <w:r w:rsidRPr="00AC162B">
              <w:rPr>
                <w:shd w:val="clear" w:color="auto" w:fill="F9F9F9"/>
              </w:rPr>
              <w:t xml:space="preserve">The </w:t>
            </w:r>
            <w:r w:rsidR="00A20FAA" w:rsidRPr="00AC162B">
              <w:rPr>
                <w:shd w:val="clear" w:color="auto" w:fill="F9F9F9"/>
              </w:rPr>
              <w:t>c</w:t>
            </w:r>
            <w:r w:rsidR="00A20FAA" w:rsidRPr="00AC162B">
              <w:t>onstraints file has been modified so it contains the correct message IDs for the messages it’s referencing. Categorizations assigned to the Data Elements via TCAMT are triggering error notifications appropriately.</w:t>
            </w:r>
          </w:p>
        </w:tc>
      </w:tr>
      <w:bookmarkEnd w:id="5"/>
    </w:tbl>
    <w:p w14:paraId="6F976D7C" w14:textId="77777777" w:rsidR="00150FAD" w:rsidRDefault="00150FAD" w:rsidP="001141CD">
      <w:pPr>
        <w:jc w:val="center"/>
        <w:rPr>
          <w:b/>
          <w:sz w:val="28"/>
          <w:szCs w:val="28"/>
        </w:rPr>
      </w:pPr>
    </w:p>
    <w:p w14:paraId="350DB471" w14:textId="0D757F0A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6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E43192" w:rsidRPr="00E43192" w14:paraId="000E39BF" w14:textId="0CB50326" w:rsidTr="001304FF">
        <w:trPr>
          <w:tblHeader/>
        </w:trPr>
        <w:tc>
          <w:tcPr>
            <w:tcW w:w="6570" w:type="dxa"/>
          </w:tcPr>
          <w:p w14:paraId="2DD66BF7" w14:textId="6D729122" w:rsidR="001304FF" w:rsidRPr="00E43192" w:rsidRDefault="00E43192" w:rsidP="00FE6306">
            <w:pPr>
              <w:rPr>
                <w:rFonts w:cstheme="minorHAnsi"/>
              </w:rPr>
            </w:pPr>
            <w:r w:rsidRPr="00E43192">
              <w:rPr>
                <w:rFonts w:cstheme="minorHAnsi"/>
              </w:rPr>
              <w:t>None</w:t>
            </w:r>
          </w:p>
        </w:tc>
        <w:tc>
          <w:tcPr>
            <w:tcW w:w="6655" w:type="dxa"/>
          </w:tcPr>
          <w:p w14:paraId="15F8ACEA" w14:textId="585DF4C1" w:rsidR="001304FF" w:rsidRPr="00E43192" w:rsidRDefault="001304FF" w:rsidP="001304FF">
            <w:pPr>
              <w:rPr>
                <w:rFonts w:cstheme="minorHAnsi"/>
              </w:rPr>
            </w:pPr>
          </w:p>
        </w:tc>
      </w:tr>
      <w:bookmarkEnd w:id="6"/>
    </w:tbl>
    <w:p w14:paraId="3F36B16B" w14:textId="0CF2346D" w:rsidR="002723C8" w:rsidRDefault="002723C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7" w:name="_Hlk504731492"/>
            <w:bookmarkStart w:id="8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rPr>
                <w:rFonts w:cstheme="minorHAnsi"/>
              </w:rPr>
            </w:pPr>
            <w:bookmarkStart w:id="9" w:name="_Hlk503271311"/>
            <w:bookmarkStart w:id="10" w:name="_Hlk504731504"/>
            <w:bookmarkEnd w:id="7"/>
            <w:bookmarkEnd w:id="8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  <w:bookmarkEnd w:id="9"/>
      <w:bookmarkEnd w:id="10"/>
    </w:tbl>
    <w:p w14:paraId="589E0847" w14:textId="77777777" w:rsidR="009A511D" w:rsidRDefault="009A511D" w:rsidP="001141CD">
      <w:pPr>
        <w:jc w:val="center"/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1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F112233" w:rsidR="00430F8C" w:rsidRPr="003174C8" w:rsidRDefault="00E26F59" w:rsidP="001141CD">
            <w:pPr>
              <w:rPr>
                <w:rFonts w:cstheme="minorHAnsi"/>
              </w:rPr>
            </w:pPr>
            <w:r w:rsidRPr="003174C8">
              <w:rPr>
                <w:rFonts w:cstheme="minorHAnsi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690BA6F6" w:rsidR="00430F8C" w:rsidRPr="003174C8" w:rsidRDefault="00430F8C" w:rsidP="00430F8C">
            <w:pPr>
              <w:ind w:left="430"/>
            </w:pPr>
          </w:p>
        </w:tc>
      </w:tr>
      <w:bookmarkEnd w:id="11"/>
    </w:tbl>
    <w:p w14:paraId="280476EE" w14:textId="53B71040" w:rsidR="00FC7140" w:rsidRDefault="00FC7140" w:rsidP="001141CD">
      <w:pPr>
        <w:jc w:val="center"/>
        <w:rPr>
          <w:b/>
          <w:sz w:val="28"/>
          <w:szCs w:val="28"/>
        </w:rPr>
      </w:pPr>
    </w:p>
    <w:p w14:paraId="30F74164" w14:textId="3D01B9DC" w:rsidR="00AC162B" w:rsidRDefault="00AC162B" w:rsidP="001141CD">
      <w:pPr>
        <w:jc w:val="center"/>
        <w:rPr>
          <w:b/>
          <w:sz w:val="28"/>
          <w:szCs w:val="28"/>
        </w:rPr>
      </w:pPr>
    </w:p>
    <w:p w14:paraId="064410F4" w14:textId="77777777" w:rsidR="00AC162B" w:rsidRDefault="00AC162B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lastRenderedPageBreak/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2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2"/>
    </w:tbl>
    <w:p w14:paraId="69E5A084" w14:textId="77777777" w:rsidR="00AF0C86" w:rsidRDefault="00AF0C86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3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3"/>
    </w:tbl>
    <w:p w14:paraId="483A0D85" w14:textId="4CA27399" w:rsidR="00FC7140" w:rsidRDefault="00FC7140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1E52C" w14:textId="77777777" w:rsidR="00B730D1" w:rsidRDefault="00B730D1" w:rsidP="00C40C77">
      <w:r>
        <w:separator/>
      </w:r>
    </w:p>
  </w:endnote>
  <w:endnote w:type="continuationSeparator" w:id="0">
    <w:p w14:paraId="1408A55F" w14:textId="77777777" w:rsidR="00B730D1" w:rsidRDefault="00B730D1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360B" w14:textId="77777777" w:rsidR="00B730D1" w:rsidRDefault="00B730D1" w:rsidP="00C40C77">
      <w:r>
        <w:separator/>
      </w:r>
    </w:p>
  </w:footnote>
  <w:footnote w:type="continuationSeparator" w:id="0">
    <w:p w14:paraId="31A75270" w14:textId="77777777" w:rsidR="00B730D1" w:rsidRDefault="00B730D1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8CC"/>
    <w:multiLevelType w:val="hybridMultilevel"/>
    <w:tmpl w:val="618A5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661B"/>
    <w:multiLevelType w:val="multilevel"/>
    <w:tmpl w:val="ACB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60D43"/>
    <w:multiLevelType w:val="hybridMultilevel"/>
    <w:tmpl w:val="4FE6BE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B4853"/>
    <w:multiLevelType w:val="hybridMultilevel"/>
    <w:tmpl w:val="5630E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CA3760"/>
    <w:multiLevelType w:val="hybridMultilevel"/>
    <w:tmpl w:val="3AD69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0C7A73"/>
    <w:multiLevelType w:val="multilevel"/>
    <w:tmpl w:val="D0028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375BE"/>
    <w:multiLevelType w:val="hybridMultilevel"/>
    <w:tmpl w:val="68B8B6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F11FE"/>
    <w:multiLevelType w:val="hybridMultilevel"/>
    <w:tmpl w:val="0C162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FB0676"/>
    <w:multiLevelType w:val="hybridMultilevel"/>
    <w:tmpl w:val="19620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44E7D"/>
    <w:multiLevelType w:val="hybridMultilevel"/>
    <w:tmpl w:val="2E26D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4623D"/>
    <w:multiLevelType w:val="hybridMultilevel"/>
    <w:tmpl w:val="C15A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FB486A"/>
    <w:multiLevelType w:val="multilevel"/>
    <w:tmpl w:val="C2FC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C976F2"/>
    <w:multiLevelType w:val="hybridMultilevel"/>
    <w:tmpl w:val="041E2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2B1796"/>
    <w:multiLevelType w:val="hybridMultilevel"/>
    <w:tmpl w:val="164E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B165F"/>
    <w:multiLevelType w:val="hybridMultilevel"/>
    <w:tmpl w:val="B7142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141B4"/>
    <w:multiLevelType w:val="hybridMultilevel"/>
    <w:tmpl w:val="77B24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7A490D"/>
    <w:multiLevelType w:val="hybridMultilevel"/>
    <w:tmpl w:val="94A8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5A68E5"/>
    <w:multiLevelType w:val="multilevel"/>
    <w:tmpl w:val="D3D2A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5E5927"/>
    <w:multiLevelType w:val="hybridMultilevel"/>
    <w:tmpl w:val="B6DA71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02770A"/>
    <w:multiLevelType w:val="hybridMultilevel"/>
    <w:tmpl w:val="74FA39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99362076">
    <w:abstractNumId w:val="21"/>
  </w:num>
  <w:num w:numId="2" w16cid:durableId="1228103942">
    <w:abstractNumId w:val="40"/>
  </w:num>
  <w:num w:numId="3" w16cid:durableId="999650276">
    <w:abstractNumId w:val="8"/>
  </w:num>
  <w:num w:numId="4" w16cid:durableId="1388604742">
    <w:abstractNumId w:val="23"/>
  </w:num>
  <w:num w:numId="5" w16cid:durableId="1271009137">
    <w:abstractNumId w:val="26"/>
  </w:num>
  <w:num w:numId="6" w16cid:durableId="240525939">
    <w:abstractNumId w:val="33"/>
  </w:num>
  <w:num w:numId="7" w16cid:durableId="826435996">
    <w:abstractNumId w:val="36"/>
  </w:num>
  <w:num w:numId="8" w16cid:durableId="1374426330">
    <w:abstractNumId w:val="2"/>
  </w:num>
  <w:num w:numId="9" w16cid:durableId="1924335878">
    <w:abstractNumId w:val="4"/>
  </w:num>
  <w:num w:numId="10" w16cid:durableId="1538734272">
    <w:abstractNumId w:val="39"/>
  </w:num>
  <w:num w:numId="11" w16cid:durableId="2009942641">
    <w:abstractNumId w:val="29"/>
  </w:num>
  <w:num w:numId="12" w16cid:durableId="121467256">
    <w:abstractNumId w:val="15"/>
  </w:num>
  <w:num w:numId="13" w16cid:durableId="1569879993">
    <w:abstractNumId w:val="32"/>
  </w:num>
  <w:num w:numId="14" w16cid:durableId="608779621">
    <w:abstractNumId w:val="6"/>
  </w:num>
  <w:num w:numId="15" w16cid:durableId="1177421031">
    <w:abstractNumId w:val="7"/>
  </w:num>
  <w:num w:numId="16" w16cid:durableId="277109013">
    <w:abstractNumId w:val="27"/>
  </w:num>
  <w:num w:numId="17" w16cid:durableId="21059621">
    <w:abstractNumId w:val="28"/>
  </w:num>
  <w:num w:numId="18" w16cid:durableId="352649877">
    <w:abstractNumId w:val="41"/>
  </w:num>
  <w:num w:numId="19" w16cid:durableId="1220897813">
    <w:abstractNumId w:val="42"/>
  </w:num>
  <w:num w:numId="20" w16cid:durableId="743141023">
    <w:abstractNumId w:val="18"/>
  </w:num>
  <w:num w:numId="21" w16cid:durableId="1772698950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65648117">
    <w:abstractNumId w:val="25"/>
  </w:num>
  <w:num w:numId="23" w16cid:durableId="216940962">
    <w:abstractNumId w:val="5"/>
  </w:num>
  <w:num w:numId="24" w16cid:durableId="1910260252">
    <w:abstractNumId w:val="0"/>
  </w:num>
  <w:num w:numId="25" w16cid:durableId="1520967136">
    <w:abstractNumId w:val="9"/>
  </w:num>
  <w:num w:numId="26" w16cid:durableId="1876389168">
    <w:abstractNumId w:val="31"/>
  </w:num>
  <w:num w:numId="27" w16cid:durableId="1272008349">
    <w:abstractNumId w:val="34"/>
  </w:num>
  <w:num w:numId="28" w16cid:durableId="1785272680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4337775">
    <w:abstractNumId w:val="24"/>
  </w:num>
  <w:num w:numId="30" w16cid:durableId="1971741850">
    <w:abstractNumId w:val="38"/>
  </w:num>
  <w:num w:numId="31" w16cid:durableId="1182351478">
    <w:abstractNumId w:val="38"/>
  </w:num>
  <w:num w:numId="32" w16cid:durableId="76825188">
    <w:abstractNumId w:val="3"/>
  </w:num>
  <w:num w:numId="33" w16cid:durableId="1472404891">
    <w:abstractNumId w:val="12"/>
  </w:num>
  <w:num w:numId="34" w16cid:durableId="1580602969">
    <w:abstractNumId w:val="20"/>
  </w:num>
  <w:num w:numId="35" w16cid:durableId="1359701133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48086897">
    <w:abstractNumId w:val="16"/>
  </w:num>
  <w:num w:numId="37" w16cid:durableId="54553422">
    <w:abstractNumId w:val="30"/>
  </w:num>
  <w:num w:numId="38" w16cid:durableId="1054736508">
    <w:abstractNumId w:val="17"/>
  </w:num>
  <w:num w:numId="39" w16cid:durableId="1783264409">
    <w:abstractNumId w:val="13"/>
  </w:num>
  <w:num w:numId="40" w16cid:durableId="1131287250">
    <w:abstractNumId w:val="11"/>
  </w:num>
  <w:num w:numId="41" w16cid:durableId="1848447490">
    <w:abstractNumId w:val="1"/>
  </w:num>
  <w:num w:numId="42" w16cid:durableId="2048212343">
    <w:abstractNumId w:val="10"/>
  </w:num>
  <w:num w:numId="43" w16cid:durableId="1084912623">
    <w:abstractNumId w:val="37"/>
  </w:num>
  <w:num w:numId="44" w16cid:durableId="21012183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68A9"/>
    <w:rsid w:val="000208EC"/>
    <w:rsid w:val="0002185C"/>
    <w:rsid w:val="00031E6C"/>
    <w:rsid w:val="00037B7F"/>
    <w:rsid w:val="00037CB5"/>
    <w:rsid w:val="00041514"/>
    <w:rsid w:val="000425BA"/>
    <w:rsid w:val="00045239"/>
    <w:rsid w:val="00045359"/>
    <w:rsid w:val="000547CF"/>
    <w:rsid w:val="0006469B"/>
    <w:rsid w:val="00064A1D"/>
    <w:rsid w:val="000672A8"/>
    <w:rsid w:val="00072F60"/>
    <w:rsid w:val="000771BB"/>
    <w:rsid w:val="00087D6F"/>
    <w:rsid w:val="000A5329"/>
    <w:rsid w:val="000B77BD"/>
    <w:rsid w:val="000C0C99"/>
    <w:rsid w:val="000C4C97"/>
    <w:rsid w:val="000C6AEB"/>
    <w:rsid w:val="000C77C9"/>
    <w:rsid w:val="000D14B3"/>
    <w:rsid w:val="000D180A"/>
    <w:rsid w:val="001009F7"/>
    <w:rsid w:val="001048E5"/>
    <w:rsid w:val="0011267F"/>
    <w:rsid w:val="001141CD"/>
    <w:rsid w:val="001154B7"/>
    <w:rsid w:val="00124576"/>
    <w:rsid w:val="00125FC1"/>
    <w:rsid w:val="001304FF"/>
    <w:rsid w:val="001313D8"/>
    <w:rsid w:val="001325F8"/>
    <w:rsid w:val="001376D8"/>
    <w:rsid w:val="001424D8"/>
    <w:rsid w:val="00150FAD"/>
    <w:rsid w:val="00153738"/>
    <w:rsid w:val="00173B17"/>
    <w:rsid w:val="0017552D"/>
    <w:rsid w:val="00180016"/>
    <w:rsid w:val="00182C9E"/>
    <w:rsid w:val="00183A80"/>
    <w:rsid w:val="00185AC4"/>
    <w:rsid w:val="00186B59"/>
    <w:rsid w:val="001B3609"/>
    <w:rsid w:val="001B62D0"/>
    <w:rsid w:val="001C0368"/>
    <w:rsid w:val="001C131C"/>
    <w:rsid w:val="001C1B25"/>
    <w:rsid w:val="001C3B17"/>
    <w:rsid w:val="001D6E1D"/>
    <w:rsid w:val="001E04A1"/>
    <w:rsid w:val="001E2EA2"/>
    <w:rsid w:val="001F0179"/>
    <w:rsid w:val="001F502F"/>
    <w:rsid w:val="001F5627"/>
    <w:rsid w:val="0020055F"/>
    <w:rsid w:val="00205D14"/>
    <w:rsid w:val="00206E9B"/>
    <w:rsid w:val="0021171E"/>
    <w:rsid w:val="0021341A"/>
    <w:rsid w:val="002222A2"/>
    <w:rsid w:val="00222FC5"/>
    <w:rsid w:val="002270E7"/>
    <w:rsid w:val="00237E1E"/>
    <w:rsid w:val="00240DA1"/>
    <w:rsid w:val="002415E7"/>
    <w:rsid w:val="00241835"/>
    <w:rsid w:val="00241D12"/>
    <w:rsid w:val="00247BB7"/>
    <w:rsid w:val="00250B30"/>
    <w:rsid w:val="00254A9A"/>
    <w:rsid w:val="00256A4A"/>
    <w:rsid w:val="002613BB"/>
    <w:rsid w:val="002723C8"/>
    <w:rsid w:val="002725F5"/>
    <w:rsid w:val="002753BD"/>
    <w:rsid w:val="002777B0"/>
    <w:rsid w:val="00277EDE"/>
    <w:rsid w:val="0029052C"/>
    <w:rsid w:val="0029112E"/>
    <w:rsid w:val="002A21E7"/>
    <w:rsid w:val="002A587F"/>
    <w:rsid w:val="002A656C"/>
    <w:rsid w:val="002A7BD1"/>
    <w:rsid w:val="002B556E"/>
    <w:rsid w:val="002C166D"/>
    <w:rsid w:val="002E4DFA"/>
    <w:rsid w:val="002E536A"/>
    <w:rsid w:val="002F2468"/>
    <w:rsid w:val="002F6305"/>
    <w:rsid w:val="00300F03"/>
    <w:rsid w:val="00313656"/>
    <w:rsid w:val="003174C8"/>
    <w:rsid w:val="003255FB"/>
    <w:rsid w:val="00331C79"/>
    <w:rsid w:val="00331EFF"/>
    <w:rsid w:val="00332468"/>
    <w:rsid w:val="003354B8"/>
    <w:rsid w:val="003363FF"/>
    <w:rsid w:val="00357B4E"/>
    <w:rsid w:val="00363E63"/>
    <w:rsid w:val="00374A23"/>
    <w:rsid w:val="003861E1"/>
    <w:rsid w:val="003A0592"/>
    <w:rsid w:val="003A1BE1"/>
    <w:rsid w:val="003A73A2"/>
    <w:rsid w:val="003B0BB3"/>
    <w:rsid w:val="003B1EF8"/>
    <w:rsid w:val="003B4AFE"/>
    <w:rsid w:val="003B58CF"/>
    <w:rsid w:val="003B6BAB"/>
    <w:rsid w:val="003B707A"/>
    <w:rsid w:val="003C321A"/>
    <w:rsid w:val="003C6EFE"/>
    <w:rsid w:val="003D3CBC"/>
    <w:rsid w:val="003D4081"/>
    <w:rsid w:val="003D4162"/>
    <w:rsid w:val="003E015A"/>
    <w:rsid w:val="003E1D3A"/>
    <w:rsid w:val="003E5146"/>
    <w:rsid w:val="003E59DB"/>
    <w:rsid w:val="003F1516"/>
    <w:rsid w:val="003F377E"/>
    <w:rsid w:val="00400CFC"/>
    <w:rsid w:val="00405865"/>
    <w:rsid w:val="00411976"/>
    <w:rsid w:val="00414EB4"/>
    <w:rsid w:val="00414FE1"/>
    <w:rsid w:val="00424836"/>
    <w:rsid w:val="0042504D"/>
    <w:rsid w:val="004304CA"/>
    <w:rsid w:val="00430F8C"/>
    <w:rsid w:val="00436495"/>
    <w:rsid w:val="00441555"/>
    <w:rsid w:val="0044476D"/>
    <w:rsid w:val="004470CC"/>
    <w:rsid w:val="00457196"/>
    <w:rsid w:val="004617FD"/>
    <w:rsid w:val="00463D67"/>
    <w:rsid w:val="00477CBD"/>
    <w:rsid w:val="004961FB"/>
    <w:rsid w:val="004A522B"/>
    <w:rsid w:val="004A7CB3"/>
    <w:rsid w:val="004B1512"/>
    <w:rsid w:val="004B3CB6"/>
    <w:rsid w:val="004C7434"/>
    <w:rsid w:val="004D3DD0"/>
    <w:rsid w:val="004D663F"/>
    <w:rsid w:val="004F1AF9"/>
    <w:rsid w:val="004F28E2"/>
    <w:rsid w:val="004F4E1D"/>
    <w:rsid w:val="00502162"/>
    <w:rsid w:val="005076DF"/>
    <w:rsid w:val="0051060F"/>
    <w:rsid w:val="00523631"/>
    <w:rsid w:val="00524C28"/>
    <w:rsid w:val="00525BE7"/>
    <w:rsid w:val="00530C7D"/>
    <w:rsid w:val="005330E1"/>
    <w:rsid w:val="00533553"/>
    <w:rsid w:val="00536B73"/>
    <w:rsid w:val="00541A7A"/>
    <w:rsid w:val="005454C8"/>
    <w:rsid w:val="00552345"/>
    <w:rsid w:val="00552688"/>
    <w:rsid w:val="00553736"/>
    <w:rsid w:val="00553ECC"/>
    <w:rsid w:val="00561DFA"/>
    <w:rsid w:val="00564255"/>
    <w:rsid w:val="00571B44"/>
    <w:rsid w:val="00571D5C"/>
    <w:rsid w:val="00572985"/>
    <w:rsid w:val="00572D19"/>
    <w:rsid w:val="00585EC4"/>
    <w:rsid w:val="00597E6D"/>
    <w:rsid w:val="005A15A1"/>
    <w:rsid w:val="005A3215"/>
    <w:rsid w:val="005A797B"/>
    <w:rsid w:val="005B3ED8"/>
    <w:rsid w:val="005B6B28"/>
    <w:rsid w:val="005C7798"/>
    <w:rsid w:val="005D1117"/>
    <w:rsid w:val="005D1A28"/>
    <w:rsid w:val="005D346D"/>
    <w:rsid w:val="005E36B9"/>
    <w:rsid w:val="00605647"/>
    <w:rsid w:val="006102A3"/>
    <w:rsid w:val="0061332D"/>
    <w:rsid w:val="0062067F"/>
    <w:rsid w:val="00620CA0"/>
    <w:rsid w:val="00622C17"/>
    <w:rsid w:val="006268CF"/>
    <w:rsid w:val="0062750A"/>
    <w:rsid w:val="00632A93"/>
    <w:rsid w:val="00636117"/>
    <w:rsid w:val="00637668"/>
    <w:rsid w:val="006377AB"/>
    <w:rsid w:val="00641060"/>
    <w:rsid w:val="00641538"/>
    <w:rsid w:val="00650747"/>
    <w:rsid w:val="00652015"/>
    <w:rsid w:val="006549F4"/>
    <w:rsid w:val="00655227"/>
    <w:rsid w:val="00655354"/>
    <w:rsid w:val="0065654D"/>
    <w:rsid w:val="006669F8"/>
    <w:rsid w:val="006678D7"/>
    <w:rsid w:val="00670511"/>
    <w:rsid w:val="00671F93"/>
    <w:rsid w:val="00672E3E"/>
    <w:rsid w:val="00674101"/>
    <w:rsid w:val="00676C33"/>
    <w:rsid w:val="006819AB"/>
    <w:rsid w:val="00683560"/>
    <w:rsid w:val="00684315"/>
    <w:rsid w:val="0069699B"/>
    <w:rsid w:val="0069731E"/>
    <w:rsid w:val="006A2EDD"/>
    <w:rsid w:val="006B47D2"/>
    <w:rsid w:val="006B4E29"/>
    <w:rsid w:val="006B6E07"/>
    <w:rsid w:val="006B7FA2"/>
    <w:rsid w:val="006C0101"/>
    <w:rsid w:val="006D2E2E"/>
    <w:rsid w:val="006D73F5"/>
    <w:rsid w:val="006D7A32"/>
    <w:rsid w:val="006E1B32"/>
    <w:rsid w:val="006E6007"/>
    <w:rsid w:val="006F06E0"/>
    <w:rsid w:val="006F1686"/>
    <w:rsid w:val="006F2CD6"/>
    <w:rsid w:val="00705DA8"/>
    <w:rsid w:val="00706155"/>
    <w:rsid w:val="00706BE7"/>
    <w:rsid w:val="00714CC1"/>
    <w:rsid w:val="00727491"/>
    <w:rsid w:val="007354F7"/>
    <w:rsid w:val="00740F40"/>
    <w:rsid w:val="007423AD"/>
    <w:rsid w:val="007500A5"/>
    <w:rsid w:val="00754DF5"/>
    <w:rsid w:val="00774768"/>
    <w:rsid w:val="00794429"/>
    <w:rsid w:val="007945E1"/>
    <w:rsid w:val="00797F24"/>
    <w:rsid w:val="007A33BE"/>
    <w:rsid w:val="007A455C"/>
    <w:rsid w:val="007A6D4F"/>
    <w:rsid w:val="007B60DF"/>
    <w:rsid w:val="007C3D7E"/>
    <w:rsid w:val="007D51DE"/>
    <w:rsid w:val="007D5984"/>
    <w:rsid w:val="007E48CD"/>
    <w:rsid w:val="007E4E36"/>
    <w:rsid w:val="007E64D7"/>
    <w:rsid w:val="007F1EFB"/>
    <w:rsid w:val="007F7218"/>
    <w:rsid w:val="00815ADA"/>
    <w:rsid w:val="008216D9"/>
    <w:rsid w:val="00822DC9"/>
    <w:rsid w:val="00823F17"/>
    <w:rsid w:val="00830AF3"/>
    <w:rsid w:val="00832E1C"/>
    <w:rsid w:val="00840144"/>
    <w:rsid w:val="0084255B"/>
    <w:rsid w:val="00843193"/>
    <w:rsid w:val="00847591"/>
    <w:rsid w:val="0085249C"/>
    <w:rsid w:val="008527F3"/>
    <w:rsid w:val="008602B4"/>
    <w:rsid w:val="00863AE3"/>
    <w:rsid w:val="00873D59"/>
    <w:rsid w:val="0089410E"/>
    <w:rsid w:val="00895B51"/>
    <w:rsid w:val="00895CBB"/>
    <w:rsid w:val="008960D2"/>
    <w:rsid w:val="008A259B"/>
    <w:rsid w:val="008A38B4"/>
    <w:rsid w:val="008A4D61"/>
    <w:rsid w:val="008A740C"/>
    <w:rsid w:val="008A7A88"/>
    <w:rsid w:val="008A7ABC"/>
    <w:rsid w:val="008B0944"/>
    <w:rsid w:val="008B2B7C"/>
    <w:rsid w:val="008B34E9"/>
    <w:rsid w:val="008B549F"/>
    <w:rsid w:val="008B5EC2"/>
    <w:rsid w:val="008C54D3"/>
    <w:rsid w:val="008D265F"/>
    <w:rsid w:val="008D3DCF"/>
    <w:rsid w:val="008E1B7C"/>
    <w:rsid w:val="008E7474"/>
    <w:rsid w:val="008E7E8A"/>
    <w:rsid w:val="008F02DC"/>
    <w:rsid w:val="008F1FA7"/>
    <w:rsid w:val="008F419A"/>
    <w:rsid w:val="00907FA6"/>
    <w:rsid w:val="00912152"/>
    <w:rsid w:val="00917815"/>
    <w:rsid w:val="00920053"/>
    <w:rsid w:val="009200EE"/>
    <w:rsid w:val="00920BAC"/>
    <w:rsid w:val="00922F69"/>
    <w:rsid w:val="00926640"/>
    <w:rsid w:val="00933204"/>
    <w:rsid w:val="009338A2"/>
    <w:rsid w:val="00935E6E"/>
    <w:rsid w:val="00943112"/>
    <w:rsid w:val="00950735"/>
    <w:rsid w:val="00951438"/>
    <w:rsid w:val="00952517"/>
    <w:rsid w:val="00956207"/>
    <w:rsid w:val="009600DF"/>
    <w:rsid w:val="00963FE4"/>
    <w:rsid w:val="00966CCC"/>
    <w:rsid w:val="00972794"/>
    <w:rsid w:val="00975FA9"/>
    <w:rsid w:val="00976346"/>
    <w:rsid w:val="00980A33"/>
    <w:rsid w:val="0098166D"/>
    <w:rsid w:val="00983E81"/>
    <w:rsid w:val="00984EDE"/>
    <w:rsid w:val="00986570"/>
    <w:rsid w:val="00987C07"/>
    <w:rsid w:val="00993552"/>
    <w:rsid w:val="009A1BEC"/>
    <w:rsid w:val="009A511D"/>
    <w:rsid w:val="009A66D3"/>
    <w:rsid w:val="009B3D6D"/>
    <w:rsid w:val="009B46AF"/>
    <w:rsid w:val="009C0618"/>
    <w:rsid w:val="009C174F"/>
    <w:rsid w:val="009C1CA6"/>
    <w:rsid w:val="009C4D1D"/>
    <w:rsid w:val="009D563C"/>
    <w:rsid w:val="009E1004"/>
    <w:rsid w:val="009E41FD"/>
    <w:rsid w:val="009F3478"/>
    <w:rsid w:val="009F61CC"/>
    <w:rsid w:val="00A12DA1"/>
    <w:rsid w:val="00A14E9B"/>
    <w:rsid w:val="00A17DAC"/>
    <w:rsid w:val="00A20FAA"/>
    <w:rsid w:val="00A26FA5"/>
    <w:rsid w:val="00A40D8D"/>
    <w:rsid w:val="00A4208F"/>
    <w:rsid w:val="00A44743"/>
    <w:rsid w:val="00A448E1"/>
    <w:rsid w:val="00A50526"/>
    <w:rsid w:val="00A516AE"/>
    <w:rsid w:val="00A52C31"/>
    <w:rsid w:val="00A66F9A"/>
    <w:rsid w:val="00A72A4D"/>
    <w:rsid w:val="00A81668"/>
    <w:rsid w:val="00A86023"/>
    <w:rsid w:val="00AA16F2"/>
    <w:rsid w:val="00AB1082"/>
    <w:rsid w:val="00AB28B5"/>
    <w:rsid w:val="00AB4308"/>
    <w:rsid w:val="00AC057F"/>
    <w:rsid w:val="00AC0817"/>
    <w:rsid w:val="00AC1443"/>
    <w:rsid w:val="00AC162B"/>
    <w:rsid w:val="00AC49D5"/>
    <w:rsid w:val="00AD32FA"/>
    <w:rsid w:val="00AE1A13"/>
    <w:rsid w:val="00AE4245"/>
    <w:rsid w:val="00AE4E94"/>
    <w:rsid w:val="00AF0C86"/>
    <w:rsid w:val="00AF2BA4"/>
    <w:rsid w:val="00B02050"/>
    <w:rsid w:val="00B04317"/>
    <w:rsid w:val="00B04E57"/>
    <w:rsid w:val="00B153DD"/>
    <w:rsid w:val="00B21EA4"/>
    <w:rsid w:val="00B269EF"/>
    <w:rsid w:val="00B32467"/>
    <w:rsid w:val="00B520BB"/>
    <w:rsid w:val="00B52A4B"/>
    <w:rsid w:val="00B579F2"/>
    <w:rsid w:val="00B64991"/>
    <w:rsid w:val="00B730D1"/>
    <w:rsid w:val="00B75402"/>
    <w:rsid w:val="00B82D73"/>
    <w:rsid w:val="00B83FC0"/>
    <w:rsid w:val="00B8454B"/>
    <w:rsid w:val="00B855C3"/>
    <w:rsid w:val="00B92E02"/>
    <w:rsid w:val="00BA1EFC"/>
    <w:rsid w:val="00BA42C2"/>
    <w:rsid w:val="00BB0A52"/>
    <w:rsid w:val="00BB0FDD"/>
    <w:rsid w:val="00BB6437"/>
    <w:rsid w:val="00BD285C"/>
    <w:rsid w:val="00BE278D"/>
    <w:rsid w:val="00BF7E5A"/>
    <w:rsid w:val="00C11E72"/>
    <w:rsid w:val="00C17C5E"/>
    <w:rsid w:val="00C27D97"/>
    <w:rsid w:val="00C31DD5"/>
    <w:rsid w:val="00C40C77"/>
    <w:rsid w:val="00C442BA"/>
    <w:rsid w:val="00C517C7"/>
    <w:rsid w:val="00C57D72"/>
    <w:rsid w:val="00C6078B"/>
    <w:rsid w:val="00C63E43"/>
    <w:rsid w:val="00C667A3"/>
    <w:rsid w:val="00C73845"/>
    <w:rsid w:val="00C744AB"/>
    <w:rsid w:val="00C75E28"/>
    <w:rsid w:val="00C85F85"/>
    <w:rsid w:val="00C868D6"/>
    <w:rsid w:val="00C92A78"/>
    <w:rsid w:val="00C97DCC"/>
    <w:rsid w:val="00CA13F3"/>
    <w:rsid w:val="00CA15F5"/>
    <w:rsid w:val="00CA6615"/>
    <w:rsid w:val="00CB282B"/>
    <w:rsid w:val="00CB3EA8"/>
    <w:rsid w:val="00CB4E2C"/>
    <w:rsid w:val="00CB536B"/>
    <w:rsid w:val="00CC331F"/>
    <w:rsid w:val="00CC5AF4"/>
    <w:rsid w:val="00CD0DC6"/>
    <w:rsid w:val="00CD2820"/>
    <w:rsid w:val="00CD3C29"/>
    <w:rsid w:val="00CE3996"/>
    <w:rsid w:val="00CE465D"/>
    <w:rsid w:val="00CE7B59"/>
    <w:rsid w:val="00CF469D"/>
    <w:rsid w:val="00D0431C"/>
    <w:rsid w:val="00D051B6"/>
    <w:rsid w:val="00D06E7C"/>
    <w:rsid w:val="00D2255D"/>
    <w:rsid w:val="00D23590"/>
    <w:rsid w:val="00D25B69"/>
    <w:rsid w:val="00D34647"/>
    <w:rsid w:val="00D35FFB"/>
    <w:rsid w:val="00D37959"/>
    <w:rsid w:val="00D413C7"/>
    <w:rsid w:val="00D45218"/>
    <w:rsid w:val="00D520D3"/>
    <w:rsid w:val="00D55AE5"/>
    <w:rsid w:val="00D7346F"/>
    <w:rsid w:val="00D83B6C"/>
    <w:rsid w:val="00D87274"/>
    <w:rsid w:val="00D92CA6"/>
    <w:rsid w:val="00D9413E"/>
    <w:rsid w:val="00DA1564"/>
    <w:rsid w:val="00DA3060"/>
    <w:rsid w:val="00DA4A06"/>
    <w:rsid w:val="00DB08BD"/>
    <w:rsid w:val="00DB1020"/>
    <w:rsid w:val="00DB5B49"/>
    <w:rsid w:val="00DC4C48"/>
    <w:rsid w:val="00DC6058"/>
    <w:rsid w:val="00DC7C90"/>
    <w:rsid w:val="00DD79AD"/>
    <w:rsid w:val="00DE1817"/>
    <w:rsid w:val="00DE3784"/>
    <w:rsid w:val="00DE57B3"/>
    <w:rsid w:val="00DF2325"/>
    <w:rsid w:val="00DF30E7"/>
    <w:rsid w:val="00DF5066"/>
    <w:rsid w:val="00DF5600"/>
    <w:rsid w:val="00DF720D"/>
    <w:rsid w:val="00E072D4"/>
    <w:rsid w:val="00E1081F"/>
    <w:rsid w:val="00E10E66"/>
    <w:rsid w:val="00E1246A"/>
    <w:rsid w:val="00E21D68"/>
    <w:rsid w:val="00E250D2"/>
    <w:rsid w:val="00E26F59"/>
    <w:rsid w:val="00E306EB"/>
    <w:rsid w:val="00E31BB7"/>
    <w:rsid w:val="00E3636E"/>
    <w:rsid w:val="00E37FA4"/>
    <w:rsid w:val="00E401B9"/>
    <w:rsid w:val="00E41034"/>
    <w:rsid w:val="00E4265B"/>
    <w:rsid w:val="00E43192"/>
    <w:rsid w:val="00E44756"/>
    <w:rsid w:val="00E46D5D"/>
    <w:rsid w:val="00E57E6D"/>
    <w:rsid w:val="00E6036A"/>
    <w:rsid w:val="00E62D08"/>
    <w:rsid w:val="00E64A3F"/>
    <w:rsid w:val="00E65FCF"/>
    <w:rsid w:val="00E6757B"/>
    <w:rsid w:val="00E74142"/>
    <w:rsid w:val="00E744C4"/>
    <w:rsid w:val="00E8463E"/>
    <w:rsid w:val="00E92172"/>
    <w:rsid w:val="00E93D78"/>
    <w:rsid w:val="00E94352"/>
    <w:rsid w:val="00EA289C"/>
    <w:rsid w:val="00EA3345"/>
    <w:rsid w:val="00EA356E"/>
    <w:rsid w:val="00EA38C1"/>
    <w:rsid w:val="00EB432B"/>
    <w:rsid w:val="00EB4FCD"/>
    <w:rsid w:val="00EC0E4A"/>
    <w:rsid w:val="00EC19CB"/>
    <w:rsid w:val="00EC1DE8"/>
    <w:rsid w:val="00EC46EE"/>
    <w:rsid w:val="00ED189B"/>
    <w:rsid w:val="00ED400C"/>
    <w:rsid w:val="00ED7C45"/>
    <w:rsid w:val="00EE1B6F"/>
    <w:rsid w:val="00EE1E85"/>
    <w:rsid w:val="00EE6808"/>
    <w:rsid w:val="00EF0608"/>
    <w:rsid w:val="00EF35BE"/>
    <w:rsid w:val="00EF39FD"/>
    <w:rsid w:val="00F02435"/>
    <w:rsid w:val="00F1379E"/>
    <w:rsid w:val="00F14285"/>
    <w:rsid w:val="00F14DE6"/>
    <w:rsid w:val="00F17B53"/>
    <w:rsid w:val="00F23FAF"/>
    <w:rsid w:val="00F2425C"/>
    <w:rsid w:val="00F25D3F"/>
    <w:rsid w:val="00F32176"/>
    <w:rsid w:val="00F40129"/>
    <w:rsid w:val="00F45A5B"/>
    <w:rsid w:val="00F57D31"/>
    <w:rsid w:val="00F65A64"/>
    <w:rsid w:val="00F800A1"/>
    <w:rsid w:val="00F83CD0"/>
    <w:rsid w:val="00F84482"/>
    <w:rsid w:val="00F84B0B"/>
    <w:rsid w:val="00FA5725"/>
    <w:rsid w:val="00FA6206"/>
    <w:rsid w:val="00FB3308"/>
    <w:rsid w:val="00FB4761"/>
    <w:rsid w:val="00FC3AFF"/>
    <w:rsid w:val="00FC7140"/>
    <w:rsid w:val="00FC791E"/>
    <w:rsid w:val="00FD30C7"/>
    <w:rsid w:val="00FD5077"/>
    <w:rsid w:val="00FD5D48"/>
    <w:rsid w:val="00FD6E95"/>
    <w:rsid w:val="00FE27BE"/>
    <w:rsid w:val="00FE281C"/>
    <w:rsid w:val="00FE50E6"/>
    <w:rsid w:val="00FE6306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11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3</cp:revision>
  <dcterms:created xsi:type="dcterms:W3CDTF">2023-06-22T15:35:00Z</dcterms:created>
  <dcterms:modified xsi:type="dcterms:W3CDTF">2023-06-22T15:35:00Z</dcterms:modified>
</cp:coreProperties>
</file>