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B14F81">
        <w:rPr>
          <w:b/>
          <w:sz w:val="28"/>
          <w:szCs w:val="28"/>
          <w:u w:val="single"/>
        </w:rPr>
        <w:t xml:space="preserve"> Release Notes for Version 1.2.0</w:t>
      </w:r>
      <w:r w:rsidR="00DA1775">
        <w:rPr>
          <w:b/>
          <w:sz w:val="28"/>
          <w:szCs w:val="28"/>
          <w:u w:val="single"/>
        </w:rPr>
        <w:t xml:space="preserve"> </w:t>
      </w:r>
      <w:r w:rsidR="001564B8">
        <w:rPr>
          <w:b/>
          <w:sz w:val="28"/>
          <w:szCs w:val="28"/>
          <w:u w:val="single"/>
        </w:rPr>
        <w:t>April 1</w:t>
      </w:r>
      <w:r w:rsidR="00A41FB0">
        <w:rPr>
          <w:b/>
          <w:sz w:val="28"/>
          <w:szCs w:val="28"/>
          <w:u w:val="single"/>
        </w:rPr>
        <w:t>,</w:t>
      </w:r>
      <w:r w:rsidR="00002468">
        <w:rPr>
          <w:b/>
          <w:sz w:val="28"/>
          <w:szCs w:val="28"/>
          <w:u w:val="single"/>
        </w:rPr>
        <w:t xml:space="preserve"> 2016</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C410A6" w:rsidTr="0052426D">
        <w:trPr>
          <w:cantSplit/>
          <w:tblHeader/>
        </w:trPr>
        <w:tc>
          <w:tcPr>
            <w:tcW w:w="6228" w:type="dxa"/>
          </w:tcPr>
          <w:p w:rsidR="00C410A6" w:rsidRPr="00412050" w:rsidRDefault="00C410A6" w:rsidP="003269D6">
            <w:pPr>
              <w:rPr>
                <w:b/>
              </w:rPr>
            </w:pPr>
          </w:p>
        </w:tc>
        <w:tc>
          <w:tcPr>
            <w:tcW w:w="6840" w:type="dxa"/>
          </w:tcPr>
          <w:p w:rsidR="00C410A6" w:rsidRPr="00412050" w:rsidRDefault="00C410A6" w:rsidP="003269D6">
            <w:pPr>
              <w:rPr>
                <w:b/>
              </w:rPr>
            </w:pPr>
          </w:p>
        </w:tc>
      </w:tr>
    </w:tbl>
    <w:p w:rsidR="00C410A6" w:rsidRDefault="00C410A6" w:rsidP="00987C70"/>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0E474D" w:rsidP="002D01CA">
            <w:r>
              <w:t xml:space="preserve">Profile Viewer is displaying immunization constrained data types on optional and excluded elements. </w:t>
            </w:r>
          </w:p>
        </w:tc>
        <w:tc>
          <w:tcPr>
            <w:tcW w:w="6840" w:type="dxa"/>
          </w:tcPr>
          <w:p w:rsidR="00113599" w:rsidRDefault="000E474D" w:rsidP="002D01CA">
            <w:r>
              <w:t xml:space="preserve">All optional and excluded elements with constrained data types were reverted back to the base data types. </w:t>
            </w:r>
          </w:p>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1564B8" w:rsidTr="00175B88">
        <w:tc>
          <w:tcPr>
            <w:tcW w:w="13068" w:type="dxa"/>
          </w:tcPr>
          <w:p w:rsidR="001564B8" w:rsidRDefault="001564B8" w:rsidP="002D01CA">
            <w:pPr>
              <w:rPr>
                <w:b/>
              </w:rPr>
            </w:pPr>
            <w:r w:rsidRPr="00760CDB">
              <w:rPr>
                <w:rFonts w:cstheme="minorHAnsi"/>
              </w:rPr>
              <w:t xml:space="preserve">“API Documentation” section was added to </w:t>
            </w:r>
            <w:r>
              <w:rPr>
                <w:rFonts w:cstheme="minorHAnsi"/>
              </w:rPr>
              <w:t xml:space="preserve">the </w:t>
            </w:r>
            <w:r w:rsidRPr="00760CDB">
              <w:rPr>
                <w:rFonts w:cstheme="minorHAnsi"/>
              </w:rPr>
              <w:t xml:space="preserve">Documentation page. </w:t>
            </w:r>
            <w:r w:rsidRPr="00760CDB">
              <w:t xml:space="preserve">The </w:t>
            </w:r>
            <w:r w:rsidRPr="00760CDB">
              <w:rPr>
                <w:u w:val="single"/>
              </w:rPr>
              <w:t>Access REST APIs</w:t>
            </w:r>
            <w:r>
              <w:t xml:space="preserve"> link in the API D</w:t>
            </w:r>
            <w:r w:rsidRPr="00760CDB">
              <w:t xml:space="preserve">ocumentation </w:t>
            </w:r>
            <w:r>
              <w:t xml:space="preserve">section </w:t>
            </w:r>
            <w:r w:rsidRPr="00760CDB">
              <w:t>provides a list and description</w:t>
            </w:r>
            <w:r>
              <w:t>s</w:t>
            </w:r>
            <w:r w:rsidRPr="00760CDB">
              <w:t xml:space="preserve"> of all </w:t>
            </w:r>
            <w:r>
              <w:t>operations available on the Syndromic Surveillance T</w:t>
            </w:r>
            <w:r w:rsidRPr="00760CDB">
              <w:t>ool. These “calls” allow access to the resources w</w:t>
            </w:r>
            <w:r>
              <w:t>ithout using the T</w:t>
            </w:r>
            <w:r w:rsidRPr="00760CDB">
              <w:t>ool</w:t>
            </w:r>
            <w:r>
              <w:t>’s</w:t>
            </w:r>
            <w:r w:rsidRPr="00760CDB">
              <w:t xml:space="preserve"> interface.</w:t>
            </w:r>
          </w:p>
        </w:tc>
      </w:tr>
      <w:tr w:rsidR="0052426D" w:rsidTr="00372080">
        <w:tc>
          <w:tcPr>
            <w:tcW w:w="13068" w:type="dxa"/>
          </w:tcPr>
          <w:p w:rsidR="006E2297" w:rsidRPr="00C410A6" w:rsidRDefault="00FA43CC" w:rsidP="00FA43CC">
            <w:r>
              <w:t xml:space="preserve">At the test case execution level of Context-based testing, added functionality </w:t>
            </w:r>
            <w:r w:rsidR="00560541">
              <w:t>to</w:t>
            </w:r>
            <w:r w:rsidR="00F466B4">
              <w:t xml:space="preserve"> </w:t>
            </w:r>
            <w:r w:rsidR="00560541">
              <w:t xml:space="preserve">override </w:t>
            </w:r>
            <w:r w:rsidR="00F466B4">
              <w:t>test step</w:t>
            </w:r>
            <w:r w:rsidR="00560541">
              <w:t xml:space="preserve"> and</w:t>
            </w:r>
            <w:r>
              <w:t xml:space="preserve"> test case validation results in the test report </w:t>
            </w:r>
          </w:p>
        </w:tc>
      </w:tr>
      <w:tr w:rsidR="00560541" w:rsidTr="00372080">
        <w:tc>
          <w:tcPr>
            <w:tcW w:w="13068" w:type="dxa"/>
          </w:tcPr>
          <w:p w:rsidR="00560541" w:rsidRDefault="00FA43CC" w:rsidP="00560541">
            <w:r>
              <w:t>At the test case execution level of Context-based testing, a</w:t>
            </w:r>
            <w:r w:rsidR="00560541">
              <w:t xml:space="preserve">dded the ability to add comments to a test step </w:t>
            </w:r>
            <w:r>
              <w:t>and test case validation result in the test report</w:t>
            </w:r>
          </w:p>
        </w:tc>
      </w:tr>
      <w:tr w:rsidR="00FA43CC" w:rsidTr="00372080">
        <w:tc>
          <w:tcPr>
            <w:tcW w:w="13068" w:type="dxa"/>
          </w:tcPr>
          <w:p w:rsidR="00FA43CC" w:rsidRPr="00FA43CC" w:rsidRDefault="00FA43CC" w:rsidP="00560541">
            <w:r>
              <w:t>At the test case execution level of Context-based testing, c</w:t>
            </w:r>
            <w:r w:rsidRPr="00FA43CC">
              <w:t xml:space="preserve">reated </w:t>
            </w:r>
            <w:r>
              <w:t xml:space="preserve">a </w:t>
            </w:r>
            <w:r w:rsidRPr="00FA43CC">
              <w:t>single report that includes the results of all test steps.</w:t>
            </w:r>
          </w:p>
        </w:tc>
      </w:tr>
      <w:tr w:rsidR="00F466B4" w:rsidTr="00372080">
        <w:tc>
          <w:tcPr>
            <w:tcW w:w="13068" w:type="dxa"/>
          </w:tcPr>
          <w:p w:rsidR="00F466B4" w:rsidRDefault="00F466B4" w:rsidP="00F466B4">
            <w:r>
              <w:t>The test case validation report can be exported as a single file in PDF, HTML or XML .</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BF754A" w:rsidRDefault="00BF754A" w:rsidP="00513518"/>
    <w:p w:rsidR="00C410A6" w:rsidRDefault="00C410A6" w:rsidP="00B015D8"/>
    <w:p w:rsidR="00C410A6" w:rsidRDefault="00C410A6" w:rsidP="00B015D8"/>
    <w:p w:rsidR="00C410A6" w:rsidRDefault="00C410A6" w:rsidP="00B015D8"/>
    <w:p w:rsidR="00B015D8" w:rsidRDefault="00B015D8" w:rsidP="00B015D8">
      <w:r>
        <w:t>SOAP Functionality</w:t>
      </w:r>
    </w:p>
    <w:tbl>
      <w:tblPr>
        <w:tblStyle w:val="TableGrid"/>
        <w:tblW w:w="0" w:type="auto"/>
        <w:tblLook w:val="04A0" w:firstRow="1" w:lastRow="0" w:firstColumn="1" w:lastColumn="0" w:noHBand="0" w:noVBand="1"/>
      </w:tblPr>
      <w:tblGrid>
        <w:gridCol w:w="6228"/>
        <w:gridCol w:w="6840"/>
      </w:tblGrid>
      <w:tr w:rsidR="00B015D8" w:rsidTr="003B76A2">
        <w:trPr>
          <w:cantSplit/>
          <w:tblHeader/>
        </w:trPr>
        <w:tc>
          <w:tcPr>
            <w:tcW w:w="6228" w:type="dxa"/>
          </w:tcPr>
          <w:p w:rsidR="00B015D8" w:rsidRPr="00412050" w:rsidRDefault="00B015D8" w:rsidP="003B76A2">
            <w:pPr>
              <w:rPr>
                <w:b/>
              </w:rPr>
            </w:pPr>
            <w:r w:rsidRPr="00412050">
              <w:rPr>
                <w:b/>
              </w:rPr>
              <w:t>Issue</w:t>
            </w:r>
          </w:p>
        </w:tc>
        <w:tc>
          <w:tcPr>
            <w:tcW w:w="6840" w:type="dxa"/>
          </w:tcPr>
          <w:p w:rsidR="00B015D8" w:rsidRPr="00412050" w:rsidRDefault="00B015D8" w:rsidP="003B76A2">
            <w:pPr>
              <w:rPr>
                <w:b/>
              </w:rPr>
            </w:pPr>
            <w:r w:rsidRPr="00412050">
              <w:rPr>
                <w:b/>
              </w:rPr>
              <w:t>Resolution</w:t>
            </w:r>
          </w:p>
        </w:tc>
      </w:tr>
      <w:tr w:rsidR="00B015D8" w:rsidTr="003B76A2">
        <w:trPr>
          <w:cantSplit/>
        </w:trPr>
        <w:tc>
          <w:tcPr>
            <w:tcW w:w="6228" w:type="dxa"/>
          </w:tcPr>
          <w:p w:rsidR="000E474D" w:rsidRPr="000E474D" w:rsidRDefault="000E474D" w:rsidP="000E474D">
            <w:pPr>
              <w:pStyle w:val="Heading1"/>
              <w:shd w:val="clear" w:color="auto" w:fill="FFFFFF"/>
              <w:spacing w:before="0" w:beforeAutospacing="0" w:after="0" w:afterAutospacing="0"/>
              <w:ind w:right="2250"/>
              <w:outlineLvl w:val="0"/>
              <w:rPr>
                <w:rFonts w:asciiTheme="minorHAnsi" w:hAnsiTheme="minorHAnsi" w:cs="Helvetica"/>
                <w:b w:val="0"/>
                <w:bCs w:val="0"/>
                <w:color w:val="333333"/>
                <w:sz w:val="22"/>
                <w:szCs w:val="22"/>
              </w:rPr>
            </w:pPr>
            <w:r w:rsidRPr="000E474D">
              <w:rPr>
                <w:rStyle w:val="js-issue-title"/>
                <w:rFonts w:asciiTheme="minorHAnsi" w:hAnsiTheme="minorHAnsi" w:cs="Helvetica"/>
                <w:b w:val="0"/>
                <w:bCs w:val="0"/>
                <w:color w:val="333333"/>
                <w:sz w:val="22"/>
                <w:szCs w:val="22"/>
              </w:rPr>
              <w:t>SOAP Envelope &amp; Connectivity tests not detecting non-HL7 message</w:t>
            </w:r>
          </w:p>
          <w:p w:rsidR="00B015D8" w:rsidRDefault="00B015D8" w:rsidP="00B015D8"/>
        </w:tc>
        <w:tc>
          <w:tcPr>
            <w:tcW w:w="6840" w:type="dxa"/>
          </w:tcPr>
          <w:p w:rsidR="00B015D8" w:rsidRDefault="00B015D8" w:rsidP="000E474D">
            <w:r>
              <w:t xml:space="preserve">The tool was adjusted </w:t>
            </w:r>
            <w:r w:rsidR="00775615">
              <w:t xml:space="preserve">to </w:t>
            </w:r>
            <w:r w:rsidR="000E474D">
              <w:t>detect non-HL7 messages in both SOAP Envelop and Connectivity test</w:t>
            </w:r>
            <w:r>
              <w:t xml:space="preserve">. </w:t>
            </w:r>
            <w:r w:rsidR="007E598C">
              <w:t xml:space="preserve"> </w:t>
            </w:r>
            <w:r w:rsidR="007E598C">
              <w:rPr>
                <w:b/>
                <w:bCs/>
              </w:rPr>
              <w:t xml:space="preserve">This fix does not </w:t>
            </w:r>
            <w:r w:rsidR="007E598C" w:rsidRPr="00240095">
              <w:rPr>
                <w:b/>
                <w:bCs/>
                <w:color w:val="000000" w:themeColor="text1"/>
              </w:rPr>
              <w:t>affect</w:t>
            </w:r>
            <w:r w:rsidR="007E598C">
              <w:rPr>
                <w:b/>
                <w:bCs/>
                <w:color w:val="FF0000"/>
              </w:rPr>
              <w:t xml:space="preserve"> </w:t>
            </w:r>
            <w:r w:rsidR="007E598C">
              <w:rPr>
                <w:b/>
                <w:bCs/>
              </w:rPr>
              <w:t>2015 ONC Health IT Certification.</w:t>
            </w:r>
          </w:p>
        </w:tc>
      </w:tr>
      <w:tr w:rsidR="00800AB2" w:rsidTr="003B76A2">
        <w:trPr>
          <w:cantSplit/>
        </w:trPr>
        <w:tc>
          <w:tcPr>
            <w:tcW w:w="6228" w:type="dxa"/>
          </w:tcPr>
          <w:p w:rsidR="00800AB2" w:rsidRPr="000E474D" w:rsidRDefault="00800AB2" w:rsidP="000E474D">
            <w:pPr>
              <w:pStyle w:val="Heading1"/>
              <w:shd w:val="clear" w:color="auto" w:fill="FFFFFF"/>
              <w:spacing w:before="0" w:beforeAutospacing="0" w:after="0" w:afterAutospacing="0"/>
              <w:ind w:right="2250"/>
              <w:outlineLvl w:val="0"/>
              <w:rPr>
                <w:rStyle w:val="js-issue-title"/>
                <w:rFonts w:asciiTheme="minorHAnsi" w:hAnsiTheme="minorHAnsi" w:cs="Helvetica"/>
                <w:b w:val="0"/>
                <w:bCs w:val="0"/>
                <w:color w:val="333333"/>
                <w:sz w:val="22"/>
                <w:szCs w:val="22"/>
              </w:rPr>
            </w:pPr>
            <w:r>
              <w:rPr>
                <w:rStyle w:val="js-issue-title"/>
                <w:rFonts w:asciiTheme="minorHAnsi" w:hAnsiTheme="minorHAnsi" w:cs="Helvetica"/>
                <w:b w:val="0"/>
                <w:bCs w:val="0"/>
                <w:color w:val="333333"/>
                <w:sz w:val="22"/>
                <w:szCs w:val="22"/>
              </w:rPr>
              <w:t xml:space="preserve">The SOAP test Package documentation needs to be updated. </w:t>
            </w:r>
          </w:p>
        </w:tc>
        <w:tc>
          <w:tcPr>
            <w:tcW w:w="6840" w:type="dxa"/>
          </w:tcPr>
          <w:p w:rsidR="00800AB2" w:rsidRPr="00800AB2" w:rsidRDefault="00800AB2" w:rsidP="00800AB2">
            <w:pPr>
              <w:spacing w:before="100" w:beforeAutospacing="1" w:after="100" w:afterAutospacing="1"/>
              <w:rPr>
                <w:rFonts w:eastAsia="Times New Roman" w:cs="Times New Roman"/>
              </w:rPr>
            </w:pPr>
            <w:r>
              <w:rPr>
                <w:rFonts w:eastAsia="Times New Roman" w:cs="Times New Roman"/>
              </w:rPr>
              <w:t xml:space="preserve">All SOAP Envelope and SOAP Connectivity </w:t>
            </w:r>
            <w:r w:rsidRPr="00800AB2">
              <w:rPr>
                <w:rFonts w:eastAsia="Times New Roman" w:cs="Times New Roman"/>
              </w:rPr>
              <w:t>Test Case Package</w:t>
            </w:r>
            <w:r>
              <w:rPr>
                <w:rFonts w:eastAsia="Times New Roman" w:cs="Times New Roman"/>
              </w:rPr>
              <w:t>s documents are updated.</w:t>
            </w:r>
          </w:p>
        </w:tc>
      </w:tr>
    </w:tbl>
    <w:p w:rsidR="00B015D8" w:rsidRPr="001C74BB" w:rsidRDefault="00B015D8" w:rsidP="00B015D8">
      <w:pPr>
        <w:rPr>
          <w:b/>
        </w:rPr>
      </w:pPr>
    </w:p>
    <w:p w:rsidR="00B015D8" w:rsidRDefault="00B015D8" w:rsidP="00513518"/>
    <w:p w:rsidR="00513518" w:rsidRDefault="00513518" w:rsidP="00513518">
      <w:r>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Default="00513518" w:rsidP="00513518">
      <w:pPr>
        <w:rPr>
          <w:b/>
        </w:rPr>
      </w:pPr>
    </w:p>
    <w:sectPr w:rsidR="00513518"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277" w:rsidRDefault="00535277" w:rsidP="0052426D">
      <w:pPr>
        <w:spacing w:after="0" w:line="240" w:lineRule="auto"/>
      </w:pPr>
      <w:r>
        <w:separator/>
      </w:r>
    </w:p>
  </w:endnote>
  <w:endnote w:type="continuationSeparator" w:id="0">
    <w:p w:rsidR="00535277" w:rsidRDefault="00535277"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277" w:rsidRDefault="00535277" w:rsidP="0052426D">
      <w:pPr>
        <w:spacing w:after="0" w:line="240" w:lineRule="auto"/>
      </w:pPr>
      <w:r>
        <w:separator/>
      </w:r>
    </w:p>
  </w:footnote>
  <w:footnote w:type="continuationSeparator" w:id="0">
    <w:p w:rsidR="00535277" w:rsidRDefault="00535277"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468"/>
    <w:rsid w:val="00002AD8"/>
    <w:rsid w:val="000239C2"/>
    <w:rsid w:val="000540C7"/>
    <w:rsid w:val="000652F0"/>
    <w:rsid w:val="00083E54"/>
    <w:rsid w:val="000A4FCB"/>
    <w:rsid w:val="000E474D"/>
    <w:rsid w:val="00110649"/>
    <w:rsid w:val="00113599"/>
    <w:rsid w:val="001210E9"/>
    <w:rsid w:val="00133430"/>
    <w:rsid w:val="00155512"/>
    <w:rsid w:val="001564B8"/>
    <w:rsid w:val="00172DD9"/>
    <w:rsid w:val="001769C2"/>
    <w:rsid w:val="00180B00"/>
    <w:rsid w:val="001901D9"/>
    <w:rsid w:val="001C74BB"/>
    <w:rsid w:val="001E434B"/>
    <w:rsid w:val="001F2221"/>
    <w:rsid w:val="0021198E"/>
    <w:rsid w:val="00223ACB"/>
    <w:rsid w:val="00240095"/>
    <w:rsid w:val="0024144B"/>
    <w:rsid w:val="002830DF"/>
    <w:rsid w:val="0029034D"/>
    <w:rsid w:val="002961A4"/>
    <w:rsid w:val="002F6BE3"/>
    <w:rsid w:val="00304A21"/>
    <w:rsid w:val="00307A0C"/>
    <w:rsid w:val="0031490F"/>
    <w:rsid w:val="003565AB"/>
    <w:rsid w:val="003C2EAA"/>
    <w:rsid w:val="003D6411"/>
    <w:rsid w:val="003E7225"/>
    <w:rsid w:val="003F73FF"/>
    <w:rsid w:val="00402B77"/>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35277"/>
    <w:rsid w:val="00560541"/>
    <w:rsid w:val="005674D9"/>
    <w:rsid w:val="005A3769"/>
    <w:rsid w:val="005A44AA"/>
    <w:rsid w:val="005C333E"/>
    <w:rsid w:val="005D09F5"/>
    <w:rsid w:val="005D3372"/>
    <w:rsid w:val="005E2379"/>
    <w:rsid w:val="006324F8"/>
    <w:rsid w:val="006415A8"/>
    <w:rsid w:val="006477DB"/>
    <w:rsid w:val="00653707"/>
    <w:rsid w:val="006A22DD"/>
    <w:rsid w:val="006B28CF"/>
    <w:rsid w:val="006C4D6F"/>
    <w:rsid w:val="006E2297"/>
    <w:rsid w:val="006F5E50"/>
    <w:rsid w:val="0071206C"/>
    <w:rsid w:val="0071617A"/>
    <w:rsid w:val="00716636"/>
    <w:rsid w:val="00727B20"/>
    <w:rsid w:val="00731274"/>
    <w:rsid w:val="00741AE6"/>
    <w:rsid w:val="007461BD"/>
    <w:rsid w:val="00746F0F"/>
    <w:rsid w:val="00752FDA"/>
    <w:rsid w:val="00775615"/>
    <w:rsid w:val="007A0CFD"/>
    <w:rsid w:val="007B2595"/>
    <w:rsid w:val="007B35CA"/>
    <w:rsid w:val="007C4AC1"/>
    <w:rsid w:val="007D23EA"/>
    <w:rsid w:val="007D3827"/>
    <w:rsid w:val="007E3512"/>
    <w:rsid w:val="007E598C"/>
    <w:rsid w:val="00800AB2"/>
    <w:rsid w:val="00835983"/>
    <w:rsid w:val="00853CB2"/>
    <w:rsid w:val="00887A91"/>
    <w:rsid w:val="008B0126"/>
    <w:rsid w:val="008B2C07"/>
    <w:rsid w:val="008E2BC0"/>
    <w:rsid w:val="008E6063"/>
    <w:rsid w:val="0093347F"/>
    <w:rsid w:val="00943692"/>
    <w:rsid w:val="0096699F"/>
    <w:rsid w:val="00970E3A"/>
    <w:rsid w:val="00972ECC"/>
    <w:rsid w:val="00973F9F"/>
    <w:rsid w:val="00987C70"/>
    <w:rsid w:val="009A5B26"/>
    <w:rsid w:val="00A25CE4"/>
    <w:rsid w:val="00A41FB0"/>
    <w:rsid w:val="00A639E1"/>
    <w:rsid w:val="00A82912"/>
    <w:rsid w:val="00AB2DBE"/>
    <w:rsid w:val="00AB5EB7"/>
    <w:rsid w:val="00AC37E9"/>
    <w:rsid w:val="00AE73EE"/>
    <w:rsid w:val="00AF088B"/>
    <w:rsid w:val="00B015D8"/>
    <w:rsid w:val="00B06B6D"/>
    <w:rsid w:val="00B14F81"/>
    <w:rsid w:val="00B2114C"/>
    <w:rsid w:val="00B26824"/>
    <w:rsid w:val="00B2742A"/>
    <w:rsid w:val="00B45B9E"/>
    <w:rsid w:val="00B6219A"/>
    <w:rsid w:val="00B62711"/>
    <w:rsid w:val="00B738AE"/>
    <w:rsid w:val="00B754E5"/>
    <w:rsid w:val="00B870BC"/>
    <w:rsid w:val="00B87897"/>
    <w:rsid w:val="00B93CE7"/>
    <w:rsid w:val="00BA31AB"/>
    <w:rsid w:val="00BB14FB"/>
    <w:rsid w:val="00BB4B5C"/>
    <w:rsid w:val="00BE1963"/>
    <w:rsid w:val="00BF754A"/>
    <w:rsid w:val="00C20ACC"/>
    <w:rsid w:val="00C24412"/>
    <w:rsid w:val="00C410A6"/>
    <w:rsid w:val="00C51E10"/>
    <w:rsid w:val="00C53491"/>
    <w:rsid w:val="00C758DB"/>
    <w:rsid w:val="00C96250"/>
    <w:rsid w:val="00CB6B56"/>
    <w:rsid w:val="00CD0089"/>
    <w:rsid w:val="00CE778B"/>
    <w:rsid w:val="00D00908"/>
    <w:rsid w:val="00D0772A"/>
    <w:rsid w:val="00D15DE6"/>
    <w:rsid w:val="00D1685F"/>
    <w:rsid w:val="00D232F8"/>
    <w:rsid w:val="00D3548A"/>
    <w:rsid w:val="00D57404"/>
    <w:rsid w:val="00D611A0"/>
    <w:rsid w:val="00D65A11"/>
    <w:rsid w:val="00D87D51"/>
    <w:rsid w:val="00D96E90"/>
    <w:rsid w:val="00DA1775"/>
    <w:rsid w:val="00DA7C66"/>
    <w:rsid w:val="00DB5AB5"/>
    <w:rsid w:val="00DD256B"/>
    <w:rsid w:val="00E04D57"/>
    <w:rsid w:val="00E2237D"/>
    <w:rsid w:val="00E47154"/>
    <w:rsid w:val="00E84038"/>
    <w:rsid w:val="00E85EB8"/>
    <w:rsid w:val="00E95908"/>
    <w:rsid w:val="00F1053D"/>
    <w:rsid w:val="00F13A05"/>
    <w:rsid w:val="00F456BB"/>
    <w:rsid w:val="00F466B4"/>
    <w:rsid w:val="00F526D8"/>
    <w:rsid w:val="00FA43CC"/>
    <w:rsid w:val="00FA5D0E"/>
    <w:rsid w:val="00FB5EBD"/>
    <w:rsid w:val="00FD1AE9"/>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94FF"/>
  <w15:docId w15:val="{D53C20C7-834F-4563-94C6-0CD20F0D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Martinez, Sandra (Fed)</cp:lastModifiedBy>
  <cp:revision>8</cp:revision>
  <cp:lastPrinted>2016-03-30T21:08:00Z</cp:lastPrinted>
  <dcterms:created xsi:type="dcterms:W3CDTF">2016-03-29T15:36:00Z</dcterms:created>
  <dcterms:modified xsi:type="dcterms:W3CDTF">2016-04-01T17:00:00Z</dcterms:modified>
</cp:coreProperties>
</file>