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CD7F5B">
        <w:rPr>
          <w:b/>
          <w:sz w:val="28"/>
          <w:szCs w:val="28"/>
          <w:u w:val="single"/>
        </w:rPr>
        <w:t xml:space="preserve"> Release Notes for Version 1.3</w:t>
      </w:r>
      <w:r w:rsidR="00B14F81">
        <w:rPr>
          <w:b/>
          <w:sz w:val="28"/>
          <w:szCs w:val="28"/>
          <w:u w:val="single"/>
        </w:rPr>
        <w:t>.0</w:t>
      </w:r>
      <w:r w:rsidR="00DA1775">
        <w:rPr>
          <w:b/>
          <w:sz w:val="28"/>
          <w:szCs w:val="28"/>
          <w:u w:val="single"/>
        </w:rPr>
        <w:t xml:space="preserve"> </w:t>
      </w:r>
      <w:r w:rsidR="00972972">
        <w:rPr>
          <w:b/>
          <w:sz w:val="28"/>
          <w:szCs w:val="28"/>
          <w:u w:val="single"/>
        </w:rPr>
        <w:t>May</w:t>
      </w:r>
      <w:r w:rsidR="00CD7F5B">
        <w:rPr>
          <w:b/>
          <w:sz w:val="28"/>
          <w:szCs w:val="28"/>
          <w:u w:val="single"/>
        </w:rPr>
        <w:t xml:space="preserve"> 5</w:t>
      </w:r>
      <w:r w:rsidR="00A41FB0">
        <w:rPr>
          <w:b/>
          <w:sz w:val="28"/>
          <w:szCs w:val="28"/>
          <w:u w:val="single"/>
        </w:rPr>
        <w:t>,</w:t>
      </w:r>
      <w:r w:rsidR="00002468">
        <w:rPr>
          <w:b/>
          <w:sz w:val="28"/>
          <w:szCs w:val="28"/>
          <w:u w:val="single"/>
        </w:rPr>
        <w:t xml:space="preserve"> 2016</w:t>
      </w:r>
    </w:p>
    <w:p w:rsidR="00412050" w:rsidRPr="00CD7F5B" w:rsidRDefault="00412050" w:rsidP="00A33741">
      <w:pPr>
        <w:jc w:val="center"/>
        <w:rPr>
          <w:b/>
          <w:sz w:val="28"/>
          <w:szCs w:val="28"/>
        </w:rPr>
      </w:pPr>
      <w:r w:rsidRPr="00CD7F5B">
        <w:rPr>
          <w:b/>
          <w:sz w:val="28"/>
          <w:szCs w:val="28"/>
        </w:rPr>
        <w:t>Data</w:t>
      </w:r>
    </w:p>
    <w:tbl>
      <w:tblPr>
        <w:tblStyle w:val="TableGrid"/>
        <w:tblW w:w="0" w:type="auto"/>
        <w:tblLook w:val="04A0" w:firstRow="1" w:lastRow="0" w:firstColumn="1" w:lastColumn="0" w:noHBand="0" w:noVBand="1"/>
      </w:tblPr>
      <w:tblGrid>
        <w:gridCol w:w="2278"/>
        <w:gridCol w:w="4036"/>
        <w:gridCol w:w="6636"/>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Pr="00CD7F5B" w:rsidRDefault="00987C70" w:rsidP="00A33741">
      <w:pPr>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72"/>
        <w:gridCol w:w="6778"/>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A33741" w:rsidTr="0052426D">
        <w:trPr>
          <w:cantSplit/>
          <w:tblHeader/>
        </w:trPr>
        <w:tc>
          <w:tcPr>
            <w:tcW w:w="6228" w:type="dxa"/>
          </w:tcPr>
          <w:p w:rsidR="00A33741" w:rsidRDefault="00A33741" w:rsidP="00F5003F">
            <w:pPr>
              <w:rPr>
                <w:sz w:val="20"/>
                <w:szCs w:val="20"/>
              </w:rPr>
            </w:pPr>
            <w:r w:rsidRPr="00E87657">
              <w:rPr>
                <w:sz w:val="20"/>
                <w:szCs w:val="20"/>
              </w:rPr>
              <w:t xml:space="preserve">The tool </w:t>
            </w:r>
            <w:r w:rsidR="00F5003F" w:rsidRPr="00E87657">
              <w:rPr>
                <w:sz w:val="20"/>
                <w:szCs w:val="20"/>
              </w:rPr>
              <w:t xml:space="preserve">is reporting the following error on the </w:t>
            </w:r>
            <w:r w:rsidR="003D0654" w:rsidRPr="00E87657">
              <w:rPr>
                <w:sz w:val="20"/>
                <w:szCs w:val="20"/>
              </w:rPr>
              <w:t xml:space="preserve">optional field </w:t>
            </w:r>
            <w:r w:rsidR="00F5003F" w:rsidRPr="00E87657">
              <w:rPr>
                <w:sz w:val="20"/>
                <w:szCs w:val="20"/>
              </w:rPr>
              <w:t>NK1-35.3</w:t>
            </w:r>
            <w:r w:rsidR="001424E9">
              <w:rPr>
                <w:sz w:val="20"/>
                <w:szCs w:val="20"/>
              </w:rPr>
              <w:t xml:space="preserve"> (Race)</w:t>
            </w:r>
            <w:r w:rsidR="00F5003F" w:rsidRPr="00E87657">
              <w:rPr>
                <w:sz w:val="20"/>
                <w:szCs w:val="20"/>
              </w:rPr>
              <w:t>; Invalid Code System. Expected: 'HL70005', Found: 'CDCREC'".</w:t>
            </w:r>
          </w:p>
          <w:p w:rsidR="0028317E" w:rsidRDefault="0028317E" w:rsidP="00F5003F">
            <w:pPr>
              <w:rPr>
                <w:sz w:val="20"/>
                <w:szCs w:val="20"/>
              </w:rPr>
            </w:pPr>
          </w:p>
          <w:p w:rsidR="0028317E" w:rsidRPr="00E87657" w:rsidRDefault="0028317E" w:rsidP="00F5003F">
            <w:pPr>
              <w:rPr>
                <w:sz w:val="20"/>
                <w:szCs w:val="20"/>
              </w:rPr>
            </w:pPr>
            <w:r>
              <w:rPr>
                <w:sz w:val="20"/>
                <w:szCs w:val="20"/>
              </w:rPr>
              <w:t>This issue applies to other optional elements with value sets.</w:t>
            </w:r>
          </w:p>
        </w:tc>
        <w:tc>
          <w:tcPr>
            <w:tcW w:w="6840" w:type="dxa"/>
          </w:tcPr>
          <w:p w:rsidR="00A1745C" w:rsidRPr="00E87657" w:rsidRDefault="00A1745C" w:rsidP="00A1745C">
            <w:pPr>
              <w:rPr>
                <w:sz w:val="20"/>
                <w:szCs w:val="20"/>
              </w:rPr>
            </w:pPr>
            <w:r w:rsidRPr="00E87657">
              <w:rPr>
                <w:sz w:val="20"/>
                <w:szCs w:val="20"/>
              </w:rPr>
              <w:t xml:space="preserve">It is a NIST policy </w:t>
            </w:r>
            <w:r w:rsidR="00BD303D" w:rsidRPr="00E87657">
              <w:rPr>
                <w:sz w:val="20"/>
                <w:szCs w:val="20"/>
              </w:rPr>
              <w:t xml:space="preserve">to validate </w:t>
            </w:r>
            <w:r w:rsidRPr="00E87657">
              <w:rPr>
                <w:sz w:val="20"/>
                <w:szCs w:val="20"/>
              </w:rPr>
              <w:t xml:space="preserve">optional elements </w:t>
            </w:r>
            <w:r w:rsidR="00BD303D" w:rsidRPr="00E87657">
              <w:rPr>
                <w:sz w:val="20"/>
                <w:szCs w:val="20"/>
              </w:rPr>
              <w:t xml:space="preserve">to the base standard. </w:t>
            </w:r>
            <w:r w:rsidRPr="00E87657">
              <w:rPr>
                <w:rFonts w:eastAsia="Times New Roman" w:cs="Times New Roman"/>
                <w:sz w:val="20"/>
                <w:szCs w:val="20"/>
              </w:rPr>
              <w:t xml:space="preserve">In the case of value set detection on optional elements, an exception will be made since it is </w:t>
            </w:r>
            <w:r w:rsidR="00F5003F" w:rsidRPr="00E87657">
              <w:rPr>
                <w:rFonts w:eastAsia="Times New Roman" w:cs="Times New Roman"/>
                <w:sz w:val="20"/>
                <w:szCs w:val="20"/>
              </w:rPr>
              <w:t>allowable to profile tables (value sets) in derived profiles</w:t>
            </w:r>
            <w:r w:rsidRPr="00E87657">
              <w:rPr>
                <w:rFonts w:eastAsia="Times New Roman" w:cs="Times New Roman"/>
                <w:sz w:val="20"/>
                <w:szCs w:val="20"/>
              </w:rPr>
              <w:t xml:space="preserve">. The </w:t>
            </w:r>
            <w:r w:rsidR="003D0654" w:rsidRPr="00E87657">
              <w:rPr>
                <w:rFonts w:eastAsia="Times New Roman" w:cs="Times New Roman"/>
                <w:sz w:val="20"/>
                <w:szCs w:val="20"/>
              </w:rPr>
              <w:t>tool was modified</w:t>
            </w:r>
            <w:r w:rsidRPr="00E87657">
              <w:rPr>
                <w:rFonts w:eastAsia="Times New Roman" w:cs="Times New Roman"/>
                <w:sz w:val="20"/>
                <w:szCs w:val="20"/>
              </w:rPr>
              <w:t xml:space="preserve"> to </w:t>
            </w:r>
            <w:r w:rsidR="00F5003F" w:rsidRPr="00E87657">
              <w:rPr>
                <w:rFonts w:eastAsia="Times New Roman" w:cs="Times New Roman"/>
                <w:sz w:val="20"/>
                <w:szCs w:val="20"/>
              </w:rPr>
              <w:t xml:space="preserve">report </w:t>
            </w:r>
            <w:r w:rsidRPr="00E87657">
              <w:rPr>
                <w:sz w:val="20"/>
                <w:szCs w:val="20"/>
              </w:rPr>
              <w:t>Alert for optional elements with value set detections.</w:t>
            </w:r>
          </w:p>
          <w:p w:rsidR="00A33741" w:rsidRPr="00E87657" w:rsidRDefault="00A1745C" w:rsidP="00A1745C">
            <w:pPr>
              <w:spacing w:before="100" w:beforeAutospacing="1" w:after="100" w:afterAutospacing="1"/>
              <w:rPr>
                <w:b/>
                <w:sz w:val="20"/>
                <w:szCs w:val="20"/>
              </w:rPr>
            </w:pPr>
            <w:r w:rsidRPr="00E87657">
              <w:rPr>
                <w:rFonts w:eastAsia="Times New Roman" w:cs="Times New Roman"/>
                <w:color w:val="1F497D"/>
                <w:sz w:val="20"/>
                <w:szCs w:val="20"/>
              </w:rPr>
              <w:t xml:space="preserve"> </w:t>
            </w:r>
          </w:p>
        </w:tc>
      </w:tr>
    </w:tbl>
    <w:p w:rsidR="00C410A6" w:rsidRDefault="00C410A6" w:rsidP="00987C70"/>
    <w:p w:rsidR="00987C70" w:rsidRPr="00CD7F5B" w:rsidRDefault="00987C70" w:rsidP="00CD7F5B">
      <w:pPr>
        <w:jc w:val="center"/>
        <w:rPr>
          <w:b/>
          <w:sz w:val="28"/>
          <w:szCs w:val="28"/>
        </w:rPr>
      </w:pPr>
      <w:r w:rsidRPr="00CD7F5B">
        <w:rPr>
          <w:b/>
          <w:sz w:val="28"/>
          <w:szCs w:val="28"/>
        </w:rPr>
        <w:t>User Interface</w:t>
      </w:r>
    </w:p>
    <w:tbl>
      <w:tblPr>
        <w:tblStyle w:val="TableGrid"/>
        <w:tblW w:w="0" w:type="auto"/>
        <w:tblLook w:val="04A0" w:firstRow="1" w:lastRow="0" w:firstColumn="1" w:lastColumn="0" w:noHBand="0" w:noVBand="1"/>
      </w:tblPr>
      <w:tblGrid>
        <w:gridCol w:w="6170"/>
        <w:gridCol w:w="678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CD7F5B" w:rsidTr="002D01CA">
        <w:trPr>
          <w:cantSplit/>
        </w:trPr>
        <w:tc>
          <w:tcPr>
            <w:tcW w:w="6228" w:type="dxa"/>
          </w:tcPr>
          <w:p w:rsidR="00CD7F5B" w:rsidRDefault="00CD7F5B" w:rsidP="00CD7F5B">
            <w:r>
              <w:t>None</w:t>
            </w:r>
          </w:p>
        </w:tc>
        <w:tc>
          <w:tcPr>
            <w:tcW w:w="6840" w:type="dxa"/>
          </w:tcPr>
          <w:p w:rsidR="00CD7F5B" w:rsidRDefault="00CD7F5B" w:rsidP="00CD7F5B"/>
        </w:tc>
      </w:tr>
    </w:tbl>
    <w:p w:rsidR="00CD7F5B" w:rsidRDefault="00CD7F5B" w:rsidP="00CD7F5B">
      <w:pPr>
        <w:rPr>
          <w:b/>
          <w:sz w:val="32"/>
          <w:szCs w:val="32"/>
        </w:rPr>
      </w:pPr>
    </w:p>
    <w:p w:rsidR="00C758DB" w:rsidRPr="00CD7F5B" w:rsidRDefault="00C758DB" w:rsidP="00CD7F5B">
      <w:pPr>
        <w:jc w:val="center"/>
        <w:rPr>
          <w:b/>
          <w:sz w:val="28"/>
          <w:szCs w:val="28"/>
        </w:rPr>
      </w:pPr>
      <w:r w:rsidRPr="00CD7F5B">
        <w:rPr>
          <w:b/>
          <w:sz w:val="28"/>
          <w:szCs w:val="28"/>
        </w:rPr>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6170"/>
        <w:gridCol w:w="678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C410A6" w:rsidRDefault="00C410A6" w:rsidP="00B015D8"/>
    <w:p w:rsidR="00E751C0" w:rsidRPr="00CD7F5B" w:rsidRDefault="00E751C0" w:rsidP="00E751C0">
      <w:pPr>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173"/>
        <w:gridCol w:w="6777"/>
      </w:tblGrid>
      <w:tr w:rsidR="00E751C0" w:rsidTr="005F1201">
        <w:trPr>
          <w:cantSplit/>
          <w:tblHeader/>
        </w:trPr>
        <w:tc>
          <w:tcPr>
            <w:tcW w:w="6228" w:type="dxa"/>
          </w:tcPr>
          <w:p w:rsidR="00E751C0" w:rsidRPr="00412050" w:rsidRDefault="00E751C0" w:rsidP="005F1201">
            <w:pPr>
              <w:rPr>
                <w:b/>
              </w:rPr>
            </w:pPr>
            <w:r w:rsidRPr="00412050">
              <w:rPr>
                <w:b/>
              </w:rPr>
              <w:t>Issue</w:t>
            </w:r>
          </w:p>
        </w:tc>
        <w:tc>
          <w:tcPr>
            <w:tcW w:w="6840" w:type="dxa"/>
          </w:tcPr>
          <w:p w:rsidR="00E751C0" w:rsidRPr="00412050" w:rsidRDefault="00E751C0" w:rsidP="005F1201">
            <w:pPr>
              <w:rPr>
                <w:b/>
              </w:rPr>
            </w:pPr>
            <w:r w:rsidRPr="00412050">
              <w:rPr>
                <w:b/>
              </w:rPr>
              <w:t>Resolution</w:t>
            </w:r>
          </w:p>
        </w:tc>
      </w:tr>
      <w:tr w:rsidR="00E751C0" w:rsidTr="005F1201">
        <w:trPr>
          <w:cantSplit/>
        </w:trPr>
        <w:tc>
          <w:tcPr>
            <w:tcW w:w="6228" w:type="dxa"/>
          </w:tcPr>
          <w:p w:rsidR="00E751C0" w:rsidRDefault="00E751C0" w:rsidP="00E751C0">
            <w:r>
              <w:t>The NIST Immunization Normative Test Process Document did not include an explanation about the single message (step by step) testing and multiple message (multiple step) testing and the new capabilities now included.</w:t>
            </w:r>
          </w:p>
          <w:p w:rsidR="00E751C0" w:rsidRDefault="00E751C0" w:rsidP="005F1201"/>
        </w:tc>
        <w:tc>
          <w:tcPr>
            <w:tcW w:w="6840" w:type="dxa"/>
          </w:tcPr>
          <w:p w:rsidR="00E751C0" w:rsidRDefault="00E751C0" w:rsidP="00E751C0">
            <w:r>
              <w:t>The NIST Immunization Normative Test Process Document has been updated to V1.3.</w:t>
            </w:r>
          </w:p>
          <w:p w:rsidR="00E751C0" w:rsidRDefault="00E751C0" w:rsidP="00E751C0"/>
          <w:p w:rsidR="00E751C0" w:rsidRDefault="00E751C0" w:rsidP="00E751C0">
            <w:r>
              <w:t xml:space="preserve">Verbiage was added at the beginning of the Normative Test Description section to explain in detail the two ways that the ONC Certification testing can be completed using the </w:t>
            </w:r>
            <w:r w:rsidR="00B649B7">
              <w:t>Immunization</w:t>
            </w:r>
            <w:r>
              <w:t xml:space="preserve"> Tool, including:</w:t>
            </w:r>
          </w:p>
          <w:p w:rsidR="00E751C0" w:rsidRDefault="00E751C0" w:rsidP="00E751C0">
            <w:pPr>
              <w:pStyle w:val="NoSpacing"/>
              <w:numPr>
                <w:ilvl w:val="0"/>
                <w:numId w:val="3"/>
              </w:numPr>
              <w:ind w:left="360"/>
              <w:rPr>
                <w:rFonts w:ascii="Calibri" w:hAnsi="Calibri"/>
              </w:rPr>
            </w:pPr>
            <w:r>
              <w:rPr>
                <w:rFonts w:ascii="Calibri" w:hAnsi="Calibri"/>
              </w:rPr>
              <w:t>Single message (step by step) testing</w:t>
            </w:r>
          </w:p>
          <w:p w:rsidR="00E751C0" w:rsidRDefault="00E751C0" w:rsidP="00E751C0">
            <w:pPr>
              <w:pStyle w:val="ListParagraph"/>
              <w:numPr>
                <w:ilvl w:val="0"/>
                <w:numId w:val="3"/>
              </w:numPr>
              <w:ind w:left="360"/>
              <w:rPr>
                <w:rFonts w:ascii="Calibri" w:hAnsi="Calibri"/>
                <w:i/>
                <w:iCs/>
              </w:rPr>
            </w:pPr>
            <w:r>
              <w:t>Multiple message (multiple step) testing</w:t>
            </w:r>
          </w:p>
          <w:p w:rsidR="00E751C0" w:rsidRDefault="00E751C0" w:rsidP="00E751C0">
            <w:r>
              <w:t>This verbiage also describes the new capabilities that allow the Tester to modify the Validation Results and to add a Comment to the Validation Report produced for each Test Step.</w:t>
            </w:r>
          </w:p>
        </w:tc>
      </w:tr>
      <w:tr w:rsidR="00B649B7" w:rsidTr="005F1201">
        <w:trPr>
          <w:cantSplit/>
        </w:trPr>
        <w:tc>
          <w:tcPr>
            <w:tcW w:w="6228" w:type="dxa"/>
          </w:tcPr>
          <w:p w:rsidR="00B649B7" w:rsidRDefault="00B649B7" w:rsidP="009D6046">
            <w:r>
              <w:t xml:space="preserve">The NIST </w:t>
            </w:r>
            <w:r w:rsidR="000A6147">
              <w:t xml:space="preserve">tool Tutorial should </w:t>
            </w:r>
            <w:r>
              <w:t>to be updated to include the si</w:t>
            </w:r>
            <w:r w:rsidR="009D6046">
              <w:t xml:space="preserve">ngle message (step by step) and </w:t>
            </w:r>
            <w:r>
              <w:t>multi message (m</w:t>
            </w:r>
            <w:r w:rsidR="009D6046">
              <w:t>ulti step) testing capabilities.</w:t>
            </w:r>
          </w:p>
        </w:tc>
        <w:tc>
          <w:tcPr>
            <w:tcW w:w="6840" w:type="dxa"/>
          </w:tcPr>
          <w:p w:rsidR="000A6147" w:rsidRDefault="00B649B7" w:rsidP="000A6147">
            <w:r>
              <w:t>The NIST tool Tutorial has been updated. A Walk</w:t>
            </w:r>
            <w:r w:rsidR="000A6147">
              <w:t xml:space="preserve"> </w:t>
            </w:r>
            <w:r>
              <w:t xml:space="preserve">through on how to use the single message and multi message capabilities was added as well as the capability to modify the Validation Results and to add a Comment to the Validation Report produced for each Test Step. </w:t>
            </w:r>
          </w:p>
          <w:p w:rsidR="000A6147" w:rsidRDefault="000A6147" w:rsidP="000A6147"/>
          <w:p w:rsidR="00B649B7" w:rsidRDefault="000A6147" w:rsidP="000A6147">
            <w:r>
              <w:t xml:space="preserve">A walk through enabling and disabling the transport for the execution of multi message testing </w:t>
            </w:r>
            <w:r w:rsidR="009D6046">
              <w:t>was also included</w:t>
            </w:r>
            <w:r>
              <w:t xml:space="preserve">. </w:t>
            </w:r>
            <w:r w:rsidR="009D6046">
              <w:t xml:space="preserve"> </w:t>
            </w:r>
            <w:r>
              <w:rPr>
                <w:b/>
              </w:rPr>
              <w:t>T</w:t>
            </w:r>
            <w:r w:rsidRPr="000A6147">
              <w:rPr>
                <w:b/>
              </w:rPr>
              <w:t>ransport usage</w:t>
            </w:r>
            <w:r>
              <w:t xml:space="preserve"> </w:t>
            </w:r>
            <w:r>
              <w:rPr>
                <w:b/>
                <w:bCs/>
              </w:rPr>
              <w:t xml:space="preserve">does not </w:t>
            </w:r>
            <w:r w:rsidRPr="00240095">
              <w:rPr>
                <w:b/>
                <w:bCs/>
                <w:color w:val="000000" w:themeColor="text1"/>
              </w:rPr>
              <w:t>affect</w:t>
            </w:r>
            <w:r>
              <w:rPr>
                <w:b/>
                <w:bCs/>
                <w:color w:val="FF0000"/>
              </w:rPr>
              <w:t xml:space="preserve"> </w:t>
            </w:r>
            <w:r>
              <w:rPr>
                <w:b/>
                <w:bCs/>
              </w:rPr>
              <w:t>2015 ONC Health IT Certification.</w:t>
            </w:r>
          </w:p>
        </w:tc>
      </w:tr>
    </w:tbl>
    <w:p w:rsidR="00E751C0" w:rsidRDefault="00E751C0" w:rsidP="00E751C0"/>
    <w:p w:rsidR="00CD7F5B" w:rsidRDefault="00CD7F5B" w:rsidP="000A6147">
      <w:pPr>
        <w:rPr>
          <w:b/>
          <w:sz w:val="32"/>
          <w:szCs w:val="32"/>
        </w:rPr>
      </w:pPr>
    </w:p>
    <w:p w:rsidR="00B015D8" w:rsidRPr="001424E9" w:rsidRDefault="00B015D8" w:rsidP="00CD7F5B">
      <w:pPr>
        <w:jc w:val="center"/>
        <w:rPr>
          <w:b/>
          <w:sz w:val="28"/>
          <w:szCs w:val="28"/>
        </w:rPr>
      </w:pPr>
      <w:r w:rsidRPr="001424E9">
        <w:rPr>
          <w:b/>
          <w:sz w:val="28"/>
          <w:szCs w:val="28"/>
        </w:rPr>
        <w:t>SOAP Functionality</w:t>
      </w:r>
    </w:p>
    <w:tbl>
      <w:tblPr>
        <w:tblStyle w:val="TableGrid"/>
        <w:tblW w:w="0" w:type="auto"/>
        <w:tblLook w:val="04A0" w:firstRow="1" w:lastRow="0" w:firstColumn="1" w:lastColumn="0" w:noHBand="0" w:noVBand="1"/>
      </w:tblPr>
      <w:tblGrid>
        <w:gridCol w:w="6156"/>
        <w:gridCol w:w="6794"/>
      </w:tblGrid>
      <w:tr w:rsidR="00B015D8" w:rsidTr="003B76A2">
        <w:trPr>
          <w:cantSplit/>
          <w:tblHeader/>
        </w:trPr>
        <w:tc>
          <w:tcPr>
            <w:tcW w:w="6228" w:type="dxa"/>
          </w:tcPr>
          <w:p w:rsidR="00B015D8" w:rsidRPr="00412050" w:rsidRDefault="00B015D8" w:rsidP="003B76A2">
            <w:pPr>
              <w:rPr>
                <w:b/>
              </w:rPr>
            </w:pPr>
            <w:r w:rsidRPr="00412050">
              <w:rPr>
                <w:b/>
              </w:rPr>
              <w:t>Issue</w:t>
            </w:r>
          </w:p>
        </w:tc>
        <w:tc>
          <w:tcPr>
            <w:tcW w:w="6840" w:type="dxa"/>
          </w:tcPr>
          <w:p w:rsidR="00B015D8" w:rsidRPr="00412050" w:rsidRDefault="00B015D8" w:rsidP="003B76A2">
            <w:pPr>
              <w:rPr>
                <w:b/>
              </w:rPr>
            </w:pPr>
            <w:r w:rsidRPr="00412050">
              <w:rPr>
                <w:b/>
              </w:rPr>
              <w:t>Resolution</w:t>
            </w:r>
            <w:r w:rsidR="001424E9">
              <w:rPr>
                <w:b/>
              </w:rPr>
              <w:t xml:space="preserve">            </w:t>
            </w:r>
          </w:p>
        </w:tc>
      </w:tr>
      <w:tr w:rsidR="00CD7F5B" w:rsidTr="001424E9">
        <w:trPr>
          <w:cantSplit/>
        </w:trPr>
        <w:tc>
          <w:tcPr>
            <w:tcW w:w="6228" w:type="dxa"/>
          </w:tcPr>
          <w:p w:rsidR="00CD7F5B" w:rsidRPr="00E87657" w:rsidRDefault="00CD7F5B" w:rsidP="00CD7F5B">
            <w:pPr>
              <w:rPr>
                <w:b/>
                <w:sz w:val="20"/>
                <w:szCs w:val="20"/>
              </w:rPr>
            </w:pPr>
            <w:r w:rsidRPr="00E87657">
              <w:rPr>
                <w:sz w:val="20"/>
                <w:szCs w:val="20"/>
              </w:rPr>
              <w:t xml:space="preserve">After version 1.2.0 </w:t>
            </w:r>
            <w:r>
              <w:rPr>
                <w:sz w:val="20"/>
                <w:szCs w:val="20"/>
              </w:rPr>
              <w:t>released, the test tool transport is no longer</w:t>
            </w:r>
            <w:r w:rsidRPr="00E87657">
              <w:rPr>
                <w:sz w:val="20"/>
                <w:szCs w:val="20"/>
              </w:rPr>
              <w:t xml:space="preserve"> send</w:t>
            </w:r>
            <w:r>
              <w:rPr>
                <w:sz w:val="20"/>
                <w:szCs w:val="20"/>
              </w:rPr>
              <w:t>ing</w:t>
            </w:r>
            <w:r w:rsidRPr="00E87657">
              <w:rPr>
                <w:sz w:val="20"/>
                <w:szCs w:val="20"/>
              </w:rPr>
              <w:t xml:space="preserve"> </w:t>
            </w:r>
            <w:r>
              <w:rPr>
                <w:sz w:val="20"/>
                <w:szCs w:val="20"/>
              </w:rPr>
              <w:t xml:space="preserve">the </w:t>
            </w:r>
            <w:r w:rsidRPr="00E87657">
              <w:rPr>
                <w:sz w:val="20"/>
                <w:szCs w:val="20"/>
              </w:rPr>
              <w:t xml:space="preserve">right </w:t>
            </w:r>
            <w:r>
              <w:rPr>
                <w:sz w:val="20"/>
                <w:szCs w:val="20"/>
              </w:rPr>
              <w:t>response back to the query message, instead it responded with ACK.</w:t>
            </w:r>
          </w:p>
        </w:tc>
        <w:tc>
          <w:tcPr>
            <w:tcW w:w="6840" w:type="dxa"/>
          </w:tcPr>
          <w:p w:rsidR="00CD7F5B" w:rsidRDefault="00CD7F5B" w:rsidP="00CD7F5B">
            <w:pPr>
              <w:pStyle w:val="Heading1"/>
              <w:shd w:val="clear" w:color="auto" w:fill="FFFFFF"/>
              <w:spacing w:before="0" w:beforeAutospacing="0" w:after="0" w:afterAutospacing="0"/>
              <w:ind w:right="2250"/>
              <w:outlineLvl w:val="0"/>
              <w:rPr>
                <w:rStyle w:val="js-issue-title"/>
                <w:rFonts w:asciiTheme="minorHAnsi" w:hAnsiTheme="minorHAnsi" w:cs="Helvetica"/>
                <w:b w:val="0"/>
                <w:bCs w:val="0"/>
                <w:color w:val="333333"/>
                <w:sz w:val="20"/>
                <w:szCs w:val="20"/>
              </w:rPr>
            </w:pPr>
            <w:r>
              <w:rPr>
                <w:rStyle w:val="js-issue-title"/>
                <w:rFonts w:asciiTheme="minorHAnsi" w:hAnsiTheme="minorHAnsi" w:cs="Helvetica"/>
                <w:b w:val="0"/>
                <w:bCs w:val="0"/>
                <w:color w:val="333333"/>
                <w:sz w:val="20"/>
                <w:szCs w:val="20"/>
              </w:rPr>
              <w:t xml:space="preserve">The issue was identified and a transport fix was implemented. </w:t>
            </w:r>
          </w:p>
          <w:p w:rsidR="00CD7F5B" w:rsidRPr="00CD7F5B" w:rsidRDefault="00CD7F5B" w:rsidP="00CD7F5B">
            <w:pPr>
              <w:pStyle w:val="Heading1"/>
              <w:shd w:val="clear" w:color="auto" w:fill="FFFFFF"/>
              <w:spacing w:before="0" w:beforeAutospacing="0" w:after="0" w:afterAutospacing="0"/>
              <w:ind w:right="2250"/>
              <w:outlineLvl w:val="0"/>
              <w:rPr>
                <w:rStyle w:val="js-issue-title"/>
                <w:rFonts w:asciiTheme="minorHAnsi" w:hAnsiTheme="minorHAnsi" w:cs="Helvetica"/>
                <w:b w:val="0"/>
                <w:bCs w:val="0"/>
                <w:color w:val="333333"/>
                <w:sz w:val="20"/>
                <w:szCs w:val="20"/>
              </w:rPr>
            </w:pPr>
            <w:r w:rsidRPr="00CD7F5B">
              <w:rPr>
                <w:sz w:val="20"/>
                <w:szCs w:val="20"/>
              </w:rPr>
              <w:t xml:space="preserve">This fix does not </w:t>
            </w:r>
            <w:r w:rsidRPr="00CD7F5B">
              <w:rPr>
                <w:color w:val="000000" w:themeColor="text1"/>
                <w:sz w:val="20"/>
                <w:szCs w:val="20"/>
              </w:rPr>
              <w:t>affect</w:t>
            </w:r>
            <w:r w:rsidRPr="00CD7F5B">
              <w:rPr>
                <w:color w:val="FF0000"/>
                <w:sz w:val="20"/>
                <w:szCs w:val="20"/>
              </w:rPr>
              <w:t xml:space="preserve"> </w:t>
            </w:r>
            <w:r>
              <w:rPr>
                <w:sz w:val="20"/>
                <w:szCs w:val="20"/>
              </w:rPr>
              <w:t>2015 ONC Health I</w:t>
            </w:r>
            <w:r w:rsidR="001424E9">
              <w:rPr>
                <w:sz w:val="20"/>
                <w:szCs w:val="20"/>
              </w:rPr>
              <w:t xml:space="preserve">T </w:t>
            </w:r>
            <w:r w:rsidRPr="00CD7F5B">
              <w:rPr>
                <w:sz w:val="20"/>
                <w:szCs w:val="20"/>
              </w:rPr>
              <w:t>Certification.</w:t>
            </w:r>
          </w:p>
        </w:tc>
      </w:tr>
    </w:tbl>
    <w:p w:rsidR="00B015D8" w:rsidRPr="001C74BB" w:rsidRDefault="00B015D8" w:rsidP="00B015D8">
      <w:pPr>
        <w:rPr>
          <w:b/>
        </w:rPr>
      </w:pPr>
    </w:p>
    <w:p w:rsidR="00CD7F5B" w:rsidRPr="00CD7F5B" w:rsidRDefault="00CD7F5B" w:rsidP="00CD7F5B">
      <w:pPr>
        <w:jc w:val="center"/>
        <w:rPr>
          <w:b/>
          <w:sz w:val="28"/>
          <w:szCs w:val="28"/>
        </w:rPr>
      </w:pPr>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CD7F5B" w:rsidTr="004D4A5E">
        <w:tc>
          <w:tcPr>
            <w:tcW w:w="13068" w:type="dxa"/>
          </w:tcPr>
          <w:p w:rsidR="0028317E" w:rsidRDefault="0028317E" w:rsidP="0028317E">
            <w:pPr>
              <w:rPr>
                <w:bdr w:val="none" w:sz="0" w:space="0" w:color="auto" w:frame="1"/>
              </w:rPr>
            </w:pPr>
            <w:r>
              <w:t xml:space="preserve">Previously, in order to perform Context-based validation using the Category/Qualifier combination assigned to the Data Elements in the message, the NIST Tool expected the </w:t>
            </w:r>
            <w:r>
              <w:rPr>
                <w:b/>
                <w:bCs/>
              </w:rPr>
              <w:t>repeatable</w:t>
            </w:r>
            <w:r>
              <w:t xml:space="preserve"> </w:t>
            </w:r>
            <w:r>
              <w:rPr>
                <w:b/>
                <w:bCs/>
              </w:rPr>
              <w:t>fields/segments/segment groups</w:t>
            </w:r>
            <w:r>
              <w:t xml:space="preserve"> in the message to be sequenced in a certain order. This sequencing requirement has been changed. Now, the Tool has the ability to</w:t>
            </w:r>
            <w:r>
              <w:rPr>
                <w:bdr w:val="none" w:sz="0" w:space="0" w:color="auto" w:frame="1"/>
              </w:rPr>
              <w:t xml:space="preserve"> validate </w:t>
            </w:r>
            <w:r>
              <w:rPr>
                <w:b/>
                <w:bCs/>
              </w:rPr>
              <w:t>repeatable</w:t>
            </w:r>
            <w:r>
              <w:t xml:space="preserve"> </w:t>
            </w:r>
            <w:r>
              <w:rPr>
                <w:b/>
                <w:bCs/>
              </w:rPr>
              <w:t>fields/segments/segment groups</w:t>
            </w:r>
            <w:r>
              <w:t xml:space="preserve"> </w:t>
            </w:r>
            <w:r>
              <w:rPr>
                <w:bdr w:val="none" w:sz="0" w:space="0" w:color="auto" w:frame="1"/>
              </w:rPr>
              <w:t xml:space="preserve">in a given message in any sequence. </w:t>
            </w:r>
          </w:p>
          <w:p w:rsidR="0028317E" w:rsidRDefault="0028317E" w:rsidP="0028317E">
            <w:pPr>
              <w:rPr>
                <w:bdr w:val="none" w:sz="0" w:space="0" w:color="auto" w:frame="1"/>
              </w:rPr>
            </w:pPr>
          </w:p>
          <w:p w:rsidR="0028317E" w:rsidRDefault="0028317E" w:rsidP="0028317E">
            <w:pPr>
              <w:rPr>
                <w:bdr w:val="none" w:sz="0" w:space="0" w:color="auto" w:frame="1"/>
              </w:rPr>
            </w:pPr>
            <w:r>
              <w:rPr>
                <w:bdr w:val="none" w:sz="0" w:space="0" w:color="auto" w:frame="1"/>
              </w:rPr>
              <w:t xml:space="preserve">In addition, </w:t>
            </w:r>
            <w:r>
              <w:rPr>
                <w:b/>
                <w:bCs/>
                <w:bdr w:val="none" w:sz="0" w:space="0" w:color="auto" w:frame="1"/>
              </w:rPr>
              <w:t>segments</w:t>
            </w:r>
            <w:r>
              <w:rPr>
                <w:bdr w:val="none" w:sz="0" w:space="0" w:color="auto" w:frame="1"/>
              </w:rPr>
              <w:t xml:space="preserve"> and </w:t>
            </w:r>
            <w:r>
              <w:rPr>
                <w:b/>
                <w:bCs/>
                <w:bdr w:val="none" w:sz="0" w:space="0" w:color="auto" w:frame="1"/>
              </w:rPr>
              <w:t>segment groups</w:t>
            </w:r>
            <w:r>
              <w:rPr>
                <w:bdr w:val="none" w:sz="0" w:space="0" w:color="auto" w:frame="1"/>
              </w:rPr>
              <w:t xml:space="preserve"> that </w:t>
            </w:r>
            <w:r>
              <w:rPr>
                <w:i/>
                <w:iCs/>
                <w:bdr w:val="none" w:sz="0" w:space="0" w:color="auto" w:frame="1"/>
              </w:rPr>
              <w:t>are not accounted for in the test data</w:t>
            </w:r>
            <w:r>
              <w:rPr>
                <w:bdr w:val="none" w:sz="0" w:space="0" w:color="auto" w:frame="1"/>
              </w:rPr>
              <w:t xml:space="preserve"> can be added to the message in any sequence (as long as the segment sequence is conformant to the standard), and the Tool will validate these elements without generating a content error. </w:t>
            </w:r>
          </w:p>
          <w:p w:rsidR="0028317E" w:rsidRDefault="0028317E" w:rsidP="0028317E">
            <w:pPr>
              <w:rPr>
                <w:bdr w:val="none" w:sz="0" w:space="0" w:color="auto" w:frame="1"/>
              </w:rPr>
            </w:pPr>
          </w:p>
          <w:p w:rsidR="0028317E" w:rsidRDefault="0028317E" w:rsidP="0028317E">
            <w:pPr>
              <w:rPr>
                <w:bdr w:val="none" w:sz="0" w:space="0" w:color="auto" w:frame="1"/>
              </w:rPr>
            </w:pPr>
            <w:r>
              <w:rPr>
                <w:u w:val="single"/>
                <w:bdr w:val="none" w:sz="0" w:space="0" w:color="auto" w:frame="1"/>
              </w:rPr>
              <w:t>Note</w:t>
            </w:r>
            <w:r>
              <w:rPr>
                <w:bdr w:val="none" w:sz="0" w:space="0" w:color="auto" w:frame="1"/>
              </w:rPr>
              <w:t xml:space="preserve">: For </w:t>
            </w:r>
            <w:r>
              <w:rPr>
                <w:b/>
                <w:bCs/>
                <w:bdr w:val="none" w:sz="0" w:space="0" w:color="auto" w:frame="1"/>
              </w:rPr>
              <w:t>repeatable fields</w:t>
            </w:r>
            <w:r>
              <w:rPr>
                <w:bdr w:val="none" w:sz="0" w:space="0" w:color="auto" w:frame="1"/>
              </w:rPr>
              <w:t>, however</w:t>
            </w:r>
            <w:r>
              <w:rPr>
                <w:b/>
                <w:bCs/>
                <w:bdr w:val="none" w:sz="0" w:space="0" w:color="auto" w:frame="1"/>
              </w:rPr>
              <w:t xml:space="preserve"> </w:t>
            </w:r>
            <w:r>
              <w:rPr>
                <w:bdr w:val="none" w:sz="0" w:space="0" w:color="auto" w:frame="1"/>
              </w:rPr>
              <w:t xml:space="preserve">– such as PID-13 (Phone Number) – the Tool will still generate a content error if a field that is not accounted for in the test data is inserted </w:t>
            </w:r>
            <w:r>
              <w:rPr>
                <w:b/>
                <w:bCs/>
                <w:u w:val="single"/>
                <w:bdr w:val="none" w:sz="0" w:space="0" w:color="auto" w:frame="1"/>
              </w:rPr>
              <w:t>before</w:t>
            </w:r>
            <w:r>
              <w:rPr>
                <w:bdr w:val="none" w:sz="0" w:space="0" w:color="auto" w:frame="1"/>
              </w:rPr>
              <w:t xml:space="preserve"> a field that is populated with data that are provided in the test data. For example:</w:t>
            </w:r>
          </w:p>
          <w:p w:rsidR="0028317E" w:rsidRDefault="0028317E" w:rsidP="0028317E">
            <w:pPr>
              <w:rPr>
                <w:bdr w:val="none" w:sz="0" w:space="0" w:color="auto" w:frame="1"/>
              </w:rPr>
            </w:pPr>
          </w:p>
          <w:p w:rsidR="0028317E" w:rsidRDefault="0028317E" w:rsidP="0028317E">
            <w:pPr>
              <w:ind w:left="720"/>
              <w:rPr>
                <w:bdr w:val="none" w:sz="0" w:space="0" w:color="auto" w:frame="1"/>
              </w:rPr>
            </w:pPr>
            <w:r>
              <w:rPr>
                <w:bdr w:val="none" w:sz="0" w:space="0" w:color="auto" w:frame="1"/>
              </w:rPr>
              <w:t xml:space="preserve">If the test message has a set of data in the first repeatable field of PID-13 and this set of data is accounted for in the provided test data, and then an additional set of data is inserted in a repeatable field </w:t>
            </w:r>
            <w:r>
              <w:rPr>
                <w:u w:val="single"/>
                <w:bdr w:val="none" w:sz="0" w:space="0" w:color="auto" w:frame="1"/>
              </w:rPr>
              <w:t>after</w:t>
            </w:r>
            <w:r>
              <w:rPr>
                <w:bdr w:val="none" w:sz="0" w:space="0" w:color="auto" w:frame="1"/>
              </w:rPr>
              <w:t xml:space="preserve"> that first field, the Tool will </w:t>
            </w:r>
            <w:r>
              <w:rPr>
                <w:i/>
                <w:iCs/>
                <w:bdr w:val="none" w:sz="0" w:space="0" w:color="auto" w:frame="1"/>
              </w:rPr>
              <w:t>not</w:t>
            </w:r>
            <w:r>
              <w:rPr>
                <w:bdr w:val="none" w:sz="0" w:space="0" w:color="auto" w:frame="1"/>
              </w:rPr>
              <w:t xml:space="preserve"> generate a content error. If the additional set of data is inserted </w:t>
            </w:r>
            <w:r>
              <w:rPr>
                <w:u w:val="single"/>
                <w:bdr w:val="none" w:sz="0" w:space="0" w:color="auto" w:frame="1"/>
              </w:rPr>
              <w:t>before</w:t>
            </w:r>
            <w:r>
              <w:rPr>
                <w:bdr w:val="none" w:sz="0" w:space="0" w:color="auto" w:frame="1"/>
              </w:rPr>
              <w:t xml:space="preserve"> that first field, the Tool </w:t>
            </w:r>
            <w:r>
              <w:rPr>
                <w:u w:val="single"/>
                <w:bdr w:val="none" w:sz="0" w:space="0" w:color="auto" w:frame="1"/>
              </w:rPr>
              <w:t>will</w:t>
            </w:r>
            <w:r>
              <w:rPr>
                <w:bdr w:val="none" w:sz="0" w:space="0" w:color="auto" w:frame="1"/>
              </w:rPr>
              <w:t xml:space="preserve"> generate a content error.</w:t>
            </w:r>
          </w:p>
          <w:p w:rsidR="0028317E" w:rsidRDefault="0028317E" w:rsidP="0028317E">
            <w:pPr>
              <w:ind w:left="720"/>
              <w:rPr>
                <w:bdr w:val="none" w:sz="0" w:space="0" w:color="auto" w:frame="1"/>
              </w:rPr>
            </w:pPr>
          </w:p>
          <w:p w:rsidR="0028317E" w:rsidRDefault="0028317E" w:rsidP="0028317E">
            <w:pPr>
              <w:ind w:left="720"/>
              <w:rPr>
                <w:bdr w:val="none" w:sz="0" w:space="0" w:color="auto" w:frame="1"/>
              </w:rPr>
            </w:pPr>
            <w:r>
              <w:rPr>
                <w:bdr w:val="none" w:sz="0" w:space="0" w:color="auto" w:frame="1"/>
              </w:rPr>
              <w:t xml:space="preserve">“|^PRN^PH^^^406^5557896|” </w:t>
            </w:r>
            <w:r>
              <w:rPr>
                <w:u w:val="single"/>
                <w:bdr w:val="none" w:sz="0" w:space="0" w:color="auto" w:frame="1"/>
              </w:rPr>
              <w:t>can</w:t>
            </w:r>
            <w:r>
              <w:rPr>
                <w:bdr w:val="none" w:sz="0" w:space="0" w:color="auto" w:frame="1"/>
              </w:rPr>
              <w:t xml:space="preserve"> become “</w:t>
            </w:r>
            <w:hyperlink r:id="rId7" w:history="1">
              <w:r>
                <w:rPr>
                  <w:rStyle w:val="Hyperlink"/>
                  <w:bdr w:val="none" w:sz="0" w:space="0" w:color="auto" w:frame="1"/>
                </w:rPr>
                <w:t>|^PRN^PH^^^406^5557896~^NET^^Elise.Wong@isp.com|</w:t>
              </w:r>
            </w:hyperlink>
            <w:r>
              <w:rPr>
                <w:bdr w:val="none" w:sz="0" w:space="0" w:color="auto" w:frame="1"/>
              </w:rPr>
              <w:t xml:space="preserve">” and the Tool </w:t>
            </w:r>
            <w:r>
              <w:rPr>
                <w:u w:val="single"/>
                <w:bdr w:val="none" w:sz="0" w:space="0" w:color="auto" w:frame="1"/>
              </w:rPr>
              <w:t>will not</w:t>
            </w:r>
            <w:r>
              <w:rPr>
                <w:bdr w:val="none" w:sz="0" w:space="0" w:color="auto" w:frame="1"/>
              </w:rPr>
              <w:t xml:space="preserve"> generate a content error.</w:t>
            </w:r>
          </w:p>
          <w:p w:rsidR="0028317E" w:rsidRDefault="0028317E" w:rsidP="0028317E">
            <w:pPr>
              <w:ind w:left="720"/>
              <w:rPr>
                <w:bdr w:val="none" w:sz="0" w:space="0" w:color="auto" w:frame="1"/>
              </w:rPr>
            </w:pPr>
            <w:r>
              <w:rPr>
                <w:bdr w:val="none" w:sz="0" w:space="0" w:color="auto" w:frame="1"/>
              </w:rPr>
              <w:t xml:space="preserve">“|^PRN^PH^^^406^5557896|” </w:t>
            </w:r>
            <w:r>
              <w:rPr>
                <w:u w:val="single"/>
                <w:bdr w:val="none" w:sz="0" w:space="0" w:color="auto" w:frame="1"/>
              </w:rPr>
              <w:t>cannot</w:t>
            </w:r>
            <w:r>
              <w:rPr>
                <w:bdr w:val="none" w:sz="0" w:space="0" w:color="auto" w:frame="1"/>
              </w:rPr>
              <w:t xml:space="preserve"> become “</w:t>
            </w:r>
            <w:hyperlink r:id="rId8" w:history="1">
              <w:r>
                <w:rPr>
                  <w:rStyle w:val="Hyperlink"/>
                  <w:bdr w:val="none" w:sz="0" w:space="0" w:color="auto" w:frame="1"/>
                </w:rPr>
                <w:t>|^NET^^Elise.Wong@isp.com~^PRN^PH^^^406^5557896|</w:t>
              </w:r>
            </w:hyperlink>
            <w:r>
              <w:rPr>
                <w:bdr w:val="none" w:sz="0" w:space="0" w:color="auto" w:frame="1"/>
              </w:rPr>
              <w:t xml:space="preserve">” or the Tool </w:t>
            </w:r>
            <w:r>
              <w:rPr>
                <w:u w:val="single"/>
                <w:bdr w:val="none" w:sz="0" w:space="0" w:color="auto" w:frame="1"/>
              </w:rPr>
              <w:t>will</w:t>
            </w:r>
            <w:r>
              <w:rPr>
                <w:bdr w:val="none" w:sz="0" w:space="0" w:color="auto" w:frame="1"/>
              </w:rPr>
              <w:t xml:space="preserve"> generate a content error</w:t>
            </w:r>
            <w:r>
              <w:rPr>
                <w:color w:val="FF0000"/>
                <w:bdr w:val="none" w:sz="0" w:space="0" w:color="auto" w:frame="1"/>
              </w:rPr>
              <w:t>, which can be ignored. This content error message will be eliminated in a future release of the Tool.</w:t>
            </w:r>
          </w:p>
          <w:p w:rsidR="00CD7F5B" w:rsidRPr="00E87657" w:rsidRDefault="00CD7F5B" w:rsidP="004D4A5E">
            <w:pPr>
              <w:pStyle w:val="NormalWeb"/>
              <w:shd w:val="clear" w:color="auto" w:fill="FFFFFF"/>
              <w:rPr>
                <w:rFonts w:asciiTheme="minorHAnsi" w:hAnsiTheme="minorHAnsi"/>
                <w:sz w:val="20"/>
                <w:szCs w:val="20"/>
              </w:rPr>
            </w:pPr>
          </w:p>
        </w:tc>
      </w:tr>
    </w:tbl>
    <w:p w:rsidR="00CD7F5B" w:rsidRPr="00CD7F5B" w:rsidRDefault="00CD7F5B" w:rsidP="00CD7F5B">
      <w:pPr>
        <w:rPr>
          <w:sz w:val="32"/>
          <w:szCs w:val="32"/>
        </w:rPr>
      </w:pPr>
    </w:p>
    <w:p w:rsidR="00B015D8" w:rsidRDefault="00B015D8" w:rsidP="00513518"/>
    <w:p w:rsidR="00513518" w:rsidRPr="00CD7F5B" w:rsidRDefault="00513518" w:rsidP="00CD7F5B">
      <w:pPr>
        <w:jc w:val="center"/>
        <w:rPr>
          <w:b/>
          <w:sz w:val="32"/>
          <w:szCs w:val="32"/>
        </w:rPr>
      </w:pPr>
      <w:r w:rsidRPr="00CD7F5B">
        <w:rPr>
          <w:b/>
          <w:sz w:val="32"/>
          <w:szCs w:val="32"/>
        </w:rPr>
        <w:t>Issues for a Future Release</w:t>
      </w:r>
    </w:p>
    <w:tbl>
      <w:tblPr>
        <w:tblStyle w:val="TableGrid"/>
        <w:tblW w:w="0" w:type="auto"/>
        <w:tblLook w:val="04A0" w:firstRow="1" w:lastRow="0" w:firstColumn="1" w:lastColumn="0" w:noHBand="0" w:noVBand="1"/>
      </w:tblPr>
      <w:tblGrid>
        <w:gridCol w:w="3145"/>
        <w:gridCol w:w="9805"/>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D12" w:rsidRDefault="00A27D12" w:rsidP="0052426D">
      <w:pPr>
        <w:spacing w:after="0" w:line="240" w:lineRule="auto"/>
      </w:pPr>
      <w:r>
        <w:separator/>
      </w:r>
    </w:p>
  </w:endnote>
  <w:endnote w:type="continuationSeparator" w:id="0">
    <w:p w:rsidR="00A27D12" w:rsidRDefault="00A27D12"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D12" w:rsidRDefault="00A27D12" w:rsidP="0052426D">
      <w:pPr>
        <w:spacing w:after="0" w:line="240" w:lineRule="auto"/>
      </w:pPr>
      <w:r>
        <w:separator/>
      </w:r>
    </w:p>
  </w:footnote>
  <w:footnote w:type="continuationSeparator" w:id="0">
    <w:p w:rsidR="00A27D12" w:rsidRDefault="00A27D12"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335DF"/>
    <w:rsid w:val="000540C7"/>
    <w:rsid w:val="000652F0"/>
    <w:rsid w:val="00083E54"/>
    <w:rsid w:val="000A4FCB"/>
    <w:rsid w:val="000A6147"/>
    <w:rsid w:val="000E474D"/>
    <w:rsid w:val="00110649"/>
    <w:rsid w:val="00113599"/>
    <w:rsid w:val="001210E9"/>
    <w:rsid w:val="00133430"/>
    <w:rsid w:val="001424E9"/>
    <w:rsid w:val="00145B42"/>
    <w:rsid w:val="00155512"/>
    <w:rsid w:val="001564B8"/>
    <w:rsid w:val="00172DD9"/>
    <w:rsid w:val="001769C2"/>
    <w:rsid w:val="00180B00"/>
    <w:rsid w:val="001901D9"/>
    <w:rsid w:val="001C74BB"/>
    <w:rsid w:val="001E434B"/>
    <w:rsid w:val="001F2221"/>
    <w:rsid w:val="0021198E"/>
    <w:rsid w:val="00223ACB"/>
    <w:rsid w:val="00240095"/>
    <w:rsid w:val="0024144B"/>
    <w:rsid w:val="002830DF"/>
    <w:rsid w:val="0028317E"/>
    <w:rsid w:val="00283DD6"/>
    <w:rsid w:val="0029034D"/>
    <w:rsid w:val="002961A4"/>
    <w:rsid w:val="002F6BE3"/>
    <w:rsid w:val="00304A21"/>
    <w:rsid w:val="00307A0C"/>
    <w:rsid w:val="0031490F"/>
    <w:rsid w:val="003565AB"/>
    <w:rsid w:val="003C2EAA"/>
    <w:rsid w:val="003D0654"/>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0541"/>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D36BE"/>
    <w:rsid w:val="006E2297"/>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4AC1"/>
    <w:rsid w:val="007D23EA"/>
    <w:rsid w:val="007D3827"/>
    <w:rsid w:val="007E11A0"/>
    <w:rsid w:val="007E3512"/>
    <w:rsid w:val="007E598C"/>
    <w:rsid w:val="00800AB2"/>
    <w:rsid w:val="008353FF"/>
    <w:rsid w:val="00835983"/>
    <w:rsid w:val="00853CB2"/>
    <w:rsid w:val="00887A91"/>
    <w:rsid w:val="008B0126"/>
    <w:rsid w:val="008B2C07"/>
    <w:rsid w:val="008C024F"/>
    <w:rsid w:val="008E2BC0"/>
    <w:rsid w:val="008E6063"/>
    <w:rsid w:val="0093347F"/>
    <w:rsid w:val="00943692"/>
    <w:rsid w:val="0096699F"/>
    <w:rsid w:val="00970E3A"/>
    <w:rsid w:val="00972972"/>
    <w:rsid w:val="00973F9F"/>
    <w:rsid w:val="00987C70"/>
    <w:rsid w:val="009A5B26"/>
    <w:rsid w:val="009D6046"/>
    <w:rsid w:val="00A1745C"/>
    <w:rsid w:val="00A25CE4"/>
    <w:rsid w:val="00A27D12"/>
    <w:rsid w:val="00A33741"/>
    <w:rsid w:val="00A41FB0"/>
    <w:rsid w:val="00A639E1"/>
    <w:rsid w:val="00A82912"/>
    <w:rsid w:val="00AB2DBE"/>
    <w:rsid w:val="00AB5EB7"/>
    <w:rsid w:val="00AC37E9"/>
    <w:rsid w:val="00AE73EE"/>
    <w:rsid w:val="00AF088B"/>
    <w:rsid w:val="00B015D8"/>
    <w:rsid w:val="00B06B6D"/>
    <w:rsid w:val="00B14F81"/>
    <w:rsid w:val="00B2114C"/>
    <w:rsid w:val="00B26824"/>
    <w:rsid w:val="00B2742A"/>
    <w:rsid w:val="00B45B9E"/>
    <w:rsid w:val="00B6219A"/>
    <w:rsid w:val="00B62711"/>
    <w:rsid w:val="00B649B7"/>
    <w:rsid w:val="00B738AE"/>
    <w:rsid w:val="00B754E5"/>
    <w:rsid w:val="00B870BC"/>
    <w:rsid w:val="00B87897"/>
    <w:rsid w:val="00B93CE7"/>
    <w:rsid w:val="00BA31AB"/>
    <w:rsid w:val="00BB14FB"/>
    <w:rsid w:val="00BB4B5C"/>
    <w:rsid w:val="00BD303D"/>
    <w:rsid w:val="00BE1963"/>
    <w:rsid w:val="00BF754A"/>
    <w:rsid w:val="00C06F37"/>
    <w:rsid w:val="00C20ACC"/>
    <w:rsid w:val="00C24412"/>
    <w:rsid w:val="00C410A6"/>
    <w:rsid w:val="00C51E10"/>
    <w:rsid w:val="00C53491"/>
    <w:rsid w:val="00C65CB5"/>
    <w:rsid w:val="00C758DB"/>
    <w:rsid w:val="00C96250"/>
    <w:rsid w:val="00CB6B56"/>
    <w:rsid w:val="00CD0089"/>
    <w:rsid w:val="00CD7F5B"/>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751C0"/>
    <w:rsid w:val="00E84038"/>
    <w:rsid w:val="00E85EB8"/>
    <w:rsid w:val="00E87657"/>
    <w:rsid w:val="00E95908"/>
    <w:rsid w:val="00F1053D"/>
    <w:rsid w:val="00F13A05"/>
    <w:rsid w:val="00F456BB"/>
    <w:rsid w:val="00F466B4"/>
    <w:rsid w:val="00F5003F"/>
    <w:rsid w:val="00F526D8"/>
    <w:rsid w:val="00F73019"/>
    <w:rsid w:val="00FA43CC"/>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C123B-F135-4875-BF84-B3E7922F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eNET%5e%5eElise.Wong@isp.com~%5ePRN%5ePH%5e%5e%5e406%5e5557896|" TargetMode="External"/><Relationship Id="rId3" Type="http://schemas.openxmlformats.org/officeDocument/2006/relationships/settings" Target="settings.xml"/><Relationship Id="rId7" Type="http://schemas.openxmlformats.org/officeDocument/2006/relationships/hyperlink" Target="mailto:|%5ePRN%5ePH%5e%5e%5e406%5e5557896~%5eNET%5e%5eElise.Wong@is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Martinez, Sandra (Fed)</cp:lastModifiedBy>
  <cp:revision>3</cp:revision>
  <cp:lastPrinted>2016-03-30T21:08:00Z</cp:lastPrinted>
  <dcterms:created xsi:type="dcterms:W3CDTF">2016-05-02T15:35:00Z</dcterms:created>
  <dcterms:modified xsi:type="dcterms:W3CDTF">2016-05-02T17:43:00Z</dcterms:modified>
</cp:coreProperties>
</file>