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594B" w14:textId="0D83A72E" w:rsidR="007A49DD" w:rsidRPr="00A41089" w:rsidRDefault="00A757E8">
      <w:pP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A41089">
        <w:rPr>
          <w:b/>
          <w:sz w:val="28"/>
          <w:szCs w:val="28"/>
          <w:u w:val="single"/>
        </w:rPr>
        <w:t xml:space="preserve">Release Notes for </w:t>
      </w:r>
      <w:r w:rsidR="000756FC" w:rsidRPr="00A41089">
        <w:rPr>
          <w:b/>
          <w:sz w:val="28"/>
          <w:szCs w:val="28"/>
          <w:u w:val="single"/>
        </w:rPr>
        <w:t>1.</w:t>
      </w:r>
      <w:r w:rsidR="00431A65" w:rsidRPr="00A41089">
        <w:rPr>
          <w:b/>
          <w:sz w:val="28"/>
          <w:szCs w:val="28"/>
          <w:u w:val="single"/>
        </w:rPr>
        <w:t>2</w:t>
      </w:r>
      <w:r w:rsidR="00CE3301" w:rsidRPr="00A41089">
        <w:rPr>
          <w:b/>
          <w:sz w:val="28"/>
          <w:szCs w:val="28"/>
          <w:u w:val="single"/>
        </w:rPr>
        <w:t>.0</w:t>
      </w:r>
      <w:r w:rsidR="00041F71" w:rsidRPr="00A41089">
        <w:rPr>
          <w:b/>
          <w:sz w:val="28"/>
          <w:szCs w:val="28"/>
          <w:u w:val="single"/>
        </w:rPr>
        <w:t xml:space="preserve"> </w:t>
      </w:r>
      <w:r w:rsidR="00431A65" w:rsidRPr="00A41089">
        <w:rPr>
          <w:b/>
          <w:sz w:val="28"/>
          <w:szCs w:val="28"/>
          <w:u w:val="single"/>
        </w:rPr>
        <w:t>M</w:t>
      </w:r>
      <w:r w:rsidR="00A41089" w:rsidRPr="00A41089">
        <w:rPr>
          <w:b/>
          <w:sz w:val="28"/>
          <w:szCs w:val="28"/>
          <w:u w:val="single"/>
        </w:rPr>
        <w:t>arch</w:t>
      </w:r>
      <w:r w:rsidR="00827452" w:rsidRPr="00A41089">
        <w:rPr>
          <w:b/>
          <w:sz w:val="28"/>
          <w:szCs w:val="28"/>
          <w:u w:val="single"/>
        </w:rPr>
        <w:t xml:space="preserve"> </w:t>
      </w:r>
      <w:r w:rsidR="00A41089" w:rsidRPr="00A41089">
        <w:rPr>
          <w:b/>
          <w:sz w:val="28"/>
          <w:szCs w:val="28"/>
          <w:u w:val="single"/>
        </w:rPr>
        <w:t>31</w:t>
      </w:r>
      <w:r w:rsidR="000756FC" w:rsidRPr="00A41089">
        <w:rPr>
          <w:b/>
          <w:sz w:val="28"/>
          <w:szCs w:val="28"/>
          <w:u w:val="single"/>
        </w:rPr>
        <w:t>, 201</w:t>
      </w:r>
      <w:r w:rsidR="00CC4B87" w:rsidRPr="00A41089">
        <w:rPr>
          <w:b/>
          <w:sz w:val="28"/>
          <w:szCs w:val="28"/>
          <w:u w:val="single"/>
        </w:rPr>
        <w:t>6</w:t>
      </w:r>
    </w:p>
    <w:p w14:paraId="2F58F1E1" w14:textId="742CF661" w:rsidR="00CC2DA0" w:rsidRDefault="004B64E1" w:rsidP="00431A65">
      <w:r>
        <w:t xml:space="preserve">Test </w:t>
      </w:r>
      <w:r w:rsidR="00412050">
        <w:t>Data</w:t>
      </w:r>
    </w:p>
    <w:tbl>
      <w:tblPr>
        <w:tblStyle w:val="TableGrid"/>
        <w:tblW w:w="0" w:type="auto"/>
        <w:tblLayout w:type="fixed"/>
        <w:tblLook w:val="04A0" w:firstRow="1" w:lastRow="0" w:firstColumn="1" w:lastColumn="0" w:noHBand="0" w:noVBand="1"/>
      </w:tblPr>
      <w:tblGrid>
        <w:gridCol w:w="1885"/>
        <w:gridCol w:w="3330"/>
        <w:gridCol w:w="4135"/>
      </w:tblGrid>
      <w:tr w:rsidR="00412050" w14:paraId="43FAB0AF" w14:textId="77777777" w:rsidTr="00457AFF">
        <w:trPr>
          <w:tblHeader/>
        </w:trPr>
        <w:tc>
          <w:tcPr>
            <w:tcW w:w="1885" w:type="dxa"/>
          </w:tcPr>
          <w:p w14:paraId="5BEA1C90" w14:textId="77777777" w:rsidR="00412050" w:rsidRPr="00412050" w:rsidRDefault="00412050">
            <w:pPr>
              <w:rPr>
                <w:b/>
              </w:rPr>
            </w:pPr>
            <w:r w:rsidRPr="00412050">
              <w:rPr>
                <w:b/>
              </w:rPr>
              <w:t>Test Case</w:t>
            </w:r>
          </w:p>
        </w:tc>
        <w:tc>
          <w:tcPr>
            <w:tcW w:w="3330" w:type="dxa"/>
          </w:tcPr>
          <w:p w14:paraId="3F56B98C" w14:textId="77777777" w:rsidR="00412050" w:rsidRPr="00412050" w:rsidRDefault="00412050">
            <w:pPr>
              <w:rPr>
                <w:b/>
              </w:rPr>
            </w:pPr>
            <w:r w:rsidRPr="00412050">
              <w:rPr>
                <w:b/>
              </w:rPr>
              <w:t>Issue</w:t>
            </w:r>
          </w:p>
        </w:tc>
        <w:tc>
          <w:tcPr>
            <w:tcW w:w="4135" w:type="dxa"/>
          </w:tcPr>
          <w:p w14:paraId="7D1905A6" w14:textId="77777777" w:rsidR="00412050" w:rsidRPr="00412050" w:rsidRDefault="00412050">
            <w:pPr>
              <w:rPr>
                <w:b/>
              </w:rPr>
            </w:pPr>
            <w:r w:rsidRPr="00412050">
              <w:rPr>
                <w:b/>
              </w:rPr>
              <w:t>Resolution</w:t>
            </w:r>
          </w:p>
        </w:tc>
      </w:tr>
      <w:tr w:rsidR="00CC2DA0" w14:paraId="1540FF33" w14:textId="77777777" w:rsidTr="00457AFF">
        <w:trPr>
          <w:trHeight w:val="1223"/>
        </w:trPr>
        <w:tc>
          <w:tcPr>
            <w:tcW w:w="1885" w:type="dxa"/>
          </w:tcPr>
          <w:p w14:paraId="64419EC2" w14:textId="77777777" w:rsidR="00CC2DA0" w:rsidRPr="00CB1407" w:rsidRDefault="00CC2DA0" w:rsidP="00CC2DA0">
            <w:pPr>
              <w:rPr>
                <w:rFonts w:cs="Arial"/>
                <w:shd w:val="clear" w:color="auto" w:fill="FFFFFF"/>
              </w:rPr>
            </w:pPr>
            <w:r w:rsidRPr="00CB1407">
              <w:rPr>
                <w:rFonts w:cs="Arial"/>
                <w:shd w:val="clear" w:color="auto" w:fill="FFFFFF"/>
              </w:rPr>
              <w:t xml:space="preserve">SS-ED-3_ED_ Visit </w:t>
            </w:r>
            <w:proofErr w:type="gramStart"/>
            <w:r w:rsidRPr="00CB1407">
              <w:rPr>
                <w:rFonts w:cs="Arial"/>
                <w:shd w:val="clear" w:color="auto" w:fill="FFFFFF"/>
              </w:rPr>
              <w:t>Patient  Admitted</w:t>
            </w:r>
            <w:proofErr w:type="gramEnd"/>
          </w:p>
          <w:p w14:paraId="6F672C7E" w14:textId="77777777" w:rsidR="00CC2DA0" w:rsidRPr="00CB1407" w:rsidRDefault="00CC2DA0" w:rsidP="00CC2DA0"/>
        </w:tc>
        <w:tc>
          <w:tcPr>
            <w:tcW w:w="3330" w:type="dxa"/>
          </w:tcPr>
          <w:p w14:paraId="6422D79B" w14:textId="3C362847" w:rsidR="00CC2DA0" w:rsidRPr="00CB1407" w:rsidRDefault="00CC2DA0" w:rsidP="00CC2DA0">
            <w:r w:rsidRPr="00CB1407">
              <w:rPr>
                <w:shd w:val="clear" w:color="auto" w:fill="FFFFFF"/>
              </w:rPr>
              <w:t>The Visit Number ID (PV1-19.1) is the same for the ADT^A04, ADT^A08, ADT^A03, and ADT^A01 Example Messages; how an actual installation works determines whether an A01 message has the same or a different Visit Number ID in PV1-19.1 for a patient admitted from the ED.</w:t>
            </w:r>
          </w:p>
        </w:tc>
        <w:tc>
          <w:tcPr>
            <w:tcW w:w="4135" w:type="dxa"/>
          </w:tcPr>
          <w:p w14:paraId="0ED0D37D" w14:textId="3A7140F7" w:rsidR="00CC2DA0" w:rsidRPr="001B2B78" w:rsidRDefault="00CC2DA0" w:rsidP="001B2B78">
            <w:pPr>
              <w:contextualSpacing/>
            </w:pPr>
            <w:r w:rsidRPr="001B2B78">
              <w:t>Notes for Testers was changed in all Test Steps FROM:</w:t>
            </w:r>
          </w:p>
          <w:p w14:paraId="206FEE4E" w14:textId="77777777" w:rsidR="00CC2DA0" w:rsidRPr="001B2B78" w:rsidRDefault="00CC2DA0" w:rsidP="001B2B78">
            <w:r w:rsidRPr="001B2B78">
              <w:t>“</w:t>
            </w:r>
            <w:r w:rsidRPr="001B2B78">
              <w:rPr>
                <w:shd w:val="clear" w:color="auto" w:fill="FFFFFF"/>
              </w:rPr>
              <w:t>Visit Number ID (PV1-19.1) must be populated with the same value for all messages included in this Test Case to reflect the requirement in real-world installations. Test Tool does not automatically test for this requirement, so Testers must manually inspect the messages to verify that PV1-19.1 is the same for all Test Step messages for a given Test Case.</w:t>
            </w:r>
            <w:r w:rsidRPr="001B2B78">
              <w:t>”</w:t>
            </w:r>
          </w:p>
          <w:p w14:paraId="25D61268" w14:textId="77777777" w:rsidR="00CC2DA0" w:rsidRPr="001B2B78" w:rsidRDefault="00CC2DA0" w:rsidP="001B2B78"/>
          <w:p w14:paraId="0115D6F8" w14:textId="3A999127" w:rsidR="00CC2DA0" w:rsidRPr="001B2B78" w:rsidRDefault="00CC2DA0" w:rsidP="001B2B78">
            <w:pPr>
              <w:rPr>
                <w:shd w:val="clear" w:color="auto" w:fill="FFFFFF"/>
              </w:rPr>
            </w:pPr>
            <w:r w:rsidRPr="001B2B78">
              <w:t>T</w:t>
            </w:r>
            <w:r w:rsidR="00941EF1" w:rsidRPr="001B2B78">
              <w:t>O</w:t>
            </w:r>
            <w:r w:rsidRPr="001B2B78">
              <w:t xml:space="preserve"> the following for the </w:t>
            </w:r>
            <w:r w:rsidRPr="001B2B78">
              <w:rPr>
                <w:shd w:val="clear" w:color="auto" w:fill="FFFFFF"/>
              </w:rPr>
              <w:t>ADT^A04, ADT^A08, and ADT^A03 Test Steps:</w:t>
            </w:r>
          </w:p>
          <w:p w14:paraId="0B7D6A5F" w14:textId="04655991" w:rsidR="00CC2DA0" w:rsidRPr="001B2B78" w:rsidRDefault="00CC2DA0" w:rsidP="001B2B78">
            <w:r w:rsidRPr="001B2B78">
              <w:t>“</w:t>
            </w:r>
            <w:r w:rsidR="001B2B78" w:rsidRPr="001B2B78">
              <w:rPr>
                <w:rFonts w:cs="Arial"/>
                <w:color w:val="000000"/>
              </w:rPr>
              <w:t>Visit Number ID (PV1-19.1) for the ADT^A04, ADT^A08, and ADT^A03 messages in this Test Case must be populated with the same value to reflect the requirement in real-world installations.</w:t>
            </w:r>
            <w:r w:rsidR="001B2B78" w:rsidRPr="001B2B78">
              <w:rPr>
                <w:rStyle w:val="apple-converted-space"/>
                <w:rFonts w:cs="Arial"/>
                <w:color w:val="000000"/>
              </w:rPr>
              <w:t> </w:t>
            </w:r>
            <w:r w:rsidR="001B2B78" w:rsidRPr="001B2B78">
              <w:rPr>
                <w:rFonts w:cs="Arial"/>
                <w:color w:val="000000"/>
              </w:rPr>
              <w:t>The Test Tool does not automatically test for this requirement, so Testers must manually inspect the messages to verify that the PV1-19.1 value is the same for the first three Test Step messages for this Test Case</w:t>
            </w:r>
            <w:r w:rsidRPr="001B2B78">
              <w:rPr>
                <w:shd w:val="clear" w:color="auto" w:fill="FFFFFF"/>
              </w:rPr>
              <w:t>.”</w:t>
            </w:r>
          </w:p>
          <w:p w14:paraId="54C09A13" w14:textId="77777777" w:rsidR="00CC2DA0" w:rsidRPr="001B2B78" w:rsidRDefault="00CC2DA0" w:rsidP="001B2B78">
            <w:r w:rsidRPr="001B2B78">
              <w:t>AND</w:t>
            </w:r>
          </w:p>
          <w:p w14:paraId="41F7A6A3" w14:textId="4870A692" w:rsidR="00CC2DA0" w:rsidRPr="001B2B78" w:rsidRDefault="00CC2DA0" w:rsidP="001B2B78">
            <w:pPr>
              <w:rPr>
                <w:shd w:val="clear" w:color="auto" w:fill="FFFFFF"/>
              </w:rPr>
            </w:pPr>
            <w:r w:rsidRPr="001B2B78">
              <w:t>T</w:t>
            </w:r>
            <w:r w:rsidR="00941EF1" w:rsidRPr="001B2B78">
              <w:t>O</w:t>
            </w:r>
            <w:r w:rsidRPr="001B2B78">
              <w:t xml:space="preserve"> the following for the </w:t>
            </w:r>
            <w:r w:rsidRPr="001B2B78">
              <w:rPr>
                <w:shd w:val="clear" w:color="auto" w:fill="FFFFFF"/>
              </w:rPr>
              <w:t>ADT^A01 Test Step:</w:t>
            </w:r>
          </w:p>
          <w:p w14:paraId="27B63CA3" w14:textId="13CFD1A2" w:rsidR="00CC2DA0" w:rsidRPr="001B2B78" w:rsidRDefault="00CC2DA0" w:rsidP="001B2B78">
            <w:pPr>
              <w:rPr>
                <w:shd w:val="clear" w:color="auto" w:fill="FFFFFF"/>
              </w:rPr>
            </w:pPr>
            <w:r w:rsidRPr="001B2B78">
              <w:t>“</w:t>
            </w:r>
            <w:r w:rsidR="001B2B78" w:rsidRPr="001B2B78">
              <w:rPr>
                <w:rFonts w:cs="Arial"/>
                <w:color w:val="000000"/>
              </w:rPr>
              <w:t>Visit Number ID (PV1-19.1) for the ADT^A01 message in this Test Case may be populated with the same value as in the ADT^A04, ADT^A08, and ADT^A03 messages; however, as the way an actual installation works will determine whether an A01 message has the same or a different Visit Number ID in PV1-19.1 for a patient admitted from the ED, the PV1-19.1 for the ADT^A01 message is allowed to be populated with a different value than the value in the ADT^A04, ADT^A08, and ADT^A03 messages for this Test Case.</w:t>
            </w:r>
            <w:r w:rsidR="001B2B78" w:rsidRPr="001B2B78">
              <w:rPr>
                <w:rStyle w:val="apple-converted-space"/>
                <w:rFonts w:cs="Arial"/>
                <w:color w:val="000000"/>
              </w:rPr>
              <w:t> </w:t>
            </w:r>
            <w:r w:rsidR="001B2B78" w:rsidRPr="001B2B78">
              <w:rPr>
                <w:rFonts w:cs="Arial"/>
                <w:color w:val="000000"/>
              </w:rPr>
              <w:t xml:space="preserve">Test Tool does not automatically test for this </w:t>
            </w:r>
            <w:r w:rsidR="001B2B78" w:rsidRPr="001B2B78">
              <w:rPr>
                <w:rFonts w:cs="Arial"/>
                <w:color w:val="000000"/>
              </w:rPr>
              <w:lastRenderedPageBreak/>
              <w:t>requirement, so Testers must manually inspect the message to verify whether the value of PV1-19.1 is the same as or different from the value in the other Test Step messages for this Test Case.</w:t>
            </w:r>
            <w:r w:rsidR="004644E1" w:rsidRPr="001B2B78">
              <w:rPr>
                <w:shd w:val="clear" w:color="auto" w:fill="FFFFFF"/>
              </w:rPr>
              <w:t>”</w:t>
            </w:r>
          </w:p>
        </w:tc>
      </w:tr>
      <w:tr w:rsidR="00CC2DA0" w14:paraId="4747B576" w14:textId="77777777" w:rsidTr="00457AFF">
        <w:trPr>
          <w:trHeight w:val="1223"/>
        </w:trPr>
        <w:tc>
          <w:tcPr>
            <w:tcW w:w="1885" w:type="dxa"/>
          </w:tcPr>
          <w:p w14:paraId="1BC680AA" w14:textId="7BE3A317" w:rsidR="00CC2DA0" w:rsidRPr="0090109B" w:rsidRDefault="00CC2DA0" w:rsidP="00CC2DA0">
            <w:pPr>
              <w:rPr>
                <w:rFonts w:cs="Arial"/>
                <w:shd w:val="clear" w:color="auto" w:fill="FFFFFF"/>
              </w:rPr>
            </w:pPr>
            <w:r w:rsidRPr="0090109B">
              <w:rPr>
                <w:rFonts w:cs="Arial"/>
                <w:shd w:val="clear" w:color="auto" w:fill="FFFFFF"/>
              </w:rPr>
              <w:lastRenderedPageBreak/>
              <w:t xml:space="preserve">SS-ED-3_ED_ Visit </w:t>
            </w:r>
            <w:proofErr w:type="gramStart"/>
            <w:r w:rsidRPr="0090109B">
              <w:rPr>
                <w:rFonts w:cs="Arial"/>
                <w:shd w:val="clear" w:color="auto" w:fill="FFFFFF"/>
              </w:rPr>
              <w:t>Patient  Admitted</w:t>
            </w:r>
            <w:proofErr w:type="gramEnd"/>
          </w:p>
          <w:p w14:paraId="4DC84887" w14:textId="77777777" w:rsidR="00CC2DA0" w:rsidRPr="0090109B" w:rsidRDefault="00CC2DA0" w:rsidP="00CC2DA0"/>
        </w:tc>
        <w:tc>
          <w:tcPr>
            <w:tcW w:w="3330" w:type="dxa"/>
          </w:tcPr>
          <w:p w14:paraId="179342F4" w14:textId="064B536D" w:rsidR="00CC2DA0" w:rsidRPr="0090109B" w:rsidRDefault="00CC2DA0" w:rsidP="00E05AFE">
            <w:r w:rsidRPr="0090109B">
              <w:t xml:space="preserve">The </w:t>
            </w:r>
            <w:r w:rsidR="00F87EEF" w:rsidRPr="0090109B">
              <w:t xml:space="preserve">Test </w:t>
            </w:r>
            <w:r w:rsidR="00E05AFE" w:rsidRPr="0090109B">
              <w:t xml:space="preserve">Data Category </w:t>
            </w:r>
            <w:r w:rsidR="00F87EEF" w:rsidRPr="0090109B">
              <w:t>for the DG1-3</w:t>
            </w:r>
            <w:r w:rsidR="00F2530D" w:rsidRPr="0090109B">
              <w:t>.1</w:t>
            </w:r>
            <w:r w:rsidR="00E05AFE" w:rsidRPr="0090109B">
              <w:t xml:space="preserve"> </w:t>
            </w:r>
            <w:r w:rsidR="00F87EEF" w:rsidRPr="0090109B">
              <w:t>and PV2-3</w:t>
            </w:r>
            <w:r w:rsidR="00F2530D" w:rsidRPr="0090109B">
              <w:t>.1</w:t>
            </w:r>
            <w:r w:rsidR="00F87EEF" w:rsidRPr="0090109B">
              <w:t xml:space="preserve"> data elements were defined as Value-Test Case </w:t>
            </w:r>
            <w:r w:rsidR="00F2530D" w:rsidRPr="0090109B">
              <w:t>Fixed</w:t>
            </w:r>
            <w:r w:rsidR="001009B7" w:rsidRPr="0090109B">
              <w:t xml:space="preserve">, and the </w:t>
            </w:r>
            <w:r w:rsidRPr="0090109B">
              <w:t xml:space="preserve">SNOMED CT code specified in the Test Story, Test Data, and Example Test Message </w:t>
            </w:r>
            <w:r w:rsidR="00F87EEF" w:rsidRPr="0090109B">
              <w:t xml:space="preserve">was the only SNOMED CT code </w:t>
            </w:r>
            <w:r w:rsidR="001009B7" w:rsidRPr="0090109B">
              <w:t>accepted by the NIST Tool.</w:t>
            </w:r>
          </w:p>
        </w:tc>
        <w:tc>
          <w:tcPr>
            <w:tcW w:w="4135" w:type="dxa"/>
          </w:tcPr>
          <w:p w14:paraId="0628A04F" w14:textId="4A1BBAEA" w:rsidR="00E05AFE" w:rsidRPr="0090109B" w:rsidRDefault="00E05AFE" w:rsidP="00E05AFE">
            <w:pPr>
              <w:contextualSpacing/>
            </w:pPr>
            <w:r w:rsidRPr="0090109B">
              <w:t xml:space="preserve">The SNOMED CT code </w:t>
            </w:r>
            <w:r w:rsidR="00F65B2B" w:rsidRPr="0090109B">
              <w:t>“</w:t>
            </w:r>
            <w:r w:rsidR="00F65B2B" w:rsidRPr="0090109B">
              <w:rPr>
                <w:shd w:val="clear" w:color="auto" w:fill="FFFFFF"/>
              </w:rPr>
              <w:t xml:space="preserve">242383002” </w:t>
            </w:r>
            <w:r w:rsidRPr="0090109B">
              <w:t>specified in the Test Story, Test Data, and Example Test Message has not been changed.</w:t>
            </w:r>
          </w:p>
          <w:p w14:paraId="4F1AA4AC" w14:textId="77777777" w:rsidR="00E05AFE" w:rsidRPr="0090109B" w:rsidRDefault="00E05AFE" w:rsidP="00E05AFE">
            <w:pPr>
              <w:contextualSpacing/>
            </w:pPr>
          </w:p>
          <w:p w14:paraId="1F4AE46B" w14:textId="15BB578E" w:rsidR="00E05AFE" w:rsidRPr="0090109B" w:rsidRDefault="00E05AFE" w:rsidP="00E05AFE">
            <w:pPr>
              <w:contextualSpacing/>
            </w:pPr>
            <w:r w:rsidRPr="0090109B">
              <w:t>The Test Data Category for the DG1-3.1 and PV2-3.1 data elements has been changed to Value-Test Case Fixed List, and the following SNOMED CT codes are included on the List:</w:t>
            </w:r>
          </w:p>
          <w:p w14:paraId="61EDD4C0" w14:textId="0E44362A" w:rsidR="00E05AFE" w:rsidRPr="0090109B" w:rsidRDefault="00E05AFE" w:rsidP="00E05AFE">
            <w:pPr>
              <w:pStyle w:val="ListParagraph"/>
              <w:numPr>
                <w:ilvl w:val="0"/>
                <w:numId w:val="9"/>
              </w:numPr>
              <w:contextualSpacing w:val="0"/>
            </w:pPr>
            <w:r w:rsidRPr="0090109B">
              <w:rPr>
                <w:shd w:val="clear" w:color="auto" w:fill="FFFFFF"/>
              </w:rPr>
              <w:t xml:space="preserve">242383002 - </w:t>
            </w:r>
            <w:r w:rsidRPr="0090109B">
              <w:t xml:space="preserve">Accidental exposure to carbon </w:t>
            </w:r>
            <w:r w:rsidR="004644E1" w:rsidRPr="0090109B">
              <w:t xml:space="preserve">monoxide </w:t>
            </w:r>
            <w:r w:rsidRPr="0090109B">
              <w:t>(used in Test Story)</w:t>
            </w:r>
          </w:p>
          <w:p w14:paraId="7C07BCD6" w14:textId="77777777" w:rsidR="00E05AFE" w:rsidRPr="0090109B" w:rsidRDefault="00E05AFE" w:rsidP="00E05AFE">
            <w:pPr>
              <w:pStyle w:val="ListParagraph"/>
              <w:numPr>
                <w:ilvl w:val="0"/>
                <w:numId w:val="9"/>
              </w:numPr>
              <w:contextualSpacing w:val="0"/>
              <w:rPr>
                <w:rStyle w:val="apple-converted-space"/>
              </w:rPr>
            </w:pPr>
            <w:r w:rsidRPr="0090109B">
              <w:t>420057003 - Accidental poisoning by carbon monoxide</w:t>
            </w:r>
            <w:r w:rsidRPr="0090109B">
              <w:rPr>
                <w:rStyle w:val="apple-converted-space"/>
              </w:rPr>
              <w:t> </w:t>
            </w:r>
          </w:p>
          <w:p w14:paraId="08D6B9D1" w14:textId="77777777" w:rsidR="00CC2DA0" w:rsidRPr="0090109B" w:rsidRDefault="00E05AFE" w:rsidP="00E05AFE">
            <w:pPr>
              <w:pStyle w:val="ListParagraph"/>
              <w:numPr>
                <w:ilvl w:val="0"/>
                <w:numId w:val="9"/>
              </w:numPr>
              <w:contextualSpacing w:val="0"/>
            </w:pPr>
            <w:r w:rsidRPr="0090109B">
              <w:t>95875007 - Exposure to carbon monoxide (event)</w:t>
            </w:r>
          </w:p>
          <w:p w14:paraId="077C514D" w14:textId="6D7F3767" w:rsidR="00F65B2B" w:rsidRPr="0090109B" w:rsidRDefault="00F65B2B" w:rsidP="00F65B2B">
            <w:r w:rsidRPr="0090109B">
              <w:t>Any one of these codes may be used to populate DG1-3.1 and PV2-3.1 in the relevant test messages without triggering an error notification in the Tool.</w:t>
            </w:r>
          </w:p>
        </w:tc>
      </w:tr>
      <w:tr w:rsidR="00CC2DA0" w14:paraId="2BF8329A" w14:textId="77777777" w:rsidTr="00457AFF">
        <w:trPr>
          <w:trHeight w:val="1223"/>
        </w:trPr>
        <w:tc>
          <w:tcPr>
            <w:tcW w:w="1885" w:type="dxa"/>
          </w:tcPr>
          <w:p w14:paraId="586541F7" w14:textId="5F9AAF6B" w:rsidR="00CC2DA0" w:rsidRPr="00CB1407" w:rsidRDefault="00CC2DA0" w:rsidP="00CC2DA0">
            <w:pPr>
              <w:rPr>
                <w:rFonts w:cs="Arial"/>
                <w:shd w:val="clear" w:color="auto" w:fill="FFFFFF"/>
              </w:rPr>
            </w:pPr>
            <w:r w:rsidRPr="00CB1407">
              <w:rPr>
                <w:rFonts w:cs="Arial"/>
                <w:shd w:val="clear" w:color="auto" w:fill="FFFFFF"/>
              </w:rPr>
              <w:t xml:space="preserve">SS-ED-3_ED_ Visit </w:t>
            </w:r>
            <w:proofErr w:type="gramStart"/>
            <w:r w:rsidRPr="00CB1407">
              <w:rPr>
                <w:rFonts w:cs="Arial"/>
                <w:shd w:val="clear" w:color="auto" w:fill="FFFFFF"/>
              </w:rPr>
              <w:t>Patient  Admitted</w:t>
            </w:r>
            <w:proofErr w:type="gramEnd"/>
          </w:p>
          <w:p w14:paraId="33BF5AFE" w14:textId="77777777" w:rsidR="00CC2DA0" w:rsidRPr="00CB1407" w:rsidRDefault="00CC2DA0" w:rsidP="00CC2DA0">
            <w:pPr>
              <w:rPr>
                <w:rFonts w:cs="Arial"/>
                <w:shd w:val="clear" w:color="auto" w:fill="FFFFFF"/>
              </w:rPr>
            </w:pPr>
          </w:p>
        </w:tc>
        <w:tc>
          <w:tcPr>
            <w:tcW w:w="3330" w:type="dxa"/>
          </w:tcPr>
          <w:p w14:paraId="22AA07C8" w14:textId="546863C3" w:rsidR="00E05AFE" w:rsidRPr="00CB1407" w:rsidRDefault="00E05AFE" w:rsidP="00E05AFE">
            <w:pPr>
              <w:rPr>
                <w:shd w:val="clear" w:color="auto" w:fill="FFFFFF"/>
              </w:rPr>
            </w:pPr>
            <w:r w:rsidRPr="00CB1407">
              <w:rPr>
                <w:shd w:val="clear" w:color="auto" w:fill="FFFFFF"/>
              </w:rPr>
              <w:t xml:space="preserve">This Test Case uses SNOMED CT codes for </w:t>
            </w:r>
            <w:r w:rsidRPr="00CB1407">
              <w:t>DG1-3.1 and PV2-3.1 data elements. V</w:t>
            </w:r>
            <w:r w:rsidRPr="00CB1407">
              <w:rPr>
                <w:shd w:val="clear" w:color="auto" w:fill="FFFFFF"/>
              </w:rPr>
              <w:t>erbiage indicating that valid SNOMED CT codes can be allowed other than the codes provided in the Tool was not included in the Notes for Testers.</w:t>
            </w:r>
          </w:p>
          <w:p w14:paraId="4F128795" w14:textId="77777777" w:rsidR="00CC2DA0" w:rsidRPr="00CB1407" w:rsidRDefault="00CC2DA0" w:rsidP="00CC2DA0"/>
        </w:tc>
        <w:tc>
          <w:tcPr>
            <w:tcW w:w="4135" w:type="dxa"/>
          </w:tcPr>
          <w:p w14:paraId="0A110C8C" w14:textId="5493F4CA" w:rsidR="00E05AFE" w:rsidRPr="00CB1407" w:rsidRDefault="00E05AFE" w:rsidP="00CC2DA0">
            <w:pPr>
              <w:rPr>
                <w:shd w:val="clear" w:color="auto" w:fill="FFFFFF"/>
              </w:rPr>
            </w:pPr>
            <w:r w:rsidRPr="00CB1407">
              <w:rPr>
                <w:shd w:val="clear" w:color="auto" w:fill="FFFFFF"/>
              </w:rPr>
              <w:t>This verbiage has been added to the Notes for Testers</w:t>
            </w:r>
            <w:r w:rsidR="00B57109" w:rsidRPr="00CB1407">
              <w:rPr>
                <w:shd w:val="clear" w:color="auto" w:fill="FFFFFF"/>
              </w:rPr>
              <w:t xml:space="preserve"> for the A08, A03, and A01 Test Steps</w:t>
            </w:r>
            <w:r w:rsidRPr="00CB1407">
              <w:rPr>
                <w:shd w:val="clear" w:color="auto" w:fill="FFFFFF"/>
              </w:rPr>
              <w:t>:</w:t>
            </w:r>
          </w:p>
          <w:p w14:paraId="14E839A5" w14:textId="674D2C1B" w:rsidR="00CC2DA0" w:rsidRPr="00CB1407" w:rsidRDefault="00CC2DA0" w:rsidP="00CC2DA0">
            <w:r w:rsidRPr="00CB1407">
              <w:rPr>
                <w:shd w:val="clear" w:color="auto" w:fill="FFFFFF"/>
              </w:rPr>
              <w:t>“Tester may ignore errors generated by the Test Tool related to incorrect code when the SNOMED CT code used in the message is determined to be a valid code</w:t>
            </w:r>
            <w:r w:rsidR="00807E38">
              <w:rPr>
                <w:shd w:val="clear" w:color="auto" w:fill="FFFFFF"/>
              </w:rPr>
              <w:t>.</w:t>
            </w:r>
            <w:r w:rsidRPr="00CB1407">
              <w:rPr>
                <w:shd w:val="clear" w:color="auto" w:fill="FFFFFF"/>
              </w:rPr>
              <w:t>”</w:t>
            </w:r>
          </w:p>
        </w:tc>
      </w:tr>
      <w:tr w:rsidR="00F1280A" w:rsidRPr="006829E5" w14:paraId="1719AED9" w14:textId="77777777" w:rsidTr="0085218B">
        <w:trPr>
          <w:trHeight w:val="431"/>
        </w:trPr>
        <w:tc>
          <w:tcPr>
            <w:tcW w:w="1885" w:type="dxa"/>
          </w:tcPr>
          <w:p w14:paraId="57F38DB2" w14:textId="77777777" w:rsidR="00F1280A" w:rsidRPr="00AA5B8F" w:rsidRDefault="00F1280A" w:rsidP="00F1280A">
            <w:r w:rsidRPr="00AA5B8F">
              <w:rPr>
                <w:rStyle w:val="indented"/>
              </w:rPr>
              <w:t>SS-IP-4_Inpatient_Visit_Surgery</w:t>
            </w:r>
          </w:p>
        </w:tc>
        <w:tc>
          <w:tcPr>
            <w:tcW w:w="3330" w:type="dxa"/>
          </w:tcPr>
          <w:p w14:paraId="358FCA25" w14:textId="01619F4A" w:rsidR="00F1280A" w:rsidRPr="00AA5B8F" w:rsidRDefault="00F1280A" w:rsidP="00F1280A">
            <w:r w:rsidRPr="00AA5B8F">
              <w:t>ADT^A01 Example Message incorrectly included this OBX segment: OBX|1|HD|SS001^TREATING FACILITY IDENTIFIER^PHINQUESTION||MountainviewGeneral^1231231236^NPI||||||F|||201508170700</w:t>
            </w:r>
          </w:p>
        </w:tc>
        <w:tc>
          <w:tcPr>
            <w:tcW w:w="4135" w:type="dxa"/>
          </w:tcPr>
          <w:p w14:paraId="01B5F803" w14:textId="77777777" w:rsidR="00F1280A" w:rsidRPr="00AA5B8F" w:rsidRDefault="00F1280A" w:rsidP="00F1280A">
            <w:r w:rsidRPr="00AA5B8F">
              <w:t xml:space="preserve">OBX|1|HD|SS001^TREATING FACILITY IDENTIFIER^PHINQUESTION||MountainviewGeneral^1231231236^NPI||||||F|||201508170700 </w:t>
            </w:r>
          </w:p>
          <w:p w14:paraId="24B21A2F" w14:textId="3CF847EF" w:rsidR="00F1280A" w:rsidRPr="00AA5B8F" w:rsidRDefault="00F1280A" w:rsidP="00F1280A">
            <w:r w:rsidRPr="00AA5B8F">
              <w:t>has been deleted from the ADT^A01 Example Message.</w:t>
            </w:r>
          </w:p>
          <w:p w14:paraId="684AC2A2" w14:textId="1428B527" w:rsidR="00F1280A" w:rsidRPr="00AA5B8F" w:rsidRDefault="00F1280A" w:rsidP="00F1280A"/>
        </w:tc>
      </w:tr>
      <w:tr w:rsidR="00F1280A" w:rsidRPr="006829E5" w14:paraId="04BEF054" w14:textId="77777777" w:rsidTr="0085218B">
        <w:trPr>
          <w:trHeight w:val="431"/>
        </w:trPr>
        <w:tc>
          <w:tcPr>
            <w:tcW w:w="1885" w:type="dxa"/>
          </w:tcPr>
          <w:p w14:paraId="7367AD6C" w14:textId="77777777" w:rsidR="00F1280A" w:rsidRPr="00AA5B8F" w:rsidRDefault="00F1280A" w:rsidP="0085218B">
            <w:r w:rsidRPr="00AA5B8F">
              <w:rPr>
                <w:rStyle w:val="indented"/>
              </w:rPr>
              <w:t>SS-IP-4_Inpatient_Visit_Surgery</w:t>
            </w:r>
          </w:p>
        </w:tc>
        <w:tc>
          <w:tcPr>
            <w:tcW w:w="3330" w:type="dxa"/>
          </w:tcPr>
          <w:p w14:paraId="6B74FCE5" w14:textId="76E264F7" w:rsidR="00F1280A" w:rsidRPr="00AA5B8F" w:rsidRDefault="00F1280A" w:rsidP="00F1280A">
            <w:r w:rsidRPr="00AA5B8F">
              <w:t xml:space="preserve">ADT^A03 Example Message incorrectly included this OBX segment: OBX|1|HD|SS001^TREATING FACILITY </w:t>
            </w:r>
            <w:r w:rsidRPr="00AA5B8F">
              <w:lastRenderedPageBreak/>
              <w:t>IDENTIFIER^PHINQUESTION||MountainviewGeneral^1231231236^NPI||||||F|||201508170700</w:t>
            </w:r>
          </w:p>
        </w:tc>
        <w:tc>
          <w:tcPr>
            <w:tcW w:w="4135" w:type="dxa"/>
          </w:tcPr>
          <w:p w14:paraId="08A5B465" w14:textId="4211F8F1" w:rsidR="00F1280A" w:rsidRPr="00AA5B8F" w:rsidRDefault="00F1280A" w:rsidP="0085218B">
            <w:r w:rsidRPr="00AA5B8F">
              <w:lastRenderedPageBreak/>
              <w:t>OBX|1|HD|SS001^TREATING FACILITY IDENTIFIER^PHINQUESTION||MountainviewGeneral^123123</w:t>
            </w:r>
            <w:r w:rsidR="006A4F50">
              <w:t>1236^NPI||||||F|||201508170700</w:t>
            </w:r>
          </w:p>
          <w:p w14:paraId="0216D65B" w14:textId="58063898" w:rsidR="00F1280A" w:rsidRPr="00AA5B8F" w:rsidRDefault="00F1280A" w:rsidP="0085218B">
            <w:r w:rsidRPr="00AA5B8F">
              <w:lastRenderedPageBreak/>
              <w:t>has been deleted from the ADT^A03 Example Message.</w:t>
            </w:r>
          </w:p>
          <w:p w14:paraId="412A0998" w14:textId="77777777" w:rsidR="00F1280A" w:rsidRPr="00AA5B8F" w:rsidRDefault="00F1280A" w:rsidP="0085218B"/>
        </w:tc>
      </w:tr>
      <w:tr w:rsidR="00F1280A" w:rsidRPr="006829E5" w14:paraId="49A25069" w14:textId="77777777" w:rsidTr="0085218B">
        <w:trPr>
          <w:trHeight w:val="431"/>
        </w:trPr>
        <w:tc>
          <w:tcPr>
            <w:tcW w:w="1885" w:type="dxa"/>
          </w:tcPr>
          <w:p w14:paraId="54FFC98C" w14:textId="77777777" w:rsidR="00F1280A" w:rsidRPr="00AA5B8F" w:rsidRDefault="00F1280A" w:rsidP="0085218B">
            <w:r w:rsidRPr="00AA5B8F">
              <w:rPr>
                <w:rStyle w:val="indented"/>
              </w:rPr>
              <w:lastRenderedPageBreak/>
              <w:t>SS-IP-4_Inpatient_Visit_Surgery</w:t>
            </w:r>
          </w:p>
        </w:tc>
        <w:tc>
          <w:tcPr>
            <w:tcW w:w="3330" w:type="dxa"/>
          </w:tcPr>
          <w:p w14:paraId="0505A89C" w14:textId="77777777" w:rsidR="00F1280A" w:rsidRPr="00AA5B8F" w:rsidRDefault="00F1280A" w:rsidP="00F1280A">
            <w:r w:rsidRPr="00AA5B8F">
              <w:t xml:space="preserve">ADT^A01 Example Message incorrectly did not include this OBX segment: </w:t>
            </w:r>
          </w:p>
          <w:p w14:paraId="73E3F5F2" w14:textId="5FCDBA86" w:rsidR="00F1280A" w:rsidRPr="00AA5B8F" w:rsidRDefault="00F1280A" w:rsidP="00F1280A">
            <w:r w:rsidRPr="00AA5B8F">
              <w:t xml:space="preserve">OBX|1|CWE|SS003^Facility/Visit </w:t>
            </w:r>
            <w:proofErr w:type="spellStart"/>
            <w:r w:rsidRPr="00AA5B8F">
              <w:t>Type^PHINQUESTION</w:t>
            </w:r>
            <w:proofErr w:type="spellEnd"/>
            <w:r w:rsidRPr="00AA5B8F">
              <w:t xml:space="preserve">||1021-5^Inpatient practice </w:t>
            </w:r>
            <w:proofErr w:type="spellStart"/>
            <w:r w:rsidRPr="00AA5B8F">
              <w:t>setting^HSLOC</w:t>
            </w:r>
            <w:proofErr w:type="spellEnd"/>
            <w:r w:rsidRPr="00AA5B8F">
              <w:t>||||||F</w:t>
            </w:r>
          </w:p>
        </w:tc>
        <w:tc>
          <w:tcPr>
            <w:tcW w:w="4135" w:type="dxa"/>
          </w:tcPr>
          <w:p w14:paraId="72798769" w14:textId="77777777" w:rsidR="00F1280A" w:rsidRPr="00AA5B8F" w:rsidRDefault="00F1280A" w:rsidP="0085218B">
            <w:r w:rsidRPr="00AA5B8F">
              <w:t xml:space="preserve">OBX|1|CWE|SS003^Facility/Visit </w:t>
            </w:r>
            <w:proofErr w:type="spellStart"/>
            <w:r w:rsidRPr="00AA5B8F">
              <w:t>Type^PHINQUESTION</w:t>
            </w:r>
            <w:proofErr w:type="spellEnd"/>
            <w:r w:rsidRPr="00AA5B8F">
              <w:t xml:space="preserve">||1021-5^Inpatient practice </w:t>
            </w:r>
            <w:proofErr w:type="spellStart"/>
            <w:r w:rsidRPr="00AA5B8F">
              <w:t>setting^HSLOC</w:t>
            </w:r>
            <w:proofErr w:type="spellEnd"/>
            <w:r w:rsidRPr="00AA5B8F">
              <w:t xml:space="preserve">||||||F </w:t>
            </w:r>
          </w:p>
          <w:p w14:paraId="0B5F28F2" w14:textId="3B4CB417" w:rsidR="00F1280A" w:rsidRPr="00AA5B8F" w:rsidRDefault="00F1280A" w:rsidP="0085218B">
            <w:r w:rsidRPr="00AA5B8F">
              <w:t>has been added to the ADT^A01 Example Message.</w:t>
            </w:r>
          </w:p>
          <w:p w14:paraId="5CB29245" w14:textId="77777777" w:rsidR="00F1280A" w:rsidRPr="00AA5B8F" w:rsidRDefault="00F1280A" w:rsidP="0085218B"/>
        </w:tc>
      </w:tr>
      <w:tr w:rsidR="00F1280A" w:rsidRPr="006829E5" w14:paraId="471B64A9" w14:textId="77777777" w:rsidTr="0085218B">
        <w:trPr>
          <w:trHeight w:val="431"/>
        </w:trPr>
        <w:tc>
          <w:tcPr>
            <w:tcW w:w="1885" w:type="dxa"/>
          </w:tcPr>
          <w:p w14:paraId="5A361296" w14:textId="77777777" w:rsidR="00F1280A" w:rsidRPr="00AA5B8F" w:rsidRDefault="00F1280A" w:rsidP="0085218B">
            <w:r w:rsidRPr="00AA5B8F">
              <w:rPr>
                <w:rStyle w:val="indented"/>
              </w:rPr>
              <w:t>SS-IP-4_Inpatient_Visit_Surgery</w:t>
            </w:r>
          </w:p>
        </w:tc>
        <w:tc>
          <w:tcPr>
            <w:tcW w:w="3330" w:type="dxa"/>
          </w:tcPr>
          <w:p w14:paraId="6773F974" w14:textId="5EAF03BA" w:rsidR="00F1280A" w:rsidRPr="00AA5B8F" w:rsidRDefault="00F1280A" w:rsidP="00F1280A">
            <w:r w:rsidRPr="00AA5B8F">
              <w:t xml:space="preserve">ADT^A03 Example Message incorrectly did not include this OBX segment: OBX|1|CWE|SS003^Facility/Visit </w:t>
            </w:r>
            <w:proofErr w:type="spellStart"/>
            <w:r w:rsidRPr="00AA5B8F">
              <w:t>Type^PHINQUESTION</w:t>
            </w:r>
            <w:proofErr w:type="spellEnd"/>
            <w:r w:rsidRPr="00AA5B8F">
              <w:t xml:space="preserve">||1021-5^Inpatient practice </w:t>
            </w:r>
            <w:proofErr w:type="spellStart"/>
            <w:r w:rsidRPr="00AA5B8F">
              <w:t>setting^HSLOC</w:t>
            </w:r>
            <w:proofErr w:type="spellEnd"/>
            <w:r w:rsidRPr="00AA5B8F">
              <w:t>||||||F</w:t>
            </w:r>
          </w:p>
        </w:tc>
        <w:tc>
          <w:tcPr>
            <w:tcW w:w="4135" w:type="dxa"/>
          </w:tcPr>
          <w:p w14:paraId="196A0511" w14:textId="77777777" w:rsidR="00F1280A" w:rsidRPr="00AA5B8F" w:rsidRDefault="00F1280A" w:rsidP="0085218B">
            <w:r w:rsidRPr="00AA5B8F">
              <w:t xml:space="preserve">OBX|1|CWE|SS003^Facility/Visit </w:t>
            </w:r>
            <w:proofErr w:type="spellStart"/>
            <w:r w:rsidRPr="00AA5B8F">
              <w:t>Type^PHINQUESTION</w:t>
            </w:r>
            <w:proofErr w:type="spellEnd"/>
            <w:r w:rsidRPr="00AA5B8F">
              <w:t xml:space="preserve">||1021-5^Inpatient practice </w:t>
            </w:r>
            <w:proofErr w:type="spellStart"/>
            <w:r w:rsidRPr="00AA5B8F">
              <w:t>setting^HSLOC</w:t>
            </w:r>
            <w:proofErr w:type="spellEnd"/>
            <w:r w:rsidRPr="00AA5B8F">
              <w:t xml:space="preserve">||||||F </w:t>
            </w:r>
          </w:p>
          <w:p w14:paraId="6735C5BC" w14:textId="1351209D" w:rsidR="00F1280A" w:rsidRPr="00AA5B8F" w:rsidRDefault="00F1280A" w:rsidP="0085218B">
            <w:r w:rsidRPr="00AA5B8F">
              <w:t>has been added to the ADT^A03 Example Message.</w:t>
            </w:r>
          </w:p>
          <w:p w14:paraId="14EF9B09" w14:textId="77777777" w:rsidR="00F1280A" w:rsidRPr="00AA5B8F" w:rsidRDefault="00F1280A" w:rsidP="0085218B"/>
        </w:tc>
      </w:tr>
    </w:tbl>
    <w:p w14:paraId="7F282D34" w14:textId="77777777" w:rsidR="00DD022F" w:rsidRDefault="00DD022F" w:rsidP="00420C09"/>
    <w:p w14:paraId="062DBC3F" w14:textId="77777777" w:rsidR="00420C09" w:rsidRDefault="00987C70" w:rsidP="00420C09">
      <w:r>
        <w:t xml:space="preserve">Specific </w:t>
      </w:r>
      <w:r w:rsidR="00420C09">
        <w:t>Validation</w:t>
      </w:r>
    </w:p>
    <w:tbl>
      <w:tblPr>
        <w:tblStyle w:val="TableGrid"/>
        <w:tblW w:w="0" w:type="auto"/>
        <w:tblLayout w:type="fixed"/>
        <w:tblLook w:val="04A0" w:firstRow="1" w:lastRow="0" w:firstColumn="1" w:lastColumn="0" w:noHBand="0" w:noVBand="1"/>
      </w:tblPr>
      <w:tblGrid>
        <w:gridCol w:w="4405"/>
        <w:gridCol w:w="4945"/>
      </w:tblGrid>
      <w:tr w:rsidR="008C4252" w14:paraId="3F1D3BB4" w14:textId="77777777" w:rsidTr="008535C1">
        <w:tc>
          <w:tcPr>
            <w:tcW w:w="4405" w:type="dxa"/>
            <w:tcBorders>
              <w:bottom w:val="single" w:sz="4" w:space="0" w:color="auto"/>
            </w:tcBorders>
          </w:tcPr>
          <w:p w14:paraId="239B6D11" w14:textId="77777777" w:rsidR="00D65A11" w:rsidRPr="00412050" w:rsidRDefault="00D65A11" w:rsidP="003269D6">
            <w:pPr>
              <w:rPr>
                <w:b/>
              </w:rPr>
            </w:pPr>
            <w:r w:rsidRPr="00412050">
              <w:rPr>
                <w:b/>
              </w:rPr>
              <w:t>Issue</w:t>
            </w:r>
          </w:p>
        </w:tc>
        <w:tc>
          <w:tcPr>
            <w:tcW w:w="4945" w:type="dxa"/>
            <w:tcBorders>
              <w:bottom w:val="single" w:sz="4" w:space="0" w:color="auto"/>
            </w:tcBorders>
          </w:tcPr>
          <w:p w14:paraId="1CB3F726" w14:textId="77777777" w:rsidR="00D65A11" w:rsidRPr="00412050" w:rsidRDefault="00D65A11" w:rsidP="003269D6">
            <w:pPr>
              <w:rPr>
                <w:b/>
              </w:rPr>
            </w:pPr>
            <w:r w:rsidRPr="00412050">
              <w:rPr>
                <w:b/>
              </w:rPr>
              <w:t>Resolution</w:t>
            </w:r>
          </w:p>
        </w:tc>
      </w:tr>
      <w:tr w:rsidR="008C4252" w14:paraId="0569C739" w14:textId="77777777" w:rsidTr="001346D6">
        <w:tc>
          <w:tcPr>
            <w:tcW w:w="4405" w:type="dxa"/>
          </w:tcPr>
          <w:p w14:paraId="5F884C7E" w14:textId="34CE9BC3" w:rsidR="00A3088E" w:rsidRPr="00F4514E" w:rsidRDefault="00A3088E" w:rsidP="00DE05DE">
            <w:pPr>
              <w:rPr>
                <w:rFonts w:eastAsia="Times New Roman" w:cs="Tahoma"/>
                <w:szCs w:val="18"/>
              </w:rPr>
            </w:pPr>
          </w:p>
        </w:tc>
        <w:tc>
          <w:tcPr>
            <w:tcW w:w="4945" w:type="dxa"/>
          </w:tcPr>
          <w:p w14:paraId="0AEB7164" w14:textId="216EDADA" w:rsidR="00A3088E" w:rsidRPr="00F4514E" w:rsidRDefault="00A3088E" w:rsidP="00B37B36"/>
        </w:tc>
      </w:tr>
    </w:tbl>
    <w:p w14:paraId="0C52AF0C" w14:textId="77777777" w:rsidR="00642A60" w:rsidRDefault="00642A60" w:rsidP="007A49DD">
      <w:pPr>
        <w:spacing w:after="120" w:line="240" w:lineRule="auto"/>
      </w:pPr>
    </w:p>
    <w:p w14:paraId="6A2B5F6A" w14:textId="6E351DA6" w:rsidR="007A49DD" w:rsidRDefault="007A49DD" w:rsidP="007A49DD">
      <w:pPr>
        <w:spacing w:after="120" w:line="240" w:lineRule="auto"/>
      </w:pPr>
      <w:r>
        <w:t>Documentation</w:t>
      </w:r>
    </w:p>
    <w:tbl>
      <w:tblPr>
        <w:tblStyle w:val="TableGrid"/>
        <w:tblW w:w="0" w:type="auto"/>
        <w:tblLook w:val="04A0" w:firstRow="1" w:lastRow="0" w:firstColumn="1" w:lastColumn="0" w:noHBand="0" w:noVBand="1"/>
      </w:tblPr>
      <w:tblGrid>
        <w:gridCol w:w="4385"/>
        <w:gridCol w:w="4965"/>
      </w:tblGrid>
      <w:tr w:rsidR="007A49DD" w14:paraId="78715BB5" w14:textId="77777777" w:rsidTr="00A757E8">
        <w:tc>
          <w:tcPr>
            <w:tcW w:w="4385" w:type="dxa"/>
          </w:tcPr>
          <w:p w14:paraId="1CF867D0" w14:textId="77777777" w:rsidR="007A49DD" w:rsidRPr="00412050" w:rsidRDefault="007A49DD" w:rsidP="00F758E1">
            <w:pPr>
              <w:rPr>
                <w:b/>
              </w:rPr>
            </w:pPr>
            <w:r w:rsidRPr="00412050">
              <w:rPr>
                <w:b/>
              </w:rPr>
              <w:t>Issue</w:t>
            </w:r>
          </w:p>
        </w:tc>
        <w:tc>
          <w:tcPr>
            <w:tcW w:w="4965" w:type="dxa"/>
          </w:tcPr>
          <w:p w14:paraId="00B3452C" w14:textId="77777777" w:rsidR="007A49DD" w:rsidRPr="00412050" w:rsidRDefault="007A49DD" w:rsidP="00F758E1">
            <w:pPr>
              <w:rPr>
                <w:b/>
              </w:rPr>
            </w:pPr>
            <w:r w:rsidRPr="00412050">
              <w:rPr>
                <w:b/>
              </w:rPr>
              <w:t>Resolution</w:t>
            </w:r>
          </w:p>
        </w:tc>
      </w:tr>
      <w:tr w:rsidR="00C703C0" w:rsidRPr="00B314D0" w14:paraId="2B5E91C5" w14:textId="77777777" w:rsidTr="00C703C0">
        <w:tc>
          <w:tcPr>
            <w:tcW w:w="4385" w:type="dxa"/>
            <w:shd w:val="clear" w:color="auto" w:fill="auto"/>
          </w:tcPr>
          <w:p w14:paraId="3439E3D3" w14:textId="198CD90C" w:rsidR="00C703C0" w:rsidRPr="00B84373" w:rsidRDefault="00431A65" w:rsidP="00EE0C86">
            <w:r w:rsidRPr="00B84373">
              <w:t xml:space="preserve">An error </w:t>
            </w:r>
            <w:r w:rsidR="00EE0C86" w:rsidRPr="00B84373">
              <w:t xml:space="preserve">pertaining to </w:t>
            </w:r>
            <w:r w:rsidR="00EE0C86" w:rsidRPr="00B84373">
              <w:rPr>
                <w:rFonts w:cs="Arial"/>
              </w:rPr>
              <w:t>Provider Type element Vocabulary link</w:t>
            </w:r>
            <w:r w:rsidR="00EE0C86" w:rsidRPr="00B84373">
              <w:t xml:space="preserve"> </w:t>
            </w:r>
            <w:r w:rsidRPr="00B84373">
              <w:t xml:space="preserve">was noted in the PHIN </w:t>
            </w:r>
            <w:r w:rsidR="00457AFF" w:rsidRPr="00B84373">
              <w:t xml:space="preserve">Syndromic Surveillance Messaging Guide, </w:t>
            </w:r>
            <w:proofErr w:type="spellStart"/>
            <w:r w:rsidR="00457AFF" w:rsidRPr="00B84373">
              <w:t>Rel</w:t>
            </w:r>
            <w:proofErr w:type="spellEnd"/>
            <w:r w:rsidR="00457AFF" w:rsidRPr="00B84373">
              <w:t xml:space="preserve"> 2.0, April, 2015.</w:t>
            </w:r>
          </w:p>
        </w:tc>
        <w:tc>
          <w:tcPr>
            <w:tcW w:w="4965" w:type="dxa"/>
          </w:tcPr>
          <w:p w14:paraId="2BE5D664" w14:textId="4DB72A40" w:rsidR="00C703C0" w:rsidRPr="00B84373" w:rsidRDefault="00431A65" w:rsidP="00AE7832">
            <w:r w:rsidRPr="00B84373">
              <w:t xml:space="preserve">An updated version </w:t>
            </w:r>
            <w:r w:rsidR="00AE7832" w:rsidRPr="00B84373">
              <w:t xml:space="preserve">(V1.2) </w:t>
            </w:r>
            <w:r w:rsidRPr="00B84373">
              <w:t xml:space="preserve">of the </w:t>
            </w:r>
            <w:r w:rsidRPr="00B84373">
              <w:rPr>
                <w:rFonts w:cs="Helvetica"/>
                <w:shd w:val="clear" w:color="auto" w:fill="F9F9F9"/>
              </w:rPr>
              <w:t xml:space="preserve">NIST Clarifications and Validation Guidelines document </w:t>
            </w:r>
            <w:r w:rsidRPr="00B84373">
              <w:t xml:space="preserve">has been posted on the Documentation Tab; </w:t>
            </w:r>
            <w:r w:rsidRPr="00B84373">
              <w:rPr>
                <w:rFonts w:cs="Arial"/>
              </w:rPr>
              <w:t>Item ERR-20 regarding Provider Type element Vocabulary link</w:t>
            </w:r>
            <w:r w:rsidR="00EE0C86" w:rsidRPr="00B84373">
              <w:rPr>
                <w:rFonts w:cs="Arial"/>
              </w:rPr>
              <w:t xml:space="preserve"> is </w:t>
            </w:r>
            <w:r w:rsidR="00EE0C86" w:rsidRPr="00B84373">
              <w:t xml:space="preserve">included in </w:t>
            </w:r>
            <w:r w:rsidR="00EE0C86" w:rsidRPr="00B84373">
              <w:rPr>
                <w:rFonts w:cs="Arial"/>
              </w:rPr>
              <w:t>ERRATA section, explaining the nature of the error as well as the impact on certification testing.</w:t>
            </w:r>
          </w:p>
        </w:tc>
      </w:tr>
      <w:tr w:rsidR="00C67D55" w:rsidRPr="00B314D0" w14:paraId="462CD014" w14:textId="77777777" w:rsidTr="00C703C0">
        <w:tc>
          <w:tcPr>
            <w:tcW w:w="4385" w:type="dxa"/>
            <w:shd w:val="clear" w:color="auto" w:fill="auto"/>
          </w:tcPr>
          <w:p w14:paraId="489E998D" w14:textId="410A59F1" w:rsidR="00C67D55" w:rsidRPr="00B84373" w:rsidRDefault="00C67D55" w:rsidP="00D9555D">
            <w:r w:rsidRPr="00B84373">
              <w:rPr>
                <w:rFonts w:cs="Arial"/>
                <w:szCs w:val="18"/>
              </w:rPr>
              <w:t xml:space="preserve">In </w:t>
            </w:r>
            <w:r w:rsidRPr="00B84373">
              <w:rPr>
                <w:rFonts w:cs="Arial"/>
                <w:b/>
                <w:szCs w:val="18"/>
              </w:rPr>
              <w:t>Conformance Test Tools</w:t>
            </w:r>
            <w:r w:rsidRPr="00B84373">
              <w:rPr>
                <w:rFonts w:cs="Arial"/>
                <w:szCs w:val="18"/>
              </w:rPr>
              <w:t xml:space="preserve"> section</w:t>
            </w:r>
            <w:r w:rsidR="005E15FF" w:rsidRPr="00B84373">
              <w:rPr>
                <w:rFonts w:cs="Arial"/>
                <w:szCs w:val="18"/>
              </w:rPr>
              <w:t xml:space="preserve"> of Normative Test Process Document</w:t>
            </w:r>
            <w:r w:rsidR="00594AE3" w:rsidRPr="00B84373">
              <w:rPr>
                <w:rFonts w:cs="Arial"/>
                <w:szCs w:val="18"/>
              </w:rPr>
              <w:t xml:space="preserve"> version 1.0</w:t>
            </w:r>
            <w:r w:rsidRPr="00B84373">
              <w:rPr>
                <w:rFonts w:cs="Arial"/>
                <w:szCs w:val="18"/>
              </w:rPr>
              <w:t xml:space="preserve">, </w:t>
            </w:r>
            <w:r w:rsidR="005E15FF" w:rsidRPr="00B84373">
              <w:rPr>
                <w:rFonts w:cs="Arial"/>
                <w:szCs w:val="18"/>
              </w:rPr>
              <w:t>the</w:t>
            </w:r>
            <w:r w:rsidRPr="00B84373">
              <w:rPr>
                <w:rFonts w:cs="Arial"/>
                <w:szCs w:val="18"/>
              </w:rPr>
              <w:t xml:space="preserve"> paragraph after email address information included this </w:t>
            </w:r>
            <w:r w:rsidR="00D9555D" w:rsidRPr="00B84373">
              <w:rPr>
                <w:rFonts w:cs="Arial"/>
                <w:szCs w:val="18"/>
              </w:rPr>
              <w:t>incorrect</w:t>
            </w:r>
            <w:r w:rsidRPr="00B84373">
              <w:rPr>
                <w:rFonts w:cs="Arial"/>
                <w:szCs w:val="18"/>
              </w:rPr>
              <w:t xml:space="preserve"> information “</w:t>
            </w:r>
            <w:r w:rsidRPr="00B84373">
              <w:t>HL7 v2 Immunization Test Suite tool”</w:t>
            </w:r>
            <w:r w:rsidR="005E15FF" w:rsidRPr="00B84373">
              <w:t>.</w:t>
            </w:r>
          </w:p>
        </w:tc>
        <w:tc>
          <w:tcPr>
            <w:tcW w:w="4965" w:type="dxa"/>
          </w:tcPr>
          <w:p w14:paraId="07759DA1" w14:textId="5A7BBFFC" w:rsidR="00C67D55" w:rsidRPr="00B84373" w:rsidRDefault="005E15FF" w:rsidP="00D9555D">
            <w:r w:rsidRPr="00B84373">
              <w:rPr>
                <w:rFonts w:cs="Arial"/>
                <w:szCs w:val="18"/>
              </w:rPr>
              <w:t xml:space="preserve">This </w:t>
            </w:r>
            <w:r w:rsidR="00D9555D" w:rsidRPr="00B84373">
              <w:rPr>
                <w:rFonts w:cs="Arial"/>
                <w:szCs w:val="18"/>
              </w:rPr>
              <w:t>typo</w:t>
            </w:r>
            <w:r w:rsidR="00C67D55" w:rsidRPr="00B84373">
              <w:rPr>
                <w:rFonts w:cs="Arial"/>
                <w:szCs w:val="18"/>
              </w:rPr>
              <w:t xml:space="preserve"> has been corrected to </w:t>
            </w:r>
            <w:r w:rsidR="00C67D55" w:rsidRPr="00B84373">
              <w:t xml:space="preserve">“HL7 v2 </w:t>
            </w:r>
            <w:r w:rsidR="00C67D55" w:rsidRPr="00B84373">
              <w:rPr>
                <w:rFonts w:cs="Arial"/>
              </w:rPr>
              <w:t xml:space="preserve">Syndromic Surveillance </w:t>
            </w:r>
            <w:r w:rsidR="00C67D55" w:rsidRPr="00B84373">
              <w:rPr>
                <w:rFonts w:cs="Arial"/>
                <w:iCs/>
              </w:rPr>
              <w:t>Test Tool”</w:t>
            </w:r>
            <w:r w:rsidR="00594AE3" w:rsidRPr="00B84373">
              <w:rPr>
                <w:rFonts w:cs="Arial"/>
                <w:iCs/>
              </w:rPr>
              <w:t xml:space="preserve"> in version 1.1 of the </w:t>
            </w:r>
            <w:r w:rsidR="00594AE3" w:rsidRPr="00B84373">
              <w:rPr>
                <w:rFonts w:cs="Arial"/>
                <w:szCs w:val="18"/>
              </w:rPr>
              <w:t>Normative Test Process Document</w:t>
            </w:r>
            <w:r w:rsidRPr="00B84373">
              <w:rPr>
                <w:rFonts w:cs="Arial"/>
                <w:iCs/>
              </w:rPr>
              <w:t>.</w:t>
            </w:r>
          </w:p>
        </w:tc>
      </w:tr>
    </w:tbl>
    <w:p w14:paraId="36BA8A76" w14:textId="77777777" w:rsidR="00642A60" w:rsidRDefault="00642A60" w:rsidP="00987C70"/>
    <w:p w14:paraId="53FE5375" w14:textId="77777777" w:rsidR="00987C70" w:rsidRDefault="00987C70" w:rsidP="00987C70">
      <w:r>
        <w:t>User Interface</w:t>
      </w:r>
    </w:p>
    <w:tbl>
      <w:tblPr>
        <w:tblStyle w:val="TableGrid"/>
        <w:tblW w:w="0" w:type="auto"/>
        <w:tblLook w:val="04A0" w:firstRow="1" w:lastRow="0" w:firstColumn="1" w:lastColumn="0" w:noHBand="0" w:noVBand="1"/>
      </w:tblPr>
      <w:tblGrid>
        <w:gridCol w:w="4491"/>
        <w:gridCol w:w="4859"/>
      </w:tblGrid>
      <w:tr w:rsidR="00987C70" w14:paraId="1F46722B" w14:textId="77777777" w:rsidTr="00FE23F4">
        <w:trPr>
          <w:tblHeader/>
        </w:trPr>
        <w:tc>
          <w:tcPr>
            <w:tcW w:w="4491" w:type="dxa"/>
          </w:tcPr>
          <w:p w14:paraId="5ED49FD2" w14:textId="77777777" w:rsidR="00987C70" w:rsidRPr="00412050" w:rsidRDefault="00987C70" w:rsidP="003269D6">
            <w:pPr>
              <w:rPr>
                <w:b/>
              </w:rPr>
            </w:pPr>
            <w:r w:rsidRPr="00412050">
              <w:rPr>
                <w:b/>
              </w:rPr>
              <w:t>Issue</w:t>
            </w:r>
          </w:p>
        </w:tc>
        <w:tc>
          <w:tcPr>
            <w:tcW w:w="4859" w:type="dxa"/>
          </w:tcPr>
          <w:p w14:paraId="1E041FD8" w14:textId="77777777" w:rsidR="00987C70" w:rsidRPr="00412050" w:rsidRDefault="00987C70" w:rsidP="003269D6">
            <w:pPr>
              <w:rPr>
                <w:b/>
              </w:rPr>
            </w:pPr>
            <w:r w:rsidRPr="00412050">
              <w:rPr>
                <w:b/>
              </w:rPr>
              <w:t>Resolution</w:t>
            </w:r>
          </w:p>
        </w:tc>
      </w:tr>
      <w:tr w:rsidR="00F2395B" w14:paraId="46A2237B" w14:textId="77777777" w:rsidTr="00F2395B">
        <w:tc>
          <w:tcPr>
            <w:tcW w:w="4491" w:type="dxa"/>
          </w:tcPr>
          <w:p w14:paraId="6C96A725" w14:textId="2C44E6B9" w:rsidR="008420B2" w:rsidRPr="00575173" w:rsidRDefault="008420B2" w:rsidP="00F2395B"/>
        </w:tc>
        <w:tc>
          <w:tcPr>
            <w:tcW w:w="4859" w:type="dxa"/>
          </w:tcPr>
          <w:p w14:paraId="6A973A3D" w14:textId="7521C9BA" w:rsidR="008420B2" w:rsidRPr="00575173" w:rsidRDefault="008420B2" w:rsidP="00642A60"/>
        </w:tc>
      </w:tr>
    </w:tbl>
    <w:p w14:paraId="5538000C" w14:textId="2F33FB21" w:rsidR="007D7C04" w:rsidRDefault="007D7C04" w:rsidP="001E20CE">
      <w:pPr>
        <w:spacing w:after="120"/>
      </w:pPr>
    </w:p>
    <w:p w14:paraId="6066A872" w14:textId="77777777" w:rsidR="00C758DB" w:rsidRDefault="00C758DB" w:rsidP="00C758DB">
      <w:r>
        <w:lastRenderedPageBreak/>
        <w:t>Core</w:t>
      </w:r>
      <w:r w:rsidR="0048361B">
        <w:t xml:space="preserve"> Functionality</w:t>
      </w:r>
    </w:p>
    <w:tbl>
      <w:tblPr>
        <w:tblStyle w:val="TableGrid"/>
        <w:tblW w:w="0" w:type="auto"/>
        <w:tblLook w:val="04A0" w:firstRow="1" w:lastRow="0" w:firstColumn="1" w:lastColumn="0" w:noHBand="0" w:noVBand="1"/>
      </w:tblPr>
      <w:tblGrid>
        <w:gridCol w:w="4388"/>
        <w:gridCol w:w="4962"/>
      </w:tblGrid>
      <w:tr w:rsidR="00C758DB" w14:paraId="2D00B8AE" w14:textId="77777777" w:rsidTr="001769C2">
        <w:tc>
          <w:tcPr>
            <w:tcW w:w="6228" w:type="dxa"/>
          </w:tcPr>
          <w:p w14:paraId="5D590051" w14:textId="77777777" w:rsidR="00C758DB" w:rsidRPr="00412050" w:rsidRDefault="00C758DB" w:rsidP="003269D6">
            <w:pPr>
              <w:rPr>
                <w:b/>
              </w:rPr>
            </w:pPr>
            <w:r w:rsidRPr="00412050">
              <w:rPr>
                <w:b/>
              </w:rPr>
              <w:t>Issue</w:t>
            </w:r>
          </w:p>
        </w:tc>
        <w:tc>
          <w:tcPr>
            <w:tcW w:w="6840" w:type="dxa"/>
          </w:tcPr>
          <w:p w14:paraId="3A6E1AA3" w14:textId="77777777" w:rsidR="00C758DB" w:rsidRPr="00412050" w:rsidRDefault="00C758DB" w:rsidP="003269D6">
            <w:pPr>
              <w:rPr>
                <w:b/>
              </w:rPr>
            </w:pPr>
            <w:r w:rsidRPr="00412050">
              <w:rPr>
                <w:b/>
              </w:rPr>
              <w:t>Resolution</w:t>
            </w:r>
          </w:p>
        </w:tc>
      </w:tr>
      <w:tr w:rsidR="00C758DB" w14:paraId="65D037DC" w14:textId="77777777" w:rsidTr="001769C2">
        <w:tc>
          <w:tcPr>
            <w:tcW w:w="6228" w:type="dxa"/>
          </w:tcPr>
          <w:p w14:paraId="0FB9C068" w14:textId="77777777" w:rsidR="00C758DB" w:rsidRDefault="007F68D5" w:rsidP="003269D6">
            <w:r>
              <w:t>None</w:t>
            </w:r>
          </w:p>
        </w:tc>
        <w:tc>
          <w:tcPr>
            <w:tcW w:w="6840" w:type="dxa"/>
          </w:tcPr>
          <w:p w14:paraId="64171D69" w14:textId="77777777" w:rsidR="00C758DB" w:rsidRDefault="00C758DB" w:rsidP="003269D6"/>
        </w:tc>
      </w:tr>
    </w:tbl>
    <w:p w14:paraId="7FFBD047" w14:textId="77777777" w:rsidR="00C758DB" w:rsidRDefault="00C758DB" w:rsidP="00420C09"/>
    <w:tbl>
      <w:tblPr>
        <w:tblStyle w:val="TableGrid"/>
        <w:tblW w:w="0" w:type="auto"/>
        <w:tblLook w:val="04A0" w:firstRow="1" w:lastRow="0" w:firstColumn="1" w:lastColumn="0" w:noHBand="0" w:noVBand="1"/>
      </w:tblPr>
      <w:tblGrid>
        <w:gridCol w:w="9350"/>
      </w:tblGrid>
      <w:tr w:rsidR="00242AB4" w14:paraId="0C1EB9EB" w14:textId="77777777" w:rsidTr="00B4672C">
        <w:tc>
          <w:tcPr>
            <w:tcW w:w="9350" w:type="dxa"/>
          </w:tcPr>
          <w:p w14:paraId="7A72406E" w14:textId="77777777" w:rsidR="00242AB4" w:rsidRPr="00412050" w:rsidRDefault="00242AB4" w:rsidP="009B6DA9">
            <w:pPr>
              <w:rPr>
                <w:b/>
              </w:rPr>
            </w:pPr>
            <w:r>
              <w:rPr>
                <w:b/>
              </w:rPr>
              <w:t>Improvements/Features</w:t>
            </w:r>
          </w:p>
        </w:tc>
      </w:tr>
      <w:tr w:rsidR="003009A2" w14:paraId="53F9C300" w14:textId="77777777" w:rsidTr="00B4672C">
        <w:tc>
          <w:tcPr>
            <w:tcW w:w="9350" w:type="dxa"/>
          </w:tcPr>
          <w:p w14:paraId="11CF2CE3" w14:textId="7403CFD8" w:rsidR="003009A2" w:rsidRPr="00760CDB" w:rsidRDefault="00760CDB" w:rsidP="00760CDB">
            <w:pPr>
              <w:rPr>
                <w:color w:val="1F497D"/>
              </w:rPr>
            </w:pPr>
            <w:r w:rsidRPr="00760CDB">
              <w:rPr>
                <w:rFonts w:cstheme="minorHAnsi"/>
              </w:rPr>
              <w:t xml:space="preserve">“API Documentation” section was added to </w:t>
            </w:r>
            <w:r>
              <w:rPr>
                <w:rFonts w:cstheme="minorHAnsi"/>
              </w:rPr>
              <w:t xml:space="preserve">the </w:t>
            </w:r>
            <w:r w:rsidRPr="00760CDB">
              <w:rPr>
                <w:rFonts w:cstheme="minorHAnsi"/>
              </w:rPr>
              <w:t xml:space="preserve">Documentation page. </w:t>
            </w:r>
            <w:r w:rsidRPr="00760CDB">
              <w:t xml:space="preserve">The </w:t>
            </w:r>
            <w:r w:rsidRPr="00760CDB">
              <w:rPr>
                <w:u w:val="single"/>
              </w:rPr>
              <w:t>Access REST APIs</w:t>
            </w:r>
            <w:r>
              <w:t xml:space="preserve"> link in the API D</w:t>
            </w:r>
            <w:r w:rsidRPr="00760CDB">
              <w:t xml:space="preserve">ocumentation </w:t>
            </w:r>
            <w:r>
              <w:t xml:space="preserve">section </w:t>
            </w:r>
            <w:r w:rsidRPr="00760CDB">
              <w:t>provides a list and description</w:t>
            </w:r>
            <w:r>
              <w:t>s</w:t>
            </w:r>
            <w:r w:rsidRPr="00760CDB">
              <w:t xml:space="preserve"> of all </w:t>
            </w:r>
            <w:r>
              <w:t>operations available on the Syndromic Surveillance T</w:t>
            </w:r>
            <w:r w:rsidRPr="00760CDB">
              <w:t xml:space="preserve">ool. These </w:t>
            </w:r>
            <w:r w:rsidRPr="00760CDB">
              <w:t>“</w:t>
            </w:r>
            <w:r w:rsidRPr="00760CDB">
              <w:t>calls</w:t>
            </w:r>
            <w:r w:rsidRPr="00760CDB">
              <w:t>”</w:t>
            </w:r>
            <w:r w:rsidRPr="00760CDB">
              <w:t xml:space="preserve"> allow access </w:t>
            </w:r>
            <w:r w:rsidRPr="00760CDB">
              <w:t>to the</w:t>
            </w:r>
            <w:r w:rsidRPr="00760CDB">
              <w:t xml:space="preserve"> resources w</w:t>
            </w:r>
            <w:r>
              <w:t>ithout using the T</w:t>
            </w:r>
            <w:r w:rsidRPr="00760CDB">
              <w:t>ool</w:t>
            </w:r>
            <w:r>
              <w:t>’s</w:t>
            </w:r>
            <w:r w:rsidRPr="00760CDB">
              <w:t xml:space="preserve"> interface.</w:t>
            </w:r>
          </w:p>
        </w:tc>
      </w:tr>
      <w:tr w:rsidR="000B6D15" w14:paraId="27C87F28" w14:textId="77777777" w:rsidTr="00B4672C">
        <w:tc>
          <w:tcPr>
            <w:tcW w:w="9350" w:type="dxa"/>
          </w:tcPr>
          <w:p w14:paraId="15958454" w14:textId="1A235A26" w:rsidR="00AE3DAD" w:rsidRDefault="000B6D15" w:rsidP="00C1099B">
            <w:r>
              <w:t>T</w:t>
            </w:r>
            <w:r w:rsidRPr="000B6D15">
              <w:t xml:space="preserve">he Test Execution </w:t>
            </w:r>
            <w:r w:rsidR="00C1099B">
              <w:t xml:space="preserve">table (showing Description, Execution Status, Validation Result, and Comments columns) </w:t>
            </w:r>
            <w:r w:rsidRPr="000B6D15">
              <w:t xml:space="preserve">displays </w:t>
            </w:r>
            <w:r w:rsidR="00C1099B">
              <w:t xml:space="preserve">on the screen </w:t>
            </w:r>
            <w:r w:rsidRPr="000B6D15">
              <w:t xml:space="preserve">at </w:t>
            </w:r>
            <w:r>
              <w:t xml:space="preserve">both </w:t>
            </w:r>
            <w:r w:rsidRPr="000B6D15">
              <w:t xml:space="preserve">the </w:t>
            </w:r>
            <w:r>
              <w:t xml:space="preserve">Test Case (multiple message) validation level and </w:t>
            </w:r>
            <w:r w:rsidR="005209A6">
              <w:t xml:space="preserve">(newly) at the </w:t>
            </w:r>
            <w:r w:rsidRPr="000B6D15">
              <w:t xml:space="preserve">Test Step </w:t>
            </w:r>
            <w:r>
              <w:t>(</w:t>
            </w:r>
            <w:r>
              <w:t>single</w:t>
            </w:r>
            <w:r>
              <w:t xml:space="preserve"> message) </w:t>
            </w:r>
            <w:r w:rsidRPr="000B6D15">
              <w:t>validation level.</w:t>
            </w:r>
            <w:r w:rsidR="00C1099B">
              <w:t xml:space="preserve"> </w:t>
            </w:r>
          </w:p>
          <w:p w14:paraId="3377DF59" w14:textId="77777777" w:rsidR="00EA23F0" w:rsidRDefault="00EA23F0" w:rsidP="00C1099B"/>
          <w:p w14:paraId="1810293F" w14:textId="184BEAB5" w:rsidR="00AE3DAD" w:rsidRDefault="00AE3DAD" w:rsidP="00C1099B">
            <w:r>
              <w:t>After the Tool has validated the test message:</w:t>
            </w:r>
          </w:p>
          <w:p w14:paraId="0BF03700" w14:textId="42AE8AAA" w:rsidR="00AE3DAD" w:rsidRDefault="00AE3DAD" w:rsidP="00AE3DAD">
            <w:pPr>
              <w:pStyle w:val="ListParagraph"/>
              <w:numPr>
                <w:ilvl w:val="0"/>
                <w:numId w:val="11"/>
              </w:numPr>
            </w:pPr>
            <w:r>
              <w:t>A drop-down menu appears in the cell of the Validation Result column of the active Test Step’s row. The default value determined by the Tool appears in the Validation Result field, and this value can be overridden by the Tester with one of the following selections available on the drop-down menu: Passed, Passed – Notable Exception, Failed, Failed – Not Supported, Incomplete, Inconclusive.</w:t>
            </w:r>
            <w:r w:rsidR="005209A6">
              <w:t xml:space="preserve"> The </w:t>
            </w:r>
            <w:r w:rsidR="00EA23F0">
              <w:t xml:space="preserve">Validation Result </w:t>
            </w:r>
            <w:r w:rsidR="005209A6">
              <w:t>value will appear in the Result section of the Validation Report.</w:t>
            </w:r>
            <w:r w:rsidR="00EA23F0">
              <w:t xml:space="preserve"> </w:t>
            </w:r>
          </w:p>
          <w:p w14:paraId="1ED68C13" w14:textId="1245A9F3" w:rsidR="000B6D15" w:rsidRPr="00AE3DAD" w:rsidRDefault="00C1099B" w:rsidP="00AE3DAD">
            <w:pPr>
              <w:pStyle w:val="ListParagraph"/>
              <w:numPr>
                <w:ilvl w:val="0"/>
                <w:numId w:val="11"/>
              </w:numPr>
              <w:rPr>
                <w:rFonts w:cstheme="minorHAnsi"/>
              </w:rPr>
            </w:pPr>
            <w:r>
              <w:t xml:space="preserve">The Comments column provides an interactive field that enables the Tester to enter text that then will appear in the Comments section of the Validation Report. </w:t>
            </w:r>
          </w:p>
        </w:tc>
      </w:tr>
      <w:tr w:rsidR="00B4672C" w14:paraId="0B6F31F9" w14:textId="77777777" w:rsidTr="00B4672C">
        <w:tc>
          <w:tcPr>
            <w:tcW w:w="9350" w:type="dxa"/>
          </w:tcPr>
          <w:p w14:paraId="09DA0144" w14:textId="263FA0FA" w:rsidR="00B4672C" w:rsidRDefault="00B4672C" w:rsidP="008D5522">
            <w:r>
              <w:t xml:space="preserve">At the </w:t>
            </w:r>
            <w:r>
              <w:t xml:space="preserve">Test Case (multiple message) validation level, </w:t>
            </w:r>
            <w:r>
              <w:t xml:space="preserve">once all of the test messages have been validated the Tester clicks on the “Test Summary” button, which activates both the interactive Comments field and the Test Report Download button in the Test Result </w:t>
            </w:r>
            <w:r w:rsidR="008D5522">
              <w:t>box</w:t>
            </w:r>
            <w:bookmarkStart w:id="0" w:name="_GoBack"/>
            <w:bookmarkEnd w:id="0"/>
            <w:r>
              <w:t xml:space="preserve">. These features allow the Tester to enter a Comment in the Validation Report header section, and to generate </w:t>
            </w:r>
            <w:r>
              <w:t xml:space="preserve">a </w:t>
            </w:r>
            <w:r w:rsidRPr="00FA43CC">
              <w:t xml:space="preserve">single </w:t>
            </w:r>
            <w:r>
              <w:t xml:space="preserve">summary </w:t>
            </w:r>
            <w:r w:rsidRPr="00FA43CC">
              <w:t xml:space="preserve">report that includes the </w:t>
            </w:r>
            <w:r>
              <w:t xml:space="preserve">validation </w:t>
            </w:r>
            <w:r w:rsidRPr="00FA43CC">
              <w:t xml:space="preserve">results of all </w:t>
            </w:r>
            <w:r>
              <w:t>the Test S</w:t>
            </w:r>
            <w:r w:rsidRPr="00FA43CC">
              <w:t>teps</w:t>
            </w:r>
            <w:r>
              <w:t xml:space="preserve"> included in the Test Case</w:t>
            </w:r>
            <w:r w:rsidRPr="00FA43CC">
              <w:t>.</w:t>
            </w:r>
          </w:p>
        </w:tc>
      </w:tr>
    </w:tbl>
    <w:p w14:paraId="218C9D42" w14:textId="77777777" w:rsidR="00EA23F0" w:rsidRDefault="00EA23F0" w:rsidP="004C15EF"/>
    <w:p w14:paraId="29D3E61F" w14:textId="6591B2FE" w:rsidR="004C15EF" w:rsidRDefault="004C15EF" w:rsidP="004C15EF">
      <w:r>
        <w:t>Issues for a Future Release</w:t>
      </w:r>
    </w:p>
    <w:tbl>
      <w:tblPr>
        <w:tblStyle w:val="TableGrid"/>
        <w:tblW w:w="0" w:type="auto"/>
        <w:tblLook w:val="04A0" w:firstRow="1" w:lastRow="0" w:firstColumn="1" w:lastColumn="0" w:noHBand="0" w:noVBand="1"/>
      </w:tblPr>
      <w:tblGrid>
        <w:gridCol w:w="2470"/>
        <w:gridCol w:w="6880"/>
      </w:tblGrid>
      <w:tr w:rsidR="004C15EF" w14:paraId="52C50F50" w14:textId="77777777" w:rsidTr="00A757E8">
        <w:trPr>
          <w:cantSplit/>
        </w:trPr>
        <w:tc>
          <w:tcPr>
            <w:tcW w:w="2470" w:type="dxa"/>
          </w:tcPr>
          <w:p w14:paraId="41300010" w14:textId="77777777" w:rsidR="004C15EF" w:rsidRPr="00412050" w:rsidRDefault="004C15EF" w:rsidP="00F970ED">
            <w:pPr>
              <w:rPr>
                <w:b/>
              </w:rPr>
            </w:pPr>
            <w:r>
              <w:rPr>
                <w:b/>
              </w:rPr>
              <w:t>Test Case/if Applicable</w:t>
            </w:r>
          </w:p>
        </w:tc>
        <w:tc>
          <w:tcPr>
            <w:tcW w:w="6880" w:type="dxa"/>
          </w:tcPr>
          <w:p w14:paraId="697F469E" w14:textId="77777777" w:rsidR="004C15EF" w:rsidRPr="00412050" w:rsidRDefault="004C15EF" w:rsidP="00F970ED">
            <w:pPr>
              <w:rPr>
                <w:b/>
              </w:rPr>
            </w:pPr>
            <w:r>
              <w:rPr>
                <w:b/>
              </w:rPr>
              <w:t>Issue</w:t>
            </w:r>
          </w:p>
        </w:tc>
      </w:tr>
      <w:tr w:rsidR="00FD1D6C" w14:paraId="4CA1B46E" w14:textId="77777777" w:rsidTr="00A757E8">
        <w:trPr>
          <w:cantSplit/>
        </w:trPr>
        <w:tc>
          <w:tcPr>
            <w:tcW w:w="2470" w:type="dxa"/>
          </w:tcPr>
          <w:p w14:paraId="6CE949D3" w14:textId="6A2B14CB" w:rsidR="00FD1D6C" w:rsidRDefault="00A757E8" w:rsidP="00D8602C">
            <w:r>
              <w:t>None</w:t>
            </w:r>
          </w:p>
        </w:tc>
        <w:tc>
          <w:tcPr>
            <w:tcW w:w="6880" w:type="dxa"/>
          </w:tcPr>
          <w:p w14:paraId="4CC214B8" w14:textId="22218056" w:rsidR="00FD1D6C" w:rsidRDefault="00FD1D6C" w:rsidP="00D8602C"/>
        </w:tc>
      </w:tr>
    </w:tbl>
    <w:p w14:paraId="5F38E6E3" w14:textId="77777777" w:rsidR="00242AB4" w:rsidRDefault="00242AB4" w:rsidP="00237FAD"/>
    <w:p w14:paraId="24FE863B" w14:textId="77777777" w:rsidR="001320BE" w:rsidRDefault="001320BE"/>
    <w:sectPr w:rsidR="001320BE" w:rsidSect="00BA24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AD1B8" w14:textId="77777777" w:rsidR="003855AF" w:rsidRDefault="003855AF" w:rsidP="00281D35">
      <w:pPr>
        <w:spacing w:after="0" w:line="240" w:lineRule="auto"/>
      </w:pPr>
      <w:r>
        <w:separator/>
      </w:r>
    </w:p>
  </w:endnote>
  <w:endnote w:type="continuationSeparator" w:id="0">
    <w:p w14:paraId="5D78C4A8" w14:textId="77777777" w:rsidR="003855AF" w:rsidRDefault="003855AF"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59"/>
      <w:docPartObj>
        <w:docPartGallery w:val="Page Numbers (Bottom of Page)"/>
        <w:docPartUnique/>
      </w:docPartObj>
    </w:sdtPr>
    <w:sdtEndPr>
      <w:rPr>
        <w:noProof/>
      </w:rPr>
    </w:sdtEndPr>
    <w:sdtContent>
      <w:p w14:paraId="4EC98952" w14:textId="107E39BE" w:rsidR="007F68D5" w:rsidRDefault="00685BC6">
        <w:pPr>
          <w:pStyle w:val="Footer"/>
          <w:jc w:val="right"/>
        </w:pPr>
        <w:r>
          <w:fldChar w:fldCharType="begin"/>
        </w:r>
        <w:r w:rsidR="007F68D5">
          <w:instrText xml:space="preserve"> PAGE   \* MERGEFORMAT </w:instrText>
        </w:r>
        <w:r>
          <w:fldChar w:fldCharType="separate"/>
        </w:r>
        <w:r w:rsidR="008D5522">
          <w:rPr>
            <w:noProof/>
          </w:rPr>
          <w:t>4</w:t>
        </w:r>
        <w:r>
          <w:rPr>
            <w:noProof/>
          </w:rPr>
          <w:fldChar w:fldCharType="end"/>
        </w:r>
      </w:p>
    </w:sdtContent>
  </w:sdt>
  <w:p w14:paraId="24A5E93B" w14:textId="77777777" w:rsidR="007F68D5" w:rsidRDefault="007F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82CA3" w14:textId="77777777" w:rsidR="003855AF" w:rsidRDefault="003855AF" w:rsidP="00281D35">
      <w:pPr>
        <w:spacing w:after="0" w:line="240" w:lineRule="auto"/>
      </w:pPr>
      <w:r>
        <w:separator/>
      </w:r>
    </w:p>
  </w:footnote>
  <w:footnote w:type="continuationSeparator" w:id="0">
    <w:p w14:paraId="74091D7D" w14:textId="77777777" w:rsidR="003855AF" w:rsidRDefault="003855AF"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9"/>
  </w:num>
  <w:num w:numId="3">
    <w:abstractNumId w:val="1"/>
  </w:num>
  <w:num w:numId="4">
    <w:abstractNumId w:val="3"/>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0110"/>
    <w:rsid w:val="00010023"/>
    <w:rsid w:val="00010D8B"/>
    <w:rsid w:val="00041F71"/>
    <w:rsid w:val="00051A67"/>
    <w:rsid w:val="000756FC"/>
    <w:rsid w:val="000839D8"/>
    <w:rsid w:val="000842F5"/>
    <w:rsid w:val="00085B48"/>
    <w:rsid w:val="00093161"/>
    <w:rsid w:val="000A5C8B"/>
    <w:rsid w:val="000A60CA"/>
    <w:rsid w:val="000B2ED9"/>
    <w:rsid w:val="000B4373"/>
    <w:rsid w:val="000B4CE9"/>
    <w:rsid w:val="000B6724"/>
    <w:rsid w:val="000B6D15"/>
    <w:rsid w:val="000E1793"/>
    <w:rsid w:val="000E6E7A"/>
    <w:rsid w:val="001009B7"/>
    <w:rsid w:val="001037DE"/>
    <w:rsid w:val="001075F7"/>
    <w:rsid w:val="00120DE3"/>
    <w:rsid w:val="001256C6"/>
    <w:rsid w:val="001320BE"/>
    <w:rsid w:val="00133F79"/>
    <w:rsid w:val="001346D6"/>
    <w:rsid w:val="00136877"/>
    <w:rsid w:val="00152137"/>
    <w:rsid w:val="0016226B"/>
    <w:rsid w:val="00162701"/>
    <w:rsid w:val="001723F5"/>
    <w:rsid w:val="001769C2"/>
    <w:rsid w:val="001779A4"/>
    <w:rsid w:val="0018227D"/>
    <w:rsid w:val="001833C4"/>
    <w:rsid w:val="00187151"/>
    <w:rsid w:val="00187E99"/>
    <w:rsid w:val="00190F2C"/>
    <w:rsid w:val="001913A4"/>
    <w:rsid w:val="001953A7"/>
    <w:rsid w:val="001B2B78"/>
    <w:rsid w:val="001C6F18"/>
    <w:rsid w:val="001D28D4"/>
    <w:rsid w:val="001D37EF"/>
    <w:rsid w:val="001E20CE"/>
    <w:rsid w:val="001E5C65"/>
    <w:rsid w:val="0020244A"/>
    <w:rsid w:val="00203724"/>
    <w:rsid w:val="00207614"/>
    <w:rsid w:val="00213B0C"/>
    <w:rsid w:val="00213DA5"/>
    <w:rsid w:val="00222D79"/>
    <w:rsid w:val="00237FAD"/>
    <w:rsid w:val="00242AB4"/>
    <w:rsid w:val="00242C21"/>
    <w:rsid w:val="002472FF"/>
    <w:rsid w:val="00247D39"/>
    <w:rsid w:val="0025447E"/>
    <w:rsid w:val="00257125"/>
    <w:rsid w:val="00265EC9"/>
    <w:rsid w:val="00270575"/>
    <w:rsid w:val="002748A8"/>
    <w:rsid w:val="0028157B"/>
    <w:rsid w:val="00281D35"/>
    <w:rsid w:val="00285F63"/>
    <w:rsid w:val="002A735E"/>
    <w:rsid w:val="002B3B16"/>
    <w:rsid w:val="002C3CC6"/>
    <w:rsid w:val="002C6D29"/>
    <w:rsid w:val="002E7509"/>
    <w:rsid w:val="002F3590"/>
    <w:rsid w:val="003009A2"/>
    <w:rsid w:val="00300E11"/>
    <w:rsid w:val="0030636A"/>
    <w:rsid w:val="00314531"/>
    <w:rsid w:val="003151B2"/>
    <w:rsid w:val="003552F1"/>
    <w:rsid w:val="00371999"/>
    <w:rsid w:val="00375537"/>
    <w:rsid w:val="003855AF"/>
    <w:rsid w:val="00391A4C"/>
    <w:rsid w:val="00391DD8"/>
    <w:rsid w:val="003924C6"/>
    <w:rsid w:val="00395072"/>
    <w:rsid w:val="003B19FB"/>
    <w:rsid w:val="003B2A51"/>
    <w:rsid w:val="003C4CE9"/>
    <w:rsid w:val="00412050"/>
    <w:rsid w:val="00420C09"/>
    <w:rsid w:val="00421357"/>
    <w:rsid w:val="00421A48"/>
    <w:rsid w:val="00431040"/>
    <w:rsid w:val="00431A65"/>
    <w:rsid w:val="00444A15"/>
    <w:rsid w:val="004524B4"/>
    <w:rsid w:val="00457AFF"/>
    <w:rsid w:val="004644E1"/>
    <w:rsid w:val="00482A34"/>
    <w:rsid w:val="0048361B"/>
    <w:rsid w:val="00484FA0"/>
    <w:rsid w:val="004966F5"/>
    <w:rsid w:val="004B5B5F"/>
    <w:rsid w:val="004B64E1"/>
    <w:rsid w:val="004B68B9"/>
    <w:rsid w:val="004C15EF"/>
    <w:rsid w:val="004C16D0"/>
    <w:rsid w:val="004D751D"/>
    <w:rsid w:val="004E0260"/>
    <w:rsid w:val="004E34A5"/>
    <w:rsid w:val="004F3A9C"/>
    <w:rsid w:val="005064E6"/>
    <w:rsid w:val="00512B9E"/>
    <w:rsid w:val="00512E30"/>
    <w:rsid w:val="00514889"/>
    <w:rsid w:val="005165BB"/>
    <w:rsid w:val="005209A6"/>
    <w:rsid w:val="00520FFB"/>
    <w:rsid w:val="00533A24"/>
    <w:rsid w:val="00540862"/>
    <w:rsid w:val="00541CC3"/>
    <w:rsid w:val="00544CED"/>
    <w:rsid w:val="00561709"/>
    <w:rsid w:val="00572EFA"/>
    <w:rsid w:val="00575173"/>
    <w:rsid w:val="0058197E"/>
    <w:rsid w:val="00587FC8"/>
    <w:rsid w:val="00594AE3"/>
    <w:rsid w:val="00597634"/>
    <w:rsid w:val="005B2022"/>
    <w:rsid w:val="005B441D"/>
    <w:rsid w:val="005C0966"/>
    <w:rsid w:val="005C61E9"/>
    <w:rsid w:val="005E15FF"/>
    <w:rsid w:val="005E2379"/>
    <w:rsid w:val="0060438B"/>
    <w:rsid w:val="00622E26"/>
    <w:rsid w:val="006271FF"/>
    <w:rsid w:val="00636638"/>
    <w:rsid w:val="00636E10"/>
    <w:rsid w:val="00636FF1"/>
    <w:rsid w:val="00642A60"/>
    <w:rsid w:val="00642EDB"/>
    <w:rsid w:val="00654829"/>
    <w:rsid w:val="00663905"/>
    <w:rsid w:val="0066780D"/>
    <w:rsid w:val="00671B81"/>
    <w:rsid w:val="006829E5"/>
    <w:rsid w:val="00685BC6"/>
    <w:rsid w:val="00686FCC"/>
    <w:rsid w:val="006A4F50"/>
    <w:rsid w:val="006C17E7"/>
    <w:rsid w:val="006C586F"/>
    <w:rsid w:val="006D6DD3"/>
    <w:rsid w:val="006E4660"/>
    <w:rsid w:val="006F2F96"/>
    <w:rsid w:val="006F5530"/>
    <w:rsid w:val="00700203"/>
    <w:rsid w:val="00707F0A"/>
    <w:rsid w:val="00711E3D"/>
    <w:rsid w:val="00736E84"/>
    <w:rsid w:val="00742C6F"/>
    <w:rsid w:val="00750AA4"/>
    <w:rsid w:val="00756B24"/>
    <w:rsid w:val="007577A9"/>
    <w:rsid w:val="007578FA"/>
    <w:rsid w:val="00760CDB"/>
    <w:rsid w:val="00761BF3"/>
    <w:rsid w:val="00765D89"/>
    <w:rsid w:val="00766FC0"/>
    <w:rsid w:val="007702ED"/>
    <w:rsid w:val="00776184"/>
    <w:rsid w:val="0078214D"/>
    <w:rsid w:val="0078730D"/>
    <w:rsid w:val="007A49DD"/>
    <w:rsid w:val="007B6134"/>
    <w:rsid w:val="007B7776"/>
    <w:rsid w:val="007C1CBC"/>
    <w:rsid w:val="007D2AF1"/>
    <w:rsid w:val="007D3AD6"/>
    <w:rsid w:val="007D7C04"/>
    <w:rsid w:val="007E0EDA"/>
    <w:rsid w:val="007F13BB"/>
    <w:rsid w:val="007F1B62"/>
    <w:rsid w:val="007F208E"/>
    <w:rsid w:val="007F68D5"/>
    <w:rsid w:val="00802F4E"/>
    <w:rsid w:val="00805868"/>
    <w:rsid w:val="00807E38"/>
    <w:rsid w:val="008114A7"/>
    <w:rsid w:val="00823199"/>
    <w:rsid w:val="00827452"/>
    <w:rsid w:val="00841168"/>
    <w:rsid w:val="008420B2"/>
    <w:rsid w:val="008535C1"/>
    <w:rsid w:val="0086096E"/>
    <w:rsid w:val="00864CFA"/>
    <w:rsid w:val="00867B38"/>
    <w:rsid w:val="00870C6F"/>
    <w:rsid w:val="008B0126"/>
    <w:rsid w:val="008B563E"/>
    <w:rsid w:val="008C3895"/>
    <w:rsid w:val="008C4252"/>
    <w:rsid w:val="008D1961"/>
    <w:rsid w:val="008D5522"/>
    <w:rsid w:val="008E2E24"/>
    <w:rsid w:val="008E57B2"/>
    <w:rsid w:val="008F1EAA"/>
    <w:rsid w:val="0090109B"/>
    <w:rsid w:val="0091711E"/>
    <w:rsid w:val="0091784B"/>
    <w:rsid w:val="00920BB7"/>
    <w:rsid w:val="0092395B"/>
    <w:rsid w:val="009348E5"/>
    <w:rsid w:val="00941EF1"/>
    <w:rsid w:val="009451B5"/>
    <w:rsid w:val="00945AE5"/>
    <w:rsid w:val="00973F9F"/>
    <w:rsid w:val="009759E3"/>
    <w:rsid w:val="009808F7"/>
    <w:rsid w:val="00980D9E"/>
    <w:rsid w:val="009879CF"/>
    <w:rsid w:val="00987C70"/>
    <w:rsid w:val="009A57C5"/>
    <w:rsid w:val="009B769A"/>
    <w:rsid w:val="009C5892"/>
    <w:rsid w:val="009D16C7"/>
    <w:rsid w:val="00A061B0"/>
    <w:rsid w:val="00A3088E"/>
    <w:rsid w:val="00A41089"/>
    <w:rsid w:val="00A42B43"/>
    <w:rsid w:val="00A437A5"/>
    <w:rsid w:val="00A46FE7"/>
    <w:rsid w:val="00A52B4A"/>
    <w:rsid w:val="00A60C24"/>
    <w:rsid w:val="00A757E8"/>
    <w:rsid w:val="00A80AAD"/>
    <w:rsid w:val="00A811AD"/>
    <w:rsid w:val="00A924CF"/>
    <w:rsid w:val="00A967ED"/>
    <w:rsid w:val="00A979C9"/>
    <w:rsid w:val="00AA5B8F"/>
    <w:rsid w:val="00AB2257"/>
    <w:rsid w:val="00AB7C8B"/>
    <w:rsid w:val="00AC07C9"/>
    <w:rsid w:val="00AC2E0A"/>
    <w:rsid w:val="00AE3DAD"/>
    <w:rsid w:val="00AE5969"/>
    <w:rsid w:val="00AE7478"/>
    <w:rsid w:val="00AE7832"/>
    <w:rsid w:val="00AF2E57"/>
    <w:rsid w:val="00AF3EAD"/>
    <w:rsid w:val="00AF73DE"/>
    <w:rsid w:val="00B00436"/>
    <w:rsid w:val="00B01CF4"/>
    <w:rsid w:val="00B035A1"/>
    <w:rsid w:val="00B068AA"/>
    <w:rsid w:val="00B2121A"/>
    <w:rsid w:val="00B23B21"/>
    <w:rsid w:val="00B37B36"/>
    <w:rsid w:val="00B4666B"/>
    <w:rsid w:val="00B4672C"/>
    <w:rsid w:val="00B5132F"/>
    <w:rsid w:val="00B57109"/>
    <w:rsid w:val="00B81C47"/>
    <w:rsid w:val="00B84373"/>
    <w:rsid w:val="00B87788"/>
    <w:rsid w:val="00B97D22"/>
    <w:rsid w:val="00BA2446"/>
    <w:rsid w:val="00BB64B7"/>
    <w:rsid w:val="00BC4045"/>
    <w:rsid w:val="00BC5513"/>
    <w:rsid w:val="00BE1963"/>
    <w:rsid w:val="00BE3876"/>
    <w:rsid w:val="00C01D2E"/>
    <w:rsid w:val="00C07B47"/>
    <w:rsid w:val="00C1099B"/>
    <w:rsid w:val="00C115D5"/>
    <w:rsid w:val="00C15F2A"/>
    <w:rsid w:val="00C170FF"/>
    <w:rsid w:val="00C239AC"/>
    <w:rsid w:val="00C307AE"/>
    <w:rsid w:val="00C32FE3"/>
    <w:rsid w:val="00C41EDD"/>
    <w:rsid w:val="00C452FB"/>
    <w:rsid w:val="00C67D55"/>
    <w:rsid w:val="00C703C0"/>
    <w:rsid w:val="00C71A3C"/>
    <w:rsid w:val="00C758DB"/>
    <w:rsid w:val="00C76400"/>
    <w:rsid w:val="00CA1217"/>
    <w:rsid w:val="00CB1407"/>
    <w:rsid w:val="00CB24DD"/>
    <w:rsid w:val="00CC056A"/>
    <w:rsid w:val="00CC2DA0"/>
    <w:rsid w:val="00CC3BCC"/>
    <w:rsid w:val="00CC44D1"/>
    <w:rsid w:val="00CC4B87"/>
    <w:rsid w:val="00CE3301"/>
    <w:rsid w:val="00CF04F5"/>
    <w:rsid w:val="00CF6305"/>
    <w:rsid w:val="00D03314"/>
    <w:rsid w:val="00D2080E"/>
    <w:rsid w:val="00D21290"/>
    <w:rsid w:val="00D24598"/>
    <w:rsid w:val="00D27A10"/>
    <w:rsid w:val="00D336C6"/>
    <w:rsid w:val="00D34DF6"/>
    <w:rsid w:val="00D35543"/>
    <w:rsid w:val="00D3771F"/>
    <w:rsid w:val="00D3785B"/>
    <w:rsid w:val="00D55E87"/>
    <w:rsid w:val="00D60E74"/>
    <w:rsid w:val="00D61A81"/>
    <w:rsid w:val="00D65A11"/>
    <w:rsid w:val="00D72FF6"/>
    <w:rsid w:val="00D77DDB"/>
    <w:rsid w:val="00D84686"/>
    <w:rsid w:val="00D85DEC"/>
    <w:rsid w:val="00D87F9A"/>
    <w:rsid w:val="00D9555D"/>
    <w:rsid w:val="00DA71EE"/>
    <w:rsid w:val="00DB70DD"/>
    <w:rsid w:val="00DB7F61"/>
    <w:rsid w:val="00DC0AF5"/>
    <w:rsid w:val="00DC105C"/>
    <w:rsid w:val="00DC43B8"/>
    <w:rsid w:val="00DD022F"/>
    <w:rsid w:val="00DE05DE"/>
    <w:rsid w:val="00DE36DA"/>
    <w:rsid w:val="00DF5551"/>
    <w:rsid w:val="00E04D57"/>
    <w:rsid w:val="00E05AFE"/>
    <w:rsid w:val="00E05F67"/>
    <w:rsid w:val="00E21169"/>
    <w:rsid w:val="00E642A5"/>
    <w:rsid w:val="00E73E5B"/>
    <w:rsid w:val="00E91ADF"/>
    <w:rsid w:val="00EA23F0"/>
    <w:rsid w:val="00EA2D86"/>
    <w:rsid w:val="00EB0D02"/>
    <w:rsid w:val="00EB276D"/>
    <w:rsid w:val="00ED4447"/>
    <w:rsid w:val="00EE0C86"/>
    <w:rsid w:val="00EF4D99"/>
    <w:rsid w:val="00F03933"/>
    <w:rsid w:val="00F05BD3"/>
    <w:rsid w:val="00F11277"/>
    <w:rsid w:val="00F123B8"/>
    <w:rsid w:val="00F1280A"/>
    <w:rsid w:val="00F2395B"/>
    <w:rsid w:val="00F2530D"/>
    <w:rsid w:val="00F326E6"/>
    <w:rsid w:val="00F3550C"/>
    <w:rsid w:val="00F42CB3"/>
    <w:rsid w:val="00F4514E"/>
    <w:rsid w:val="00F53A26"/>
    <w:rsid w:val="00F63097"/>
    <w:rsid w:val="00F65B2B"/>
    <w:rsid w:val="00F670B7"/>
    <w:rsid w:val="00F85203"/>
    <w:rsid w:val="00F854CE"/>
    <w:rsid w:val="00F87EEF"/>
    <w:rsid w:val="00F91DBD"/>
    <w:rsid w:val="00F9507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5C244-7433-48C6-9A9F-43561AD5E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10</cp:revision>
  <cp:lastPrinted>2016-02-25T19:43:00Z</cp:lastPrinted>
  <dcterms:created xsi:type="dcterms:W3CDTF">2016-04-01T15:28:00Z</dcterms:created>
  <dcterms:modified xsi:type="dcterms:W3CDTF">2016-04-01T16:27:00Z</dcterms:modified>
</cp:coreProperties>
</file>