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594B" w14:textId="554C0176" w:rsidR="007A49DD" w:rsidRPr="00A41089" w:rsidRDefault="00A757E8">
      <w:pPr>
        <w:rPr>
          <w:b/>
          <w:sz w:val="28"/>
          <w:szCs w:val="28"/>
          <w:u w:val="single"/>
        </w:rPr>
      </w:pPr>
      <w:r>
        <w:rPr>
          <w:b/>
          <w:sz w:val="28"/>
          <w:szCs w:val="28"/>
          <w:u w:val="single"/>
        </w:rPr>
        <w:t>Syndromic Surveillance</w:t>
      </w:r>
      <w:r w:rsidR="00973F9F" w:rsidRPr="00973F9F">
        <w:rPr>
          <w:b/>
          <w:sz w:val="28"/>
          <w:szCs w:val="28"/>
          <w:u w:val="single"/>
        </w:rPr>
        <w:t xml:space="preserve"> Test </w:t>
      </w:r>
      <w:r>
        <w:rPr>
          <w:b/>
          <w:sz w:val="28"/>
          <w:szCs w:val="28"/>
          <w:u w:val="single"/>
        </w:rPr>
        <w:t>Suite</w:t>
      </w:r>
      <w:r w:rsidR="00973F9F" w:rsidRPr="00973F9F">
        <w:rPr>
          <w:b/>
          <w:sz w:val="28"/>
          <w:szCs w:val="28"/>
          <w:u w:val="single"/>
        </w:rPr>
        <w:t xml:space="preserve"> </w:t>
      </w:r>
      <w:r w:rsidR="00973F9F" w:rsidRPr="00A41089">
        <w:rPr>
          <w:b/>
          <w:sz w:val="28"/>
          <w:szCs w:val="28"/>
          <w:u w:val="single"/>
        </w:rPr>
        <w:t xml:space="preserve">Release Notes </w:t>
      </w:r>
      <w:r w:rsidR="00973F9F" w:rsidRPr="004C3A54">
        <w:rPr>
          <w:b/>
          <w:sz w:val="28"/>
          <w:szCs w:val="28"/>
          <w:u w:val="single"/>
        </w:rPr>
        <w:t xml:space="preserve">for </w:t>
      </w:r>
      <w:r w:rsidR="000756FC" w:rsidRPr="004C3A54">
        <w:rPr>
          <w:b/>
          <w:sz w:val="28"/>
          <w:szCs w:val="28"/>
          <w:u w:val="single"/>
        </w:rPr>
        <w:t>1.</w:t>
      </w:r>
      <w:r w:rsidR="00A46A04" w:rsidRPr="004C3A54">
        <w:rPr>
          <w:b/>
          <w:sz w:val="28"/>
          <w:szCs w:val="28"/>
          <w:u w:val="single"/>
        </w:rPr>
        <w:t>3</w:t>
      </w:r>
      <w:r w:rsidR="00CE3301" w:rsidRPr="004C3A54">
        <w:rPr>
          <w:b/>
          <w:sz w:val="28"/>
          <w:szCs w:val="28"/>
          <w:u w:val="single"/>
        </w:rPr>
        <w:t>.0</w:t>
      </w:r>
      <w:r w:rsidR="00041F71" w:rsidRPr="004C3A54">
        <w:rPr>
          <w:b/>
          <w:sz w:val="28"/>
          <w:szCs w:val="28"/>
          <w:u w:val="single"/>
        </w:rPr>
        <w:t xml:space="preserve"> </w:t>
      </w:r>
      <w:r w:rsidR="00431A65" w:rsidRPr="004C3A54">
        <w:rPr>
          <w:b/>
          <w:sz w:val="28"/>
          <w:szCs w:val="28"/>
          <w:u w:val="single"/>
        </w:rPr>
        <w:t>M</w:t>
      </w:r>
      <w:r w:rsidR="00A41089" w:rsidRPr="004C3A54">
        <w:rPr>
          <w:b/>
          <w:sz w:val="28"/>
          <w:szCs w:val="28"/>
          <w:u w:val="single"/>
        </w:rPr>
        <w:t>a</w:t>
      </w:r>
      <w:r w:rsidR="00A46A04" w:rsidRPr="004C3A54">
        <w:rPr>
          <w:b/>
          <w:sz w:val="28"/>
          <w:szCs w:val="28"/>
          <w:u w:val="single"/>
        </w:rPr>
        <w:t>y</w:t>
      </w:r>
      <w:r w:rsidR="005628DA">
        <w:rPr>
          <w:b/>
          <w:sz w:val="28"/>
          <w:szCs w:val="28"/>
          <w:u w:val="single"/>
        </w:rPr>
        <w:t xml:space="preserve"> 4,</w:t>
      </w:r>
      <w:r w:rsidR="000756FC" w:rsidRPr="00A41089">
        <w:rPr>
          <w:b/>
          <w:sz w:val="28"/>
          <w:szCs w:val="28"/>
          <w:u w:val="single"/>
        </w:rPr>
        <w:t xml:space="preserve"> 201</w:t>
      </w:r>
      <w:r w:rsidR="00CC4B87" w:rsidRPr="00A41089">
        <w:rPr>
          <w:b/>
          <w:sz w:val="28"/>
          <w:szCs w:val="28"/>
          <w:u w:val="single"/>
        </w:rPr>
        <w:t>6</w:t>
      </w:r>
    </w:p>
    <w:p w14:paraId="2F58F1E1" w14:textId="742CF661" w:rsidR="00CC2DA0" w:rsidRDefault="004B64E1" w:rsidP="00431A65">
      <w:r>
        <w:t xml:space="preserve">Test </w:t>
      </w:r>
      <w:r w:rsidR="00412050">
        <w:t>Data</w:t>
      </w:r>
    </w:p>
    <w:tbl>
      <w:tblPr>
        <w:tblStyle w:val="TableGrid"/>
        <w:tblW w:w="0" w:type="auto"/>
        <w:tblLayout w:type="fixed"/>
        <w:tblLook w:val="04A0" w:firstRow="1" w:lastRow="0" w:firstColumn="1" w:lastColumn="0" w:noHBand="0" w:noVBand="1"/>
      </w:tblPr>
      <w:tblGrid>
        <w:gridCol w:w="1885"/>
        <w:gridCol w:w="3330"/>
        <w:gridCol w:w="4135"/>
      </w:tblGrid>
      <w:tr w:rsidR="00412050" w14:paraId="43FAB0AF" w14:textId="77777777" w:rsidTr="00457AFF">
        <w:trPr>
          <w:tblHeader/>
        </w:trPr>
        <w:tc>
          <w:tcPr>
            <w:tcW w:w="1885" w:type="dxa"/>
          </w:tcPr>
          <w:p w14:paraId="5BEA1C90" w14:textId="77777777" w:rsidR="00412050" w:rsidRPr="00412050" w:rsidRDefault="00412050">
            <w:pPr>
              <w:rPr>
                <w:b/>
              </w:rPr>
            </w:pPr>
            <w:r w:rsidRPr="00412050">
              <w:rPr>
                <w:b/>
              </w:rPr>
              <w:t>Test Case</w:t>
            </w:r>
          </w:p>
        </w:tc>
        <w:tc>
          <w:tcPr>
            <w:tcW w:w="3330" w:type="dxa"/>
          </w:tcPr>
          <w:p w14:paraId="3F56B98C" w14:textId="77777777" w:rsidR="00412050" w:rsidRPr="00412050" w:rsidRDefault="00412050">
            <w:pPr>
              <w:rPr>
                <w:b/>
              </w:rPr>
            </w:pPr>
            <w:r w:rsidRPr="00412050">
              <w:rPr>
                <w:b/>
              </w:rPr>
              <w:t>Issue</w:t>
            </w:r>
          </w:p>
        </w:tc>
        <w:tc>
          <w:tcPr>
            <w:tcW w:w="4135" w:type="dxa"/>
          </w:tcPr>
          <w:p w14:paraId="7D1905A6" w14:textId="77777777" w:rsidR="00412050" w:rsidRPr="00412050" w:rsidRDefault="00412050">
            <w:pPr>
              <w:rPr>
                <w:b/>
              </w:rPr>
            </w:pPr>
            <w:r w:rsidRPr="00412050">
              <w:rPr>
                <w:b/>
              </w:rPr>
              <w:t>Resolution</w:t>
            </w:r>
          </w:p>
        </w:tc>
      </w:tr>
      <w:tr w:rsidR="00CC2DA0" w14:paraId="1540FF33" w14:textId="77777777" w:rsidTr="00216DF9">
        <w:trPr>
          <w:trHeight w:val="323"/>
        </w:trPr>
        <w:tc>
          <w:tcPr>
            <w:tcW w:w="1885" w:type="dxa"/>
          </w:tcPr>
          <w:p w14:paraId="6F672C7E" w14:textId="54736EDC" w:rsidR="00CC2DA0" w:rsidRPr="00CB1407" w:rsidRDefault="007710B5" w:rsidP="00CC2DA0">
            <w:r>
              <w:t>None</w:t>
            </w:r>
          </w:p>
        </w:tc>
        <w:tc>
          <w:tcPr>
            <w:tcW w:w="3330" w:type="dxa"/>
          </w:tcPr>
          <w:p w14:paraId="6422D79B" w14:textId="69FC81C5" w:rsidR="00CC2DA0" w:rsidRPr="00CB1407" w:rsidRDefault="00CC2DA0" w:rsidP="00CC2DA0"/>
        </w:tc>
        <w:tc>
          <w:tcPr>
            <w:tcW w:w="4135" w:type="dxa"/>
          </w:tcPr>
          <w:p w14:paraId="27B63CA3" w14:textId="40C894AD" w:rsidR="00CC2DA0" w:rsidRPr="001B2B78" w:rsidRDefault="00CC2DA0" w:rsidP="001B2B78">
            <w:pPr>
              <w:rPr>
                <w:shd w:val="clear" w:color="auto" w:fill="FFFFFF"/>
              </w:rPr>
            </w:pPr>
          </w:p>
        </w:tc>
      </w:tr>
    </w:tbl>
    <w:p w14:paraId="7F282D34" w14:textId="77777777" w:rsidR="00DD022F" w:rsidRDefault="00DD022F" w:rsidP="00420C09"/>
    <w:p w14:paraId="062DBC3F" w14:textId="77777777" w:rsidR="00420C09" w:rsidRDefault="00987C70" w:rsidP="00420C09">
      <w:r>
        <w:t xml:space="preserve">Specific </w:t>
      </w:r>
      <w:r w:rsidR="00420C09">
        <w:t>Validation</w:t>
      </w:r>
    </w:p>
    <w:tbl>
      <w:tblPr>
        <w:tblStyle w:val="TableGrid"/>
        <w:tblW w:w="0" w:type="auto"/>
        <w:tblLayout w:type="fixed"/>
        <w:tblLook w:val="04A0" w:firstRow="1" w:lastRow="0" w:firstColumn="1" w:lastColumn="0" w:noHBand="0" w:noVBand="1"/>
      </w:tblPr>
      <w:tblGrid>
        <w:gridCol w:w="4405"/>
        <w:gridCol w:w="4945"/>
      </w:tblGrid>
      <w:tr w:rsidR="008C4252" w14:paraId="3F1D3BB4" w14:textId="77777777" w:rsidTr="008535C1">
        <w:tc>
          <w:tcPr>
            <w:tcW w:w="4405" w:type="dxa"/>
            <w:tcBorders>
              <w:bottom w:val="single" w:sz="4" w:space="0" w:color="auto"/>
            </w:tcBorders>
          </w:tcPr>
          <w:p w14:paraId="239B6D11" w14:textId="77777777" w:rsidR="00D65A11" w:rsidRPr="00412050" w:rsidRDefault="00D65A11" w:rsidP="003269D6">
            <w:pPr>
              <w:rPr>
                <w:b/>
              </w:rPr>
            </w:pPr>
            <w:r w:rsidRPr="00412050">
              <w:rPr>
                <w:b/>
              </w:rPr>
              <w:t>Issue</w:t>
            </w:r>
          </w:p>
        </w:tc>
        <w:tc>
          <w:tcPr>
            <w:tcW w:w="4945" w:type="dxa"/>
            <w:tcBorders>
              <w:bottom w:val="single" w:sz="4" w:space="0" w:color="auto"/>
            </w:tcBorders>
          </w:tcPr>
          <w:p w14:paraId="1CB3F726" w14:textId="77777777" w:rsidR="00D65A11" w:rsidRPr="00412050" w:rsidRDefault="00D65A11" w:rsidP="003269D6">
            <w:pPr>
              <w:rPr>
                <w:b/>
              </w:rPr>
            </w:pPr>
            <w:r w:rsidRPr="00412050">
              <w:rPr>
                <w:b/>
              </w:rPr>
              <w:t>Resolution</w:t>
            </w:r>
          </w:p>
        </w:tc>
      </w:tr>
      <w:tr w:rsidR="006D1B8F" w14:paraId="02B9E3A8" w14:textId="77777777" w:rsidTr="001346D6">
        <w:tc>
          <w:tcPr>
            <w:tcW w:w="4405" w:type="dxa"/>
          </w:tcPr>
          <w:p w14:paraId="527E3161" w14:textId="786BB5F8" w:rsidR="00724FA6" w:rsidRPr="00724FA6" w:rsidRDefault="002405D6" w:rsidP="00724FA6">
            <w:pPr>
              <w:rPr>
                <w:rFonts w:eastAsia="Times New Roman" w:cs="Times New Roman"/>
              </w:rPr>
            </w:pPr>
            <w:r>
              <w:t>G</w:t>
            </w:r>
            <w:r w:rsidR="00724FA6">
              <w:t xml:space="preserve">eneral </w:t>
            </w:r>
            <w:r w:rsidR="00724FA6" w:rsidRPr="00724FA6">
              <w:t xml:space="preserve">NIST policy </w:t>
            </w:r>
            <w:r>
              <w:t xml:space="preserve">has been </w:t>
            </w:r>
            <w:r w:rsidR="00724FA6" w:rsidRPr="00724FA6">
              <w:t xml:space="preserve">to validate </w:t>
            </w:r>
            <w:r w:rsidR="00724FA6">
              <w:t>O</w:t>
            </w:r>
            <w:r w:rsidR="00724FA6" w:rsidRPr="00724FA6">
              <w:t xml:space="preserve">ptional elements to the base standard. </w:t>
            </w:r>
            <w:r w:rsidR="00724FA6" w:rsidRPr="00724FA6">
              <w:rPr>
                <w:rFonts w:eastAsia="Times New Roman" w:cs="Times New Roman"/>
              </w:rPr>
              <w:t xml:space="preserve">In the </w:t>
            </w:r>
            <w:r w:rsidR="00724FA6">
              <w:rPr>
                <w:rFonts w:eastAsia="Times New Roman" w:cs="Times New Roman"/>
              </w:rPr>
              <w:t>case of value set detection</w:t>
            </w:r>
            <w:r w:rsidR="007710B5">
              <w:rPr>
                <w:rFonts w:eastAsia="Times New Roman" w:cs="Times New Roman"/>
              </w:rPr>
              <w:t>, the Tool generated an E</w:t>
            </w:r>
            <w:r w:rsidR="00724FA6">
              <w:rPr>
                <w:rFonts w:eastAsia="Times New Roman" w:cs="Times New Roman"/>
              </w:rPr>
              <w:t xml:space="preserve">rror </w:t>
            </w:r>
            <w:r w:rsidR="007710B5">
              <w:rPr>
                <w:rFonts w:eastAsia="Times New Roman" w:cs="Times New Roman"/>
              </w:rPr>
              <w:t xml:space="preserve">notification </w:t>
            </w:r>
            <w:r w:rsidR="00724FA6">
              <w:rPr>
                <w:rFonts w:eastAsia="Times New Roman" w:cs="Times New Roman"/>
              </w:rPr>
              <w:t>when a</w:t>
            </w:r>
            <w:r w:rsidR="00A50664">
              <w:rPr>
                <w:rFonts w:eastAsia="Times New Roman" w:cs="Times New Roman"/>
              </w:rPr>
              <w:t>ny</w:t>
            </w:r>
            <w:r w:rsidR="00724FA6">
              <w:rPr>
                <w:rFonts w:eastAsia="Times New Roman" w:cs="Times New Roman"/>
              </w:rPr>
              <w:t xml:space="preserve"> value set other than the one in the base standard was used for Optional elements in the message.</w:t>
            </w:r>
          </w:p>
        </w:tc>
        <w:tc>
          <w:tcPr>
            <w:tcW w:w="4945" w:type="dxa"/>
          </w:tcPr>
          <w:p w14:paraId="4E392E81" w14:textId="2255B62F" w:rsidR="00945F5B" w:rsidRPr="007710B5" w:rsidRDefault="00724FA6" w:rsidP="002405D6">
            <w:r w:rsidRPr="00724FA6">
              <w:rPr>
                <w:rFonts w:eastAsia="Times New Roman" w:cs="Times New Roman"/>
              </w:rPr>
              <w:t xml:space="preserve">The tool </w:t>
            </w:r>
            <w:r w:rsidR="007710B5">
              <w:rPr>
                <w:rFonts w:eastAsia="Times New Roman" w:cs="Times New Roman"/>
              </w:rPr>
              <w:t>has</w:t>
            </w:r>
            <w:r w:rsidRPr="00724FA6">
              <w:rPr>
                <w:rFonts w:eastAsia="Times New Roman" w:cs="Times New Roman"/>
              </w:rPr>
              <w:t xml:space="preserve"> </w:t>
            </w:r>
            <w:r w:rsidR="007710B5">
              <w:rPr>
                <w:rFonts w:eastAsia="Times New Roman" w:cs="Times New Roman"/>
              </w:rPr>
              <w:t xml:space="preserve">been </w:t>
            </w:r>
            <w:r w:rsidRPr="00724FA6">
              <w:rPr>
                <w:rFonts w:eastAsia="Times New Roman" w:cs="Times New Roman"/>
              </w:rPr>
              <w:t xml:space="preserve">modified to report </w:t>
            </w:r>
            <w:r w:rsidRPr="00724FA6">
              <w:t>Alert</w:t>
            </w:r>
            <w:r w:rsidR="007710B5">
              <w:t xml:space="preserve"> instead of Error</w:t>
            </w:r>
            <w:r w:rsidR="002405D6">
              <w:t xml:space="preserve"> notifications </w:t>
            </w:r>
            <w:r w:rsidRPr="00724FA6">
              <w:t xml:space="preserve">for </w:t>
            </w:r>
            <w:r w:rsidR="002405D6">
              <w:t>O</w:t>
            </w:r>
            <w:r w:rsidRPr="00724FA6">
              <w:t>ptional elements with value set detections.</w:t>
            </w:r>
          </w:p>
        </w:tc>
      </w:tr>
      <w:tr w:rsidR="002405D6" w14:paraId="101E6634" w14:textId="77777777" w:rsidTr="00255F25">
        <w:tc>
          <w:tcPr>
            <w:tcW w:w="4405" w:type="dxa"/>
          </w:tcPr>
          <w:p w14:paraId="363CED9B" w14:textId="35193E58" w:rsidR="002405D6" w:rsidRPr="001D7BD8" w:rsidRDefault="002405D6" w:rsidP="00491BCD">
            <w:pPr>
              <w:pStyle w:val="PlainText"/>
              <w:rPr>
                <w:rFonts w:cs="Arial"/>
                <w:szCs w:val="18"/>
              </w:rPr>
            </w:pPr>
            <w:r>
              <w:rPr>
                <w:rFonts w:asciiTheme="minorHAnsi" w:hAnsiTheme="minorHAnsi" w:cs="Arial"/>
                <w:szCs w:val="18"/>
              </w:rPr>
              <w:t xml:space="preserve">The Tool generated an </w:t>
            </w:r>
            <w:r w:rsidR="00D35D5B">
              <w:rPr>
                <w:rFonts w:eastAsia="Times New Roman" w:cs="Times New Roman"/>
              </w:rPr>
              <w:t xml:space="preserve">Error notification </w:t>
            </w:r>
            <w:r>
              <w:rPr>
                <w:rFonts w:asciiTheme="minorHAnsi" w:hAnsiTheme="minorHAnsi" w:cs="Arial"/>
                <w:szCs w:val="18"/>
              </w:rPr>
              <w:t>when an Optional da</w:t>
            </w:r>
            <w:r w:rsidR="00D35D5B">
              <w:rPr>
                <w:rFonts w:asciiTheme="minorHAnsi" w:hAnsiTheme="minorHAnsi" w:cs="Arial"/>
                <w:szCs w:val="18"/>
              </w:rPr>
              <w:t xml:space="preserve">ta element used HL7 Table 0396. </w:t>
            </w:r>
            <w:r w:rsidR="00D35D5B">
              <w:rPr>
                <w:rFonts w:cs="Arial"/>
                <w:szCs w:val="18"/>
              </w:rPr>
              <w:t>HL7</w:t>
            </w:r>
            <w:r w:rsidRPr="00854724">
              <w:rPr>
                <w:rFonts w:cs="Arial"/>
                <w:szCs w:val="18"/>
              </w:rPr>
              <w:t>0396 is a dynamic table</w:t>
            </w:r>
            <w:r>
              <w:rPr>
                <w:rFonts w:cs="Arial"/>
                <w:szCs w:val="18"/>
              </w:rPr>
              <w:t>,</w:t>
            </w:r>
            <w:r w:rsidRPr="00854724">
              <w:rPr>
                <w:rFonts w:cs="Arial"/>
                <w:szCs w:val="18"/>
              </w:rPr>
              <w:t xml:space="preserve"> and </w:t>
            </w:r>
            <w:r>
              <w:rPr>
                <w:rFonts w:cs="Arial"/>
                <w:szCs w:val="18"/>
              </w:rPr>
              <w:t>the Tool use</w:t>
            </w:r>
            <w:r w:rsidR="00D35D5B">
              <w:rPr>
                <w:rFonts w:cs="Arial"/>
                <w:szCs w:val="18"/>
              </w:rPr>
              <w:t>d</w:t>
            </w:r>
            <w:r w:rsidRPr="00854724">
              <w:rPr>
                <w:rFonts w:cs="Arial"/>
                <w:szCs w:val="18"/>
              </w:rPr>
              <w:t xml:space="preserve"> the most updated version for validating </w:t>
            </w:r>
            <w:r>
              <w:rPr>
                <w:rFonts w:cs="Arial"/>
                <w:szCs w:val="18"/>
              </w:rPr>
              <w:t>Required elements</w:t>
            </w:r>
            <w:r w:rsidR="00D35D5B">
              <w:rPr>
                <w:rFonts w:cs="Arial"/>
                <w:szCs w:val="18"/>
              </w:rPr>
              <w:t>, but</w:t>
            </w:r>
            <w:r w:rsidR="00491BCD">
              <w:rPr>
                <w:rFonts w:cs="Arial"/>
                <w:szCs w:val="18"/>
              </w:rPr>
              <w:t xml:space="preserve"> </w:t>
            </w:r>
            <w:r w:rsidR="00D35D5B">
              <w:rPr>
                <w:rFonts w:asciiTheme="minorHAnsi" w:hAnsiTheme="minorHAnsi" w:cs="Arial"/>
                <w:szCs w:val="18"/>
              </w:rPr>
              <w:t xml:space="preserve">the </w:t>
            </w:r>
            <w:r w:rsidR="00D35D5B">
              <w:rPr>
                <w:rFonts w:cs="Arial"/>
                <w:szCs w:val="18"/>
              </w:rPr>
              <w:t>base standard definition of HL7</w:t>
            </w:r>
            <w:r w:rsidR="00D35D5B" w:rsidRPr="00854724">
              <w:rPr>
                <w:rFonts w:cs="Arial"/>
                <w:szCs w:val="18"/>
              </w:rPr>
              <w:t>0396</w:t>
            </w:r>
            <w:r w:rsidR="00D35D5B">
              <w:rPr>
                <w:rFonts w:cs="Arial"/>
                <w:szCs w:val="18"/>
              </w:rPr>
              <w:t xml:space="preserve"> </w:t>
            </w:r>
            <w:r w:rsidR="00491BCD">
              <w:rPr>
                <w:rFonts w:cs="Arial"/>
                <w:szCs w:val="18"/>
              </w:rPr>
              <w:t xml:space="preserve">was used </w:t>
            </w:r>
            <w:r w:rsidR="00D35D5B">
              <w:rPr>
                <w:rFonts w:cs="Arial"/>
                <w:szCs w:val="18"/>
              </w:rPr>
              <w:t xml:space="preserve">for validating Optional data elements. </w:t>
            </w:r>
          </w:p>
        </w:tc>
        <w:tc>
          <w:tcPr>
            <w:tcW w:w="4945" w:type="dxa"/>
          </w:tcPr>
          <w:p w14:paraId="5A741C5D" w14:textId="72C3FB3C" w:rsidR="002405D6" w:rsidRPr="00854724" w:rsidRDefault="00D35D5B" w:rsidP="00255F25">
            <w:pPr>
              <w:pStyle w:val="PlainText"/>
              <w:rPr>
                <w:rFonts w:cs="Arial"/>
                <w:szCs w:val="18"/>
              </w:rPr>
            </w:pPr>
            <w:r>
              <w:rPr>
                <w:rFonts w:cs="Arial"/>
                <w:szCs w:val="18"/>
              </w:rPr>
              <w:t>T</w:t>
            </w:r>
            <w:r w:rsidR="002405D6" w:rsidRPr="00854724">
              <w:rPr>
                <w:rFonts w:cs="Arial"/>
                <w:szCs w:val="18"/>
              </w:rPr>
              <w:t xml:space="preserve">he </w:t>
            </w:r>
            <w:r w:rsidR="002405D6">
              <w:rPr>
                <w:rFonts w:cs="Arial"/>
                <w:szCs w:val="18"/>
              </w:rPr>
              <w:t>Tool has been modified</w:t>
            </w:r>
            <w:r w:rsidR="002405D6" w:rsidRPr="00854724">
              <w:rPr>
                <w:rFonts w:cs="Arial"/>
                <w:szCs w:val="18"/>
              </w:rPr>
              <w:t xml:space="preserve"> to validate again</w:t>
            </w:r>
            <w:r w:rsidR="002405D6">
              <w:rPr>
                <w:rFonts w:cs="Arial"/>
                <w:szCs w:val="18"/>
              </w:rPr>
              <w:t xml:space="preserve">st the most current version of </w:t>
            </w:r>
            <w:r>
              <w:rPr>
                <w:rFonts w:cs="Arial"/>
                <w:szCs w:val="18"/>
              </w:rPr>
              <w:t>HL7</w:t>
            </w:r>
            <w:r w:rsidR="002405D6" w:rsidRPr="00854724">
              <w:rPr>
                <w:rFonts w:cs="Arial"/>
                <w:szCs w:val="18"/>
              </w:rPr>
              <w:t>0396</w:t>
            </w:r>
            <w:r w:rsidR="002405D6">
              <w:rPr>
                <w:rFonts w:cs="Arial"/>
                <w:szCs w:val="18"/>
              </w:rPr>
              <w:t xml:space="preserve"> for </w:t>
            </w:r>
            <w:r>
              <w:rPr>
                <w:rFonts w:cs="Arial"/>
                <w:szCs w:val="18"/>
              </w:rPr>
              <w:t>both Required and Optional</w:t>
            </w:r>
            <w:r w:rsidR="002405D6">
              <w:rPr>
                <w:rFonts w:cs="Arial"/>
                <w:szCs w:val="18"/>
              </w:rPr>
              <w:t xml:space="preserve"> elements.</w:t>
            </w:r>
          </w:p>
          <w:p w14:paraId="3370F972" w14:textId="77777777" w:rsidR="002405D6" w:rsidRPr="00F4514E" w:rsidRDefault="002405D6" w:rsidP="00255F25"/>
        </w:tc>
      </w:tr>
    </w:tbl>
    <w:p w14:paraId="0C52AF0C" w14:textId="77777777" w:rsidR="00642A60" w:rsidRDefault="00642A60" w:rsidP="007A49DD">
      <w:pPr>
        <w:spacing w:after="120" w:line="240" w:lineRule="auto"/>
      </w:pPr>
    </w:p>
    <w:p w14:paraId="6A2B5F6A" w14:textId="6E351DA6" w:rsidR="007A49DD" w:rsidRDefault="007A49DD" w:rsidP="007A49DD">
      <w:pPr>
        <w:spacing w:after="120" w:line="240" w:lineRule="auto"/>
      </w:pPr>
      <w:r>
        <w:t>Documentation</w:t>
      </w:r>
    </w:p>
    <w:tbl>
      <w:tblPr>
        <w:tblStyle w:val="TableGrid"/>
        <w:tblW w:w="0" w:type="auto"/>
        <w:tblLook w:val="04A0" w:firstRow="1" w:lastRow="0" w:firstColumn="1" w:lastColumn="0" w:noHBand="0" w:noVBand="1"/>
      </w:tblPr>
      <w:tblGrid>
        <w:gridCol w:w="4385"/>
        <w:gridCol w:w="4965"/>
      </w:tblGrid>
      <w:tr w:rsidR="007A49DD" w14:paraId="78715BB5" w14:textId="77777777" w:rsidTr="00384C88">
        <w:trPr>
          <w:tblHeader/>
        </w:trPr>
        <w:tc>
          <w:tcPr>
            <w:tcW w:w="4385" w:type="dxa"/>
          </w:tcPr>
          <w:p w14:paraId="1CF867D0" w14:textId="77777777" w:rsidR="007A49DD" w:rsidRPr="00412050" w:rsidRDefault="007A49DD" w:rsidP="00F758E1">
            <w:pPr>
              <w:rPr>
                <w:b/>
              </w:rPr>
            </w:pPr>
            <w:r w:rsidRPr="00412050">
              <w:rPr>
                <w:b/>
              </w:rPr>
              <w:t>Issue</w:t>
            </w:r>
          </w:p>
        </w:tc>
        <w:tc>
          <w:tcPr>
            <w:tcW w:w="4965" w:type="dxa"/>
          </w:tcPr>
          <w:p w14:paraId="00B3452C" w14:textId="77777777" w:rsidR="007A49DD" w:rsidRPr="00412050" w:rsidRDefault="007A49DD" w:rsidP="00F758E1">
            <w:pPr>
              <w:rPr>
                <w:b/>
              </w:rPr>
            </w:pPr>
            <w:r w:rsidRPr="00412050">
              <w:rPr>
                <w:b/>
              </w:rPr>
              <w:t>Resolution</w:t>
            </w:r>
          </w:p>
        </w:tc>
      </w:tr>
      <w:tr w:rsidR="005A38F0" w:rsidRPr="005A38F0" w14:paraId="57676DCE" w14:textId="77777777" w:rsidTr="00C703C0">
        <w:tc>
          <w:tcPr>
            <w:tcW w:w="4385" w:type="dxa"/>
            <w:shd w:val="clear" w:color="auto" w:fill="auto"/>
          </w:tcPr>
          <w:p w14:paraId="340D3F61" w14:textId="2C78DB5B" w:rsidR="005A38F0" w:rsidRPr="005A38F0" w:rsidRDefault="005A38F0" w:rsidP="005A38F0">
            <w:pPr>
              <w:rPr>
                <w:rFonts w:cs="Arial"/>
                <w:szCs w:val="18"/>
              </w:rPr>
            </w:pPr>
            <w:r>
              <w:rPr>
                <w:rFonts w:cs="Arial"/>
                <w:szCs w:val="18"/>
              </w:rPr>
              <w:t xml:space="preserve">The NIST Syndromic Surveillance Normative Test Process Document did not include an explanation about the single message (step by step) testing and multiple message </w:t>
            </w:r>
            <w:r w:rsidR="00F154D6">
              <w:rPr>
                <w:rFonts w:cs="Arial"/>
                <w:szCs w:val="18"/>
              </w:rPr>
              <w:t xml:space="preserve">(multiple step) </w:t>
            </w:r>
            <w:r>
              <w:rPr>
                <w:rFonts w:cs="Arial"/>
                <w:szCs w:val="18"/>
              </w:rPr>
              <w:t>testing and the new capabilities now included</w:t>
            </w:r>
            <w:r w:rsidR="00031A53">
              <w:rPr>
                <w:rFonts w:cs="Arial"/>
                <w:szCs w:val="18"/>
              </w:rPr>
              <w:t xml:space="preserve"> for these ways of testing</w:t>
            </w:r>
            <w:r>
              <w:rPr>
                <w:rFonts w:cs="Arial"/>
                <w:szCs w:val="18"/>
              </w:rPr>
              <w:t>.</w:t>
            </w:r>
          </w:p>
          <w:p w14:paraId="7C90674D" w14:textId="63F6A72B" w:rsidR="005A38F0" w:rsidRPr="005A38F0" w:rsidRDefault="005A38F0" w:rsidP="005A38F0">
            <w:pPr>
              <w:rPr>
                <w:rFonts w:cs="Arial"/>
                <w:szCs w:val="18"/>
              </w:rPr>
            </w:pPr>
          </w:p>
        </w:tc>
        <w:tc>
          <w:tcPr>
            <w:tcW w:w="4965" w:type="dxa"/>
          </w:tcPr>
          <w:p w14:paraId="388AD6B1" w14:textId="1235A667" w:rsidR="001D7BD8" w:rsidRDefault="001D7BD8" w:rsidP="005A38F0">
            <w:pPr>
              <w:rPr>
                <w:rFonts w:cs="Arial"/>
                <w:szCs w:val="18"/>
              </w:rPr>
            </w:pPr>
            <w:r>
              <w:rPr>
                <w:rFonts w:cs="Arial"/>
                <w:szCs w:val="18"/>
              </w:rPr>
              <w:t>The NIST Syndromic Surveillance Normative Test Process Document has been updated to V1.3.</w:t>
            </w:r>
          </w:p>
          <w:p w14:paraId="2D6BA41C" w14:textId="77777777" w:rsidR="001D7BD8" w:rsidRDefault="001D7BD8" w:rsidP="005A38F0">
            <w:pPr>
              <w:rPr>
                <w:rFonts w:cs="Arial"/>
                <w:szCs w:val="18"/>
              </w:rPr>
            </w:pPr>
          </w:p>
          <w:p w14:paraId="0467AD39" w14:textId="6FF88DFA" w:rsidR="005A38F0" w:rsidRPr="005A38F0" w:rsidRDefault="005A38F0" w:rsidP="005A38F0">
            <w:pPr>
              <w:rPr>
                <w:rFonts w:cs="Arial"/>
                <w:szCs w:val="18"/>
              </w:rPr>
            </w:pPr>
            <w:r w:rsidRPr="005A38F0">
              <w:rPr>
                <w:rFonts w:cs="Arial"/>
                <w:szCs w:val="18"/>
              </w:rPr>
              <w:t>Verbiage was added at the beginning of the Normative Test Description section to explain in detail the two ways that the ONC Certification testing can be completed using the Syndromic Surveillance Tool, including:</w:t>
            </w:r>
          </w:p>
          <w:p w14:paraId="186D0CD8" w14:textId="77777777" w:rsidR="005A38F0" w:rsidRPr="005A38F0" w:rsidRDefault="005A38F0" w:rsidP="005A38F0">
            <w:pPr>
              <w:pStyle w:val="NoSpacing"/>
              <w:numPr>
                <w:ilvl w:val="0"/>
                <w:numId w:val="13"/>
              </w:numPr>
              <w:ind w:left="360"/>
              <w:rPr>
                <w:rFonts w:asciiTheme="minorHAnsi" w:hAnsiTheme="minorHAnsi" w:cs="Arial"/>
                <w:szCs w:val="18"/>
              </w:rPr>
            </w:pPr>
            <w:r w:rsidRPr="005A38F0">
              <w:rPr>
                <w:rFonts w:asciiTheme="minorHAnsi" w:hAnsiTheme="minorHAnsi" w:cs="Arial"/>
                <w:szCs w:val="18"/>
              </w:rPr>
              <w:t>Single message (step by step) testing</w:t>
            </w:r>
          </w:p>
          <w:p w14:paraId="77EA3D7F" w14:textId="0AE99E91" w:rsidR="005A38F0" w:rsidRPr="005A38F0" w:rsidRDefault="005A38F0" w:rsidP="005A38F0">
            <w:pPr>
              <w:pStyle w:val="ListParagraph"/>
              <w:numPr>
                <w:ilvl w:val="0"/>
                <w:numId w:val="13"/>
              </w:numPr>
              <w:ind w:left="360"/>
              <w:rPr>
                <w:i/>
              </w:rPr>
            </w:pPr>
            <w:r w:rsidRPr="005A38F0">
              <w:rPr>
                <w:rFonts w:cs="Arial"/>
                <w:szCs w:val="18"/>
              </w:rPr>
              <w:t xml:space="preserve">Multiple message </w:t>
            </w:r>
            <w:r w:rsidR="00F154D6">
              <w:rPr>
                <w:rFonts w:cs="Arial"/>
                <w:szCs w:val="18"/>
              </w:rPr>
              <w:t xml:space="preserve">(multiple step) </w:t>
            </w:r>
            <w:r w:rsidRPr="005A38F0">
              <w:rPr>
                <w:rFonts w:cs="Arial"/>
                <w:szCs w:val="18"/>
              </w:rPr>
              <w:t>testing</w:t>
            </w:r>
          </w:p>
          <w:p w14:paraId="4AD7E48A" w14:textId="57C6C14F" w:rsidR="005A38F0" w:rsidRPr="005A38F0" w:rsidRDefault="005A38F0" w:rsidP="005A38F0">
            <w:r>
              <w:t>This verbiage also describes the new capabilities that allow the Tester to modify the Validation Results and to add a Comment to the Validation Report produced for each Test Step.</w:t>
            </w:r>
          </w:p>
        </w:tc>
        <w:bookmarkStart w:id="0" w:name="_GoBack"/>
        <w:bookmarkEnd w:id="0"/>
      </w:tr>
      <w:tr w:rsidR="00C703C0" w:rsidRPr="00B314D0" w14:paraId="2B5E91C5" w14:textId="77777777" w:rsidTr="00C703C0">
        <w:tc>
          <w:tcPr>
            <w:tcW w:w="4385" w:type="dxa"/>
            <w:shd w:val="clear" w:color="auto" w:fill="auto"/>
          </w:tcPr>
          <w:p w14:paraId="3439E3D3" w14:textId="79BF449B" w:rsidR="00216DF9" w:rsidRPr="001D7BD8" w:rsidRDefault="00216DF9" w:rsidP="00216DF9">
            <w:r w:rsidRPr="001D7BD8">
              <w:rPr>
                <w:rFonts w:cs="Arial"/>
              </w:rPr>
              <w:t xml:space="preserve">The </w:t>
            </w:r>
            <w:r w:rsidRPr="001D7BD8">
              <w:t xml:space="preserve">PHIN Syndromic Surveillance Messaging Guide, </w:t>
            </w:r>
            <w:proofErr w:type="spellStart"/>
            <w:r w:rsidRPr="001D7BD8">
              <w:t>Rel</w:t>
            </w:r>
            <w:proofErr w:type="spellEnd"/>
            <w:r w:rsidRPr="001D7BD8">
              <w:t xml:space="preserve"> 2.0, April, 2015</w:t>
            </w:r>
            <w:r w:rsidR="001E0B84" w:rsidRPr="001D7BD8">
              <w:t xml:space="preserve"> </w:t>
            </w:r>
            <w:r w:rsidRPr="001D7BD8">
              <w:rPr>
                <w:rFonts w:cs="Arial"/>
              </w:rPr>
              <w:t xml:space="preserve">specified </w:t>
            </w:r>
            <w:r w:rsidR="003841C0">
              <w:rPr>
                <w:rFonts w:cs="Arial"/>
              </w:rPr>
              <w:t xml:space="preserve">in error </w:t>
            </w:r>
            <w:r w:rsidRPr="001D7BD8">
              <w:rPr>
                <w:rFonts w:cs="Arial"/>
              </w:rPr>
              <w:t>that Table 0396 is to be used for Assigning Facility elements</w:t>
            </w:r>
          </w:p>
        </w:tc>
        <w:tc>
          <w:tcPr>
            <w:tcW w:w="4965" w:type="dxa"/>
          </w:tcPr>
          <w:p w14:paraId="2BE5D664" w14:textId="519D0748" w:rsidR="00C703C0" w:rsidRPr="001D7BD8" w:rsidRDefault="00431A65" w:rsidP="003841C0">
            <w:r w:rsidRPr="001D7BD8">
              <w:t xml:space="preserve">An updated version </w:t>
            </w:r>
            <w:r w:rsidR="00AE7832" w:rsidRPr="001D7BD8">
              <w:t>(V1.</w:t>
            </w:r>
            <w:r w:rsidR="00216DF9" w:rsidRPr="001D7BD8">
              <w:t>3</w:t>
            </w:r>
            <w:r w:rsidR="00AE7832" w:rsidRPr="001D7BD8">
              <w:t xml:space="preserve">) </w:t>
            </w:r>
            <w:r w:rsidRPr="001D7BD8">
              <w:t xml:space="preserve">of the </w:t>
            </w:r>
            <w:r w:rsidRPr="001D7BD8">
              <w:rPr>
                <w:rFonts w:cs="Helvetica"/>
                <w:shd w:val="clear" w:color="auto" w:fill="F9F9F9"/>
              </w:rPr>
              <w:t xml:space="preserve">NIST Clarifications and Validation Guidelines document </w:t>
            </w:r>
            <w:r w:rsidRPr="001D7BD8">
              <w:t xml:space="preserve">has been posted on the Documentation Tab; </w:t>
            </w:r>
            <w:r w:rsidRPr="001D7BD8">
              <w:rPr>
                <w:rFonts w:cs="Arial"/>
              </w:rPr>
              <w:t>Item ERR-2</w:t>
            </w:r>
            <w:r w:rsidR="00216DF9" w:rsidRPr="001D7BD8">
              <w:rPr>
                <w:rFonts w:cs="Arial"/>
              </w:rPr>
              <w:t>1</w:t>
            </w:r>
            <w:r w:rsidRPr="001D7BD8">
              <w:rPr>
                <w:rFonts w:cs="Arial"/>
              </w:rPr>
              <w:t xml:space="preserve"> regarding </w:t>
            </w:r>
            <w:r w:rsidR="00216DF9" w:rsidRPr="001D7BD8">
              <w:rPr>
                <w:rFonts w:cs="Arial"/>
              </w:rPr>
              <w:t xml:space="preserve">Assigning Facility </w:t>
            </w:r>
            <w:r w:rsidR="003841C0">
              <w:rPr>
                <w:rFonts w:cs="Arial"/>
              </w:rPr>
              <w:t>has been added</w:t>
            </w:r>
            <w:r w:rsidR="00EE0C86" w:rsidRPr="001D7BD8">
              <w:t xml:space="preserve"> in </w:t>
            </w:r>
            <w:r w:rsidR="003841C0">
              <w:t xml:space="preserve">the </w:t>
            </w:r>
            <w:r w:rsidR="00EE0C86" w:rsidRPr="001D7BD8">
              <w:rPr>
                <w:rFonts w:cs="Arial"/>
              </w:rPr>
              <w:lastRenderedPageBreak/>
              <w:t>ERRATA section, explaining the nature of the error as well as the impact on certification testing.</w:t>
            </w:r>
            <w:r w:rsidR="00216DF9" w:rsidRPr="001D7BD8">
              <w:rPr>
                <w:rFonts w:cs="Arial"/>
              </w:rPr>
              <w:t xml:space="preserve"> </w:t>
            </w:r>
          </w:p>
        </w:tc>
      </w:tr>
      <w:tr w:rsidR="006C1394" w:rsidRPr="00B314D0" w14:paraId="4F1D276F" w14:textId="77777777" w:rsidTr="00C703C0">
        <w:tc>
          <w:tcPr>
            <w:tcW w:w="4385" w:type="dxa"/>
            <w:shd w:val="clear" w:color="auto" w:fill="auto"/>
          </w:tcPr>
          <w:p w14:paraId="2C98D641" w14:textId="594B48A1" w:rsidR="006C1394" w:rsidRPr="001D7BD8" w:rsidRDefault="006C1394" w:rsidP="006C1394">
            <w:pPr>
              <w:rPr>
                <w:rFonts w:cs="Arial"/>
              </w:rPr>
            </w:pPr>
            <w:r>
              <w:rPr>
                <w:rFonts w:cs="Arial"/>
              </w:rPr>
              <w:lastRenderedPageBreak/>
              <w:t>The Profiles option under Resource Documentation on the Documentation tab provided one xml file containing all of the profiles for the ADT message types</w:t>
            </w:r>
          </w:p>
        </w:tc>
        <w:tc>
          <w:tcPr>
            <w:tcW w:w="4965" w:type="dxa"/>
          </w:tcPr>
          <w:p w14:paraId="7E604AA9" w14:textId="48D6E4E7" w:rsidR="006C1394" w:rsidRPr="001D7BD8" w:rsidRDefault="006C1394" w:rsidP="006C1394">
            <w:r>
              <w:rPr>
                <w:rFonts w:cs="Arial"/>
              </w:rPr>
              <w:t xml:space="preserve">The Profiles option under Resource Documentation on the Documentation tab </w:t>
            </w:r>
            <w:r>
              <w:rPr>
                <w:rFonts w:cs="Arial"/>
              </w:rPr>
              <w:t xml:space="preserve">has been modified and now </w:t>
            </w:r>
            <w:r>
              <w:rPr>
                <w:rFonts w:cs="Arial"/>
              </w:rPr>
              <w:t>provide</w:t>
            </w:r>
            <w:r>
              <w:rPr>
                <w:rFonts w:cs="Arial"/>
              </w:rPr>
              <w:t>s</w:t>
            </w:r>
            <w:r>
              <w:rPr>
                <w:rFonts w:cs="Arial"/>
              </w:rPr>
              <w:t xml:space="preserve"> one xml file </w:t>
            </w:r>
            <w:r w:rsidRPr="006C1394">
              <w:rPr>
                <w:rFonts w:cs="Arial"/>
                <w:i/>
              </w:rPr>
              <w:t>for each</w:t>
            </w:r>
            <w:r>
              <w:rPr>
                <w:rFonts w:cs="Arial"/>
              </w:rPr>
              <w:t xml:space="preserve"> of </w:t>
            </w:r>
            <w:r>
              <w:rPr>
                <w:rFonts w:cs="Arial"/>
              </w:rPr>
              <w:t>the profiles for the ADT message types</w:t>
            </w:r>
          </w:p>
        </w:tc>
      </w:tr>
    </w:tbl>
    <w:p w14:paraId="36BA8A76" w14:textId="77777777" w:rsidR="00642A60" w:rsidRDefault="00642A60" w:rsidP="00987C70"/>
    <w:p w14:paraId="53FE5375" w14:textId="77777777" w:rsidR="00987C70" w:rsidRDefault="00987C70" w:rsidP="00987C70">
      <w:r>
        <w:t>User Interface</w:t>
      </w:r>
    </w:p>
    <w:tbl>
      <w:tblPr>
        <w:tblStyle w:val="TableGrid"/>
        <w:tblW w:w="0" w:type="auto"/>
        <w:tblLook w:val="04A0" w:firstRow="1" w:lastRow="0" w:firstColumn="1" w:lastColumn="0" w:noHBand="0" w:noVBand="1"/>
      </w:tblPr>
      <w:tblGrid>
        <w:gridCol w:w="4491"/>
        <w:gridCol w:w="4859"/>
      </w:tblGrid>
      <w:tr w:rsidR="00987C70" w14:paraId="1F46722B" w14:textId="77777777" w:rsidTr="00FE23F4">
        <w:trPr>
          <w:tblHeader/>
        </w:trPr>
        <w:tc>
          <w:tcPr>
            <w:tcW w:w="4491" w:type="dxa"/>
          </w:tcPr>
          <w:p w14:paraId="5ED49FD2" w14:textId="77777777" w:rsidR="00987C70" w:rsidRPr="00412050" w:rsidRDefault="00987C70" w:rsidP="003269D6">
            <w:pPr>
              <w:rPr>
                <w:b/>
              </w:rPr>
            </w:pPr>
            <w:r w:rsidRPr="00412050">
              <w:rPr>
                <w:b/>
              </w:rPr>
              <w:t>Issue</w:t>
            </w:r>
          </w:p>
        </w:tc>
        <w:tc>
          <w:tcPr>
            <w:tcW w:w="4859" w:type="dxa"/>
          </w:tcPr>
          <w:p w14:paraId="1E041FD8" w14:textId="77777777" w:rsidR="00987C70" w:rsidRPr="00412050" w:rsidRDefault="00987C70" w:rsidP="003269D6">
            <w:pPr>
              <w:rPr>
                <w:b/>
              </w:rPr>
            </w:pPr>
            <w:r w:rsidRPr="00412050">
              <w:rPr>
                <w:b/>
              </w:rPr>
              <w:t>Resolution</w:t>
            </w:r>
          </w:p>
        </w:tc>
      </w:tr>
      <w:tr w:rsidR="00F2395B" w14:paraId="46A2237B" w14:textId="77777777" w:rsidTr="00F2395B">
        <w:tc>
          <w:tcPr>
            <w:tcW w:w="4491" w:type="dxa"/>
          </w:tcPr>
          <w:p w14:paraId="6C96A725" w14:textId="7F2AE519" w:rsidR="008420B2" w:rsidRPr="00575173" w:rsidRDefault="007710B5" w:rsidP="00F2395B">
            <w:r>
              <w:t>None</w:t>
            </w:r>
          </w:p>
        </w:tc>
        <w:tc>
          <w:tcPr>
            <w:tcW w:w="4859" w:type="dxa"/>
          </w:tcPr>
          <w:p w14:paraId="6A973A3D" w14:textId="7521C9BA" w:rsidR="008420B2" w:rsidRPr="00575173" w:rsidRDefault="008420B2" w:rsidP="00642A60"/>
        </w:tc>
      </w:tr>
    </w:tbl>
    <w:p w14:paraId="5538000C" w14:textId="2F33FB21" w:rsidR="007D7C04" w:rsidRDefault="007D7C04" w:rsidP="001E20CE">
      <w:pPr>
        <w:spacing w:after="120"/>
      </w:pPr>
    </w:p>
    <w:p w14:paraId="6066A872" w14:textId="77777777"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4388"/>
        <w:gridCol w:w="4962"/>
      </w:tblGrid>
      <w:tr w:rsidR="00C758DB" w14:paraId="2D00B8AE" w14:textId="77777777" w:rsidTr="001769C2">
        <w:tc>
          <w:tcPr>
            <w:tcW w:w="6228" w:type="dxa"/>
          </w:tcPr>
          <w:p w14:paraId="5D590051" w14:textId="77777777" w:rsidR="00C758DB" w:rsidRPr="00412050" w:rsidRDefault="00C758DB" w:rsidP="003269D6">
            <w:pPr>
              <w:rPr>
                <w:b/>
              </w:rPr>
            </w:pPr>
            <w:r w:rsidRPr="00412050">
              <w:rPr>
                <w:b/>
              </w:rPr>
              <w:t>Issue</w:t>
            </w:r>
          </w:p>
        </w:tc>
        <w:tc>
          <w:tcPr>
            <w:tcW w:w="6840" w:type="dxa"/>
          </w:tcPr>
          <w:p w14:paraId="3A6E1AA3" w14:textId="77777777" w:rsidR="00C758DB" w:rsidRPr="00412050" w:rsidRDefault="00C758DB" w:rsidP="003269D6">
            <w:pPr>
              <w:rPr>
                <w:b/>
              </w:rPr>
            </w:pPr>
            <w:r w:rsidRPr="00412050">
              <w:rPr>
                <w:b/>
              </w:rPr>
              <w:t>Resolution</w:t>
            </w:r>
          </w:p>
        </w:tc>
      </w:tr>
      <w:tr w:rsidR="00C758DB" w14:paraId="65D037DC" w14:textId="77777777" w:rsidTr="001769C2">
        <w:tc>
          <w:tcPr>
            <w:tcW w:w="6228" w:type="dxa"/>
          </w:tcPr>
          <w:p w14:paraId="0FB9C068" w14:textId="77777777" w:rsidR="00C758DB" w:rsidRDefault="007F68D5" w:rsidP="003269D6">
            <w:r>
              <w:t>None</w:t>
            </w:r>
          </w:p>
        </w:tc>
        <w:tc>
          <w:tcPr>
            <w:tcW w:w="6840" w:type="dxa"/>
          </w:tcPr>
          <w:p w14:paraId="64171D69" w14:textId="77777777" w:rsidR="00C758DB" w:rsidRDefault="00C758DB" w:rsidP="003269D6"/>
        </w:tc>
      </w:tr>
    </w:tbl>
    <w:p w14:paraId="7FFBD047" w14:textId="77777777" w:rsidR="00C758DB" w:rsidRDefault="00C758DB" w:rsidP="00420C09"/>
    <w:tbl>
      <w:tblPr>
        <w:tblStyle w:val="TableGrid"/>
        <w:tblW w:w="0" w:type="auto"/>
        <w:tblLook w:val="04A0" w:firstRow="1" w:lastRow="0" w:firstColumn="1" w:lastColumn="0" w:noHBand="0" w:noVBand="1"/>
      </w:tblPr>
      <w:tblGrid>
        <w:gridCol w:w="9350"/>
      </w:tblGrid>
      <w:tr w:rsidR="00242AB4" w14:paraId="0C1EB9EB" w14:textId="77777777" w:rsidTr="00B4672C">
        <w:tc>
          <w:tcPr>
            <w:tcW w:w="9350" w:type="dxa"/>
          </w:tcPr>
          <w:p w14:paraId="7A72406E" w14:textId="77777777" w:rsidR="00242AB4" w:rsidRPr="00412050" w:rsidRDefault="00242AB4" w:rsidP="009B6DA9">
            <w:pPr>
              <w:rPr>
                <w:b/>
              </w:rPr>
            </w:pPr>
            <w:r>
              <w:rPr>
                <w:b/>
              </w:rPr>
              <w:t>Improvements/Features</w:t>
            </w:r>
          </w:p>
        </w:tc>
      </w:tr>
      <w:tr w:rsidR="003009A2" w14:paraId="53F9C300" w14:textId="77777777" w:rsidTr="00B4672C">
        <w:tc>
          <w:tcPr>
            <w:tcW w:w="9350" w:type="dxa"/>
          </w:tcPr>
          <w:p w14:paraId="11CF2CE3" w14:textId="078DD772" w:rsidR="003009A2" w:rsidRPr="00760CDB" w:rsidRDefault="007710B5" w:rsidP="00760CDB">
            <w:pPr>
              <w:rPr>
                <w:color w:val="1F497D"/>
              </w:rPr>
            </w:pPr>
            <w:r>
              <w:rPr>
                <w:color w:val="1F497D"/>
              </w:rPr>
              <w:t>None</w:t>
            </w:r>
          </w:p>
        </w:tc>
      </w:tr>
    </w:tbl>
    <w:p w14:paraId="218C9D42" w14:textId="77777777" w:rsidR="00EA23F0" w:rsidRDefault="00EA23F0" w:rsidP="004C15EF"/>
    <w:p w14:paraId="29D3E61F" w14:textId="6591B2FE" w:rsidR="004C15EF" w:rsidRDefault="004C15EF" w:rsidP="004C15EF">
      <w:r>
        <w:t>Issues for a Future Release</w:t>
      </w:r>
    </w:p>
    <w:tbl>
      <w:tblPr>
        <w:tblStyle w:val="TableGrid"/>
        <w:tblW w:w="0" w:type="auto"/>
        <w:tblLook w:val="04A0" w:firstRow="1" w:lastRow="0" w:firstColumn="1" w:lastColumn="0" w:noHBand="0" w:noVBand="1"/>
      </w:tblPr>
      <w:tblGrid>
        <w:gridCol w:w="2470"/>
        <w:gridCol w:w="6880"/>
      </w:tblGrid>
      <w:tr w:rsidR="004C15EF" w14:paraId="52C50F50" w14:textId="77777777" w:rsidTr="00A757E8">
        <w:trPr>
          <w:cantSplit/>
        </w:trPr>
        <w:tc>
          <w:tcPr>
            <w:tcW w:w="2470" w:type="dxa"/>
          </w:tcPr>
          <w:p w14:paraId="41300010" w14:textId="77777777" w:rsidR="004C15EF" w:rsidRPr="00412050" w:rsidRDefault="004C15EF" w:rsidP="00F970ED">
            <w:pPr>
              <w:rPr>
                <w:b/>
              </w:rPr>
            </w:pPr>
            <w:r>
              <w:rPr>
                <w:b/>
              </w:rPr>
              <w:t>Test Case/if Applicable</w:t>
            </w:r>
          </w:p>
        </w:tc>
        <w:tc>
          <w:tcPr>
            <w:tcW w:w="6880" w:type="dxa"/>
          </w:tcPr>
          <w:p w14:paraId="697F469E" w14:textId="77777777" w:rsidR="004C15EF" w:rsidRPr="00412050" w:rsidRDefault="004C15EF" w:rsidP="00F970ED">
            <w:pPr>
              <w:rPr>
                <w:b/>
              </w:rPr>
            </w:pPr>
            <w:r>
              <w:rPr>
                <w:b/>
              </w:rPr>
              <w:t>Issue</w:t>
            </w:r>
          </w:p>
        </w:tc>
      </w:tr>
      <w:tr w:rsidR="00FD1D6C" w14:paraId="4CA1B46E" w14:textId="77777777" w:rsidTr="00A757E8">
        <w:trPr>
          <w:cantSplit/>
        </w:trPr>
        <w:tc>
          <w:tcPr>
            <w:tcW w:w="2470" w:type="dxa"/>
          </w:tcPr>
          <w:p w14:paraId="6CE949D3" w14:textId="6A2B14CB" w:rsidR="00FD1D6C" w:rsidRDefault="00A757E8" w:rsidP="00D8602C">
            <w:r>
              <w:t>None</w:t>
            </w:r>
          </w:p>
        </w:tc>
        <w:tc>
          <w:tcPr>
            <w:tcW w:w="6880" w:type="dxa"/>
          </w:tcPr>
          <w:p w14:paraId="4CC214B8" w14:textId="22218056" w:rsidR="00FD1D6C" w:rsidRDefault="00FD1D6C" w:rsidP="00D8602C"/>
        </w:tc>
      </w:tr>
    </w:tbl>
    <w:p w14:paraId="5F38E6E3" w14:textId="77777777" w:rsidR="00242AB4" w:rsidRDefault="00242AB4" w:rsidP="00237FAD"/>
    <w:p w14:paraId="24FE863B" w14:textId="77777777" w:rsidR="001320BE" w:rsidRDefault="001320BE"/>
    <w:sectPr w:rsidR="001320BE" w:rsidSect="00BA24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2EEE9" w14:textId="77777777" w:rsidR="007814CD" w:rsidRDefault="007814CD" w:rsidP="00281D35">
      <w:pPr>
        <w:spacing w:after="0" w:line="240" w:lineRule="auto"/>
      </w:pPr>
      <w:r>
        <w:separator/>
      </w:r>
    </w:p>
  </w:endnote>
  <w:endnote w:type="continuationSeparator" w:id="0">
    <w:p w14:paraId="3BB53B91" w14:textId="77777777" w:rsidR="007814CD" w:rsidRDefault="007814CD" w:rsidP="0028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276559"/>
      <w:docPartObj>
        <w:docPartGallery w:val="Page Numbers (Bottom of Page)"/>
        <w:docPartUnique/>
      </w:docPartObj>
    </w:sdtPr>
    <w:sdtEndPr>
      <w:rPr>
        <w:noProof/>
      </w:rPr>
    </w:sdtEndPr>
    <w:sdtContent>
      <w:p w14:paraId="4EC98952" w14:textId="17DCE4FE" w:rsidR="007F68D5" w:rsidRDefault="00685BC6">
        <w:pPr>
          <w:pStyle w:val="Footer"/>
          <w:jc w:val="right"/>
        </w:pPr>
        <w:r>
          <w:fldChar w:fldCharType="begin"/>
        </w:r>
        <w:r w:rsidR="007F68D5">
          <w:instrText xml:space="preserve"> PAGE   \* MERGEFORMAT </w:instrText>
        </w:r>
        <w:r>
          <w:fldChar w:fldCharType="separate"/>
        </w:r>
        <w:r w:rsidR="00384C88">
          <w:rPr>
            <w:noProof/>
          </w:rPr>
          <w:t>1</w:t>
        </w:r>
        <w:r>
          <w:rPr>
            <w:noProof/>
          </w:rPr>
          <w:fldChar w:fldCharType="end"/>
        </w:r>
      </w:p>
    </w:sdtContent>
  </w:sdt>
  <w:p w14:paraId="24A5E93B" w14:textId="77777777" w:rsidR="007F68D5" w:rsidRDefault="007F6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B33C3" w14:textId="77777777" w:rsidR="007814CD" w:rsidRDefault="007814CD" w:rsidP="00281D35">
      <w:pPr>
        <w:spacing w:after="0" w:line="240" w:lineRule="auto"/>
      </w:pPr>
      <w:r>
        <w:separator/>
      </w:r>
    </w:p>
  </w:footnote>
  <w:footnote w:type="continuationSeparator" w:id="0">
    <w:p w14:paraId="3F4F20AE" w14:textId="77777777" w:rsidR="007814CD" w:rsidRDefault="007814CD" w:rsidP="0028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551"/>
    <w:multiLevelType w:val="hybridMultilevel"/>
    <w:tmpl w:val="554CD3CE"/>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1" w15:restartNumberingAfterBreak="0">
    <w:nsid w:val="2CF61D7C"/>
    <w:multiLevelType w:val="hybridMultilevel"/>
    <w:tmpl w:val="9DCE6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D1233C"/>
    <w:multiLevelType w:val="hybridMultilevel"/>
    <w:tmpl w:val="15AA5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F95280"/>
    <w:multiLevelType w:val="hybridMultilevel"/>
    <w:tmpl w:val="9E8A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B8073A"/>
    <w:multiLevelType w:val="hybridMultilevel"/>
    <w:tmpl w:val="E404F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0A6757"/>
    <w:multiLevelType w:val="hybridMultilevel"/>
    <w:tmpl w:val="DD687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270ADD"/>
    <w:multiLevelType w:val="multilevel"/>
    <w:tmpl w:val="032869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BAA1CB3"/>
    <w:multiLevelType w:val="hybridMultilevel"/>
    <w:tmpl w:val="4A40F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0CE5E44"/>
    <w:multiLevelType w:val="hybridMultilevel"/>
    <w:tmpl w:val="C0FE4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3E908E7"/>
    <w:multiLevelType w:val="hybridMultilevel"/>
    <w:tmpl w:val="CB96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F919DD"/>
    <w:multiLevelType w:val="hybridMultilevel"/>
    <w:tmpl w:val="EAE60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4"/>
  </w:num>
  <w:num w:numId="5">
    <w:abstractNumId w:val="6"/>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7"/>
  </w:num>
  <w:num w:numId="10">
    <w:abstractNumId w:val="3"/>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0110"/>
    <w:rsid w:val="00003E79"/>
    <w:rsid w:val="00010023"/>
    <w:rsid w:val="00010D8B"/>
    <w:rsid w:val="00025E50"/>
    <w:rsid w:val="00031A53"/>
    <w:rsid w:val="00041F71"/>
    <w:rsid w:val="00051A67"/>
    <w:rsid w:val="000756FC"/>
    <w:rsid w:val="000839D8"/>
    <w:rsid w:val="000842F5"/>
    <w:rsid w:val="00085B48"/>
    <w:rsid w:val="00093161"/>
    <w:rsid w:val="000A5C8B"/>
    <w:rsid w:val="000A60CA"/>
    <w:rsid w:val="000B2ED9"/>
    <w:rsid w:val="000B4373"/>
    <w:rsid w:val="000B4CE9"/>
    <w:rsid w:val="000B6724"/>
    <w:rsid w:val="000B6D15"/>
    <w:rsid w:val="000E1793"/>
    <w:rsid w:val="000E6E7A"/>
    <w:rsid w:val="001009B7"/>
    <w:rsid w:val="001037DE"/>
    <w:rsid w:val="001075F7"/>
    <w:rsid w:val="00120DE3"/>
    <w:rsid w:val="001256C6"/>
    <w:rsid w:val="001320BE"/>
    <w:rsid w:val="00133F79"/>
    <w:rsid w:val="001346D6"/>
    <w:rsid w:val="00136877"/>
    <w:rsid w:val="00152137"/>
    <w:rsid w:val="0016226B"/>
    <w:rsid w:val="00162701"/>
    <w:rsid w:val="001723F5"/>
    <w:rsid w:val="001769C2"/>
    <w:rsid w:val="001779A4"/>
    <w:rsid w:val="0018227D"/>
    <w:rsid w:val="001833C4"/>
    <w:rsid w:val="00187151"/>
    <w:rsid w:val="00187E99"/>
    <w:rsid w:val="00190F2C"/>
    <w:rsid w:val="001913A4"/>
    <w:rsid w:val="001953A7"/>
    <w:rsid w:val="001B2B78"/>
    <w:rsid w:val="001C6F18"/>
    <w:rsid w:val="001D28D4"/>
    <w:rsid w:val="001D37EF"/>
    <w:rsid w:val="001D7BD8"/>
    <w:rsid w:val="001E0B84"/>
    <w:rsid w:val="001E20CE"/>
    <w:rsid w:val="001E5C65"/>
    <w:rsid w:val="0020244A"/>
    <w:rsid w:val="00203724"/>
    <w:rsid w:val="00207614"/>
    <w:rsid w:val="00213B0C"/>
    <w:rsid w:val="00213DA5"/>
    <w:rsid w:val="00216DF9"/>
    <w:rsid w:val="00222D79"/>
    <w:rsid w:val="00237FAD"/>
    <w:rsid w:val="002405D6"/>
    <w:rsid w:val="00242AB4"/>
    <w:rsid w:val="00242C21"/>
    <w:rsid w:val="002472FF"/>
    <w:rsid w:val="00247D39"/>
    <w:rsid w:val="0025447E"/>
    <w:rsid w:val="00257125"/>
    <w:rsid w:val="00265EC9"/>
    <w:rsid w:val="00270575"/>
    <w:rsid w:val="002748A8"/>
    <w:rsid w:val="0028157B"/>
    <w:rsid w:val="00281D35"/>
    <w:rsid w:val="00285F63"/>
    <w:rsid w:val="002877BE"/>
    <w:rsid w:val="0029614C"/>
    <w:rsid w:val="002A735E"/>
    <w:rsid w:val="002B3B16"/>
    <w:rsid w:val="002C3CC6"/>
    <w:rsid w:val="002C6D29"/>
    <w:rsid w:val="002E7509"/>
    <w:rsid w:val="002F3590"/>
    <w:rsid w:val="003009A2"/>
    <w:rsid w:val="00300E11"/>
    <w:rsid w:val="0030636A"/>
    <w:rsid w:val="00314531"/>
    <w:rsid w:val="003151B2"/>
    <w:rsid w:val="003552F1"/>
    <w:rsid w:val="00371999"/>
    <w:rsid w:val="00375537"/>
    <w:rsid w:val="003841C0"/>
    <w:rsid w:val="00384C88"/>
    <w:rsid w:val="003855AF"/>
    <w:rsid w:val="00391A4C"/>
    <w:rsid w:val="00391DD8"/>
    <w:rsid w:val="003924C6"/>
    <w:rsid w:val="00395072"/>
    <w:rsid w:val="003B19FB"/>
    <w:rsid w:val="003B2A51"/>
    <w:rsid w:val="003C4CE9"/>
    <w:rsid w:val="00412050"/>
    <w:rsid w:val="00420C09"/>
    <w:rsid w:val="00421357"/>
    <w:rsid w:val="00421A48"/>
    <w:rsid w:val="00431040"/>
    <w:rsid w:val="00431A65"/>
    <w:rsid w:val="00444A15"/>
    <w:rsid w:val="004524B4"/>
    <w:rsid w:val="00457AFF"/>
    <w:rsid w:val="004644E1"/>
    <w:rsid w:val="00482A34"/>
    <w:rsid w:val="0048361B"/>
    <w:rsid w:val="00484FA0"/>
    <w:rsid w:val="00491BCD"/>
    <w:rsid w:val="004966F5"/>
    <w:rsid w:val="004B5B5F"/>
    <w:rsid w:val="004B64E1"/>
    <w:rsid w:val="004B68B9"/>
    <w:rsid w:val="004C15EF"/>
    <w:rsid w:val="004C16D0"/>
    <w:rsid w:val="004C3A54"/>
    <w:rsid w:val="004D751D"/>
    <w:rsid w:val="004E0260"/>
    <w:rsid w:val="004E34A5"/>
    <w:rsid w:val="004F3A9C"/>
    <w:rsid w:val="005064E6"/>
    <w:rsid w:val="00512B9E"/>
    <w:rsid w:val="00512E30"/>
    <w:rsid w:val="00514889"/>
    <w:rsid w:val="005165BB"/>
    <w:rsid w:val="005209A6"/>
    <w:rsid w:val="00520FFB"/>
    <w:rsid w:val="00530EC4"/>
    <w:rsid w:val="00533A24"/>
    <w:rsid w:val="00540862"/>
    <w:rsid w:val="00541CC3"/>
    <w:rsid w:val="00544CED"/>
    <w:rsid w:val="00561709"/>
    <w:rsid w:val="005628DA"/>
    <w:rsid w:val="00572EFA"/>
    <w:rsid w:val="00575173"/>
    <w:rsid w:val="0058197E"/>
    <w:rsid w:val="00587FC8"/>
    <w:rsid w:val="00594AE3"/>
    <w:rsid w:val="00597634"/>
    <w:rsid w:val="005A38F0"/>
    <w:rsid w:val="005B2022"/>
    <w:rsid w:val="005B441D"/>
    <w:rsid w:val="005C0966"/>
    <w:rsid w:val="005C61E9"/>
    <w:rsid w:val="005E15FF"/>
    <w:rsid w:val="005E2379"/>
    <w:rsid w:val="0060438B"/>
    <w:rsid w:val="00622E26"/>
    <w:rsid w:val="00626339"/>
    <w:rsid w:val="006271FF"/>
    <w:rsid w:val="00636638"/>
    <w:rsid w:val="00636E10"/>
    <w:rsid w:val="00636FF1"/>
    <w:rsid w:val="00642A60"/>
    <w:rsid w:val="00642EDB"/>
    <w:rsid w:val="00654829"/>
    <w:rsid w:val="00663905"/>
    <w:rsid w:val="0066780D"/>
    <w:rsid w:val="00671B81"/>
    <w:rsid w:val="0067363C"/>
    <w:rsid w:val="006829E5"/>
    <w:rsid w:val="00685BC6"/>
    <w:rsid w:val="00686FCC"/>
    <w:rsid w:val="006A4F50"/>
    <w:rsid w:val="006C1394"/>
    <w:rsid w:val="006C17E7"/>
    <w:rsid w:val="006C586F"/>
    <w:rsid w:val="006D1B8F"/>
    <w:rsid w:val="006D6DD3"/>
    <w:rsid w:val="006E4660"/>
    <w:rsid w:val="006F2F96"/>
    <w:rsid w:val="006F5530"/>
    <w:rsid w:val="00700203"/>
    <w:rsid w:val="00707F0A"/>
    <w:rsid w:val="00711E3D"/>
    <w:rsid w:val="00724FA6"/>
    <w:rsid w:val="00736E84"/>
    <w:rsid w:val="00742C6F"/>
    <w:rsid w:val="00750AA4"/>
    <w:rsid w:val="00756B24"/>
    <w:rsid w:val="007577A9"/>
    <w:rsid w:val="007578FA"/>
    <w:rsid w:val="00760CDB"/>
    <w:rsid w:val="00761BF3"/>
    <w:rsid w:val="00765D89"/>
    <w:rsid w:val="00766FC0"/>
    <w:rsid w:val="007702ED"/>
    <w:rsid w:val="007710B5"/>
    <w:rsid w:val="00776184"/>
    <w:rsid w:val="007814CD"/>
    <w:rsid w:val="0078214D"/>
    <w:rsid w:val="0078730D"/>
    <w:rsid w:val="007A49DD"/>
    <w:rsid w:val="007B6134"/>
    <w:rsid w:val="007B7776"/>
    <w:rsid w:val="007C1CBC"/>
    <w:rsid w:val="007D2AF1"/>
    <w:rsid w:val="007D3AD6"/>
    <w:rsid w:val="007D7C04"/>
    <w:rsid w:val="007E0EDA"/>
    <w:rsid w:val="007F13BB"/>
    <w:rsid w:val="007F1B62"/>
    <w:rsid w:val="007F208E"/>
    <w:rsid w:val="007F68D5"/>
    <w:rsid w:val="00802F4E"/>
    <w:rsid w:val="00805868"/>
    <w:rsid w:val="00807E38"/>
    <w:rsid w:val="008114A7"/>
    <w:rsid w:val="00823199"/>
    <w:rsid w:val="00827452"/>
    <w:rsid w:val="00841168"/>
    <w:rsid w:val="008420B2"/>
    <w:rsid w:val="008535C1"/>
    <w:rsid w:val="00854724"/>
    <w:rsid w:val="0086096E"/>
    <w:rsid w:val="00864CFA"/>
    <w:rsid w:val="00867B38"/>
    <w:rsid w:val="00870C6F"/>
    <w:rsid w:val="00895111"/>
    <w:rsid w:val="008B0126"/>
    <w:rsid w:val="008B563E"/>
    <w:rsid w:val="008C3895"/>
    <w:rsid w:val="008C4252"/>
    <w:rsid w:val="008D1961"/>
    <w:rsid w:val="008D1CAF"/>
    <w:rsid w:val="008D5522"/>
    <w:rsid w:val="008E2E24"/>
    <w:rsid w:val="008E57B2"/>
    <w:rsid w:val="008F1EAA"/>
    <w:rsid w:val="0090109B"/>
    <w:rsid w:val="0091711E"/>
    <w:rsid w:val="0091784B"/>
    <w:rsid w:val="00920BB7"/>
    <w:rsid w:val="0092395B"/>
    <w:rsid w:val="009348E5"/>
    <w:rsid w:val="00941708"/>
    <w:rsid w:val="00941EF1"/>
    <w:rsid w:val="009451B5"/>
    <w:rsid w:val="00945AE5"/>
    <w:rsid w:val="00945F5B"/>
    <w:rsid w:val="00973F9F"/>
    <w:rsid w:val="009759E3"/>
    <w:rsid w:val="009808F7"/>
    <w:rsid w:val="00980D9E"/>
    <w:rsid w:val="009865A0"/>
    <w:rsid w:val="009879CF"/>
    <w:rsid w:val="00987C70"/>
    <w:rsid w:val="009A57C5"/>
    <w:rsid w:val="009B769A"/>
    <w:rsid w:val="009C5892"/>
    <w:rsid w:val="009D16C7"/>
    <w:rsid w:val="00A061B0"/>
    <w:rsid w:val="00A3088E"/>
    <w:rsid w:val="00A41089"/>
    <w:rsid w:val="00A42B43"/>
    <w:rsid w:val="00A437A5"/>
    <w:rsid w:val="00A45FF9"/>
    <w:rsid w:val="00A46A04"/>
    <w:rsid w:val="00A46FE7"/>
    <w:rsid w:val="00A50664"/>
    <w:rsid w:val="00A52B4A"/>
    <w:rsid w:val="00A60C24"/>
    <w:rsid w:val="00A757E8"/>
    <w:rsid w:val="00A80AAD"/>
    <w:rsid w:val="00A811AD"/>
    <w:rsid w:val="00A924CF"/>
    <w:rsid w:val="00A967ED"/>
    <w:rsid w:val="00A979C9"/>
    <w:rsid w:val="00AA5B8F"/>
    <w:rsid w:val="00AB2257"/>
    <w:rsid w:val="00AB7C8B"/>
    <w:rsid w:val="00AC07C9"/>
    <w:rsid w:val="00AC2E0A"/>
    <w:rsid w:val="00AE3DAD"/>
    <w:rsid w:val="00AE5969"/>
    <w:rsid w:val="00AE7478"/>
    <w:rsid w:val="00AE7832"/>
    <w:rsid w:val="00AF2E57"/>
    <w:rsid w:val="00AF3EAD"/>
    <w:rsid w:val="00AF73DE"/>
    <w:rsid w:val="00B00436"/>
    <w:rsid w:val="00B01CF4"/>
    <w:rsid w:val="00B035A1"/>
    <w:rsid w:val="00B068AA"/>
    <w:rsid w:val="00B2121A"/>
    <w:rsid w:val="00B23B21"/>
    <w:rsid w:val="00B37B36"/>
    <w:rsid w:val="00B4666B"/>
    <w:rsid w:val="00B4672C"/>
    <w:rsid w:val="00B5132F"/>
    <w:rsid w:val="00B57109"/>
    <w:rsid w:val="00B81C47"/>
    <w:rsid w:val="00B84373"/>
    <w:rsid w:val="00B87788"/>
    <w:rsid w:val="00B97D22"/>
    <w:rsid w:val="00BA2446"/>
    <w:rsid w:val="00BB64B7"/>
    <w:rsid w:val="00BC4045"/>
    <w:rsid w:val="00BC5513"/>
    <w:rsid w:val="00BE1963"/>
    <w:rsid w:val="00BE3876"/>
    <w:rsid w:val="00C01D2E"/>
    <w:rsid w:val="00C065A8"/>
    <w:rsid w:val="00C07B47"/>
    <w:rsid w:val="00C1099B"/>
    <w:rsid w:val="00C115D5"/>
    <w:rsid w:val="00C15F2A"/>
    <w:rsid w:val="00C170FF"/>
    <w:rsid w:val="00C239AC"/>
    <w:rsid w:val="00C307AE"/>
    <w:rsid w:val="00C32FE3"/>
    <w:rsid w:val="00C41EDD"/>
    <w:rsid w:val="00C452FB"/>
    <w:rsid w:val="00C56B0F"/>
    <w:rsid w:val="00C67D55"/>
    <w:rsid w:val="00C703C0"/>
    <w:rsid w:val="00C71A3C"/>
    <w:rsid w:val="00C758DB"/>
    <w:rsid w:val="00C76400"/>
    <w:rsid w:val="00CA1217"/>
    <w:rsid w:val="00CB1407"/>
    <w:rsid w:val="00CB24DD"/>
    <w:rsid w:val="00CC056A"/>
    <w:rsid w:val="00CC2DA0"/>
    <w:rsid w:val="00CC3BCC"/>
    <w:rsid w:val="00CC44D1"/>
    <w:rsid w:val="00CC457B"/>
    <w:rsid w:val="00CC4B87"/>
    <w:rsid w:val="00CE3301"/>
    <w:rsid w:val="00CF04F5"/>
    <w:rsid w:val="00CF6305"/>
    <w:rsid w:val="00D03314"/>
    <w:rsid w:val="00D2080E"/>
    <w:rsid w:val="00D21290"/>
    <w:rsid w:val="00D24598"/>
    <w:rsid w:val="00D27A10"/>
    <w:rsid w:val="00D336C6"/>
    <w:rsid w:val="00D34DF6"/>
    <w:rsid w:val="00D35543"/>
    <w:rsid w:val="00D35D5B"/>
    <w:rsid w:val="00D3771F"/>
    <w:rsid w:val="00D3785B"/>
    <w:rsid w:val="00D55E87"/>
    <w:rsid w:val="00D60E74"/>
    <w:rsid w:val="00D61A81"/>
    <w:rsid w:val="00D65A11"/>
    <w:rsid w:val="00D72FF6"/>
    <w:rsid w:val="00D77DDB"/>
    <w:rsid w:val="00D84686"/>
    <w:rsid w:val="00D85DEC"/>
    <w:rsid w:val="00D87F9A"/>
    <w:rsid w:val="00D9555D"/>
    <w:rsid w:val="00DA71EE"/>
    <w:rsid w:val="00DB70DD"/>
    <w:rsid w:val="00DB7F61"/>
    <w:rsid w:val="00DC0AF5"/>
    <w:rsid w:val="00DC105C"/>
    <w:rsid w:val="00DC43B8"/>
    <w:rsid w:val="00DD022F"/>
    <w:rsid w:val="00DE05DE"/>
    <w:rsid w:val="00DE36DA"/>
    <w:rsid w:val="00DF5551"/>
    <w:rsid w:val="00E04D57"/>
    <w:rsid w:val="00E05AFE"/>
    <w:rsid w:val="00E05F67"/>
    <w:rsid w:val="00E21169"/>
    <w:rsid w:val="00E642A5"/>
    <w:rsid w:val="00E73E5B"/>
    <w:rsid w:val="00E91ADF"/>
    <w:rsid w:val="00EA23F0"/>
    <w:rsid w:val="00EA2D86"/>
    <w:rsid w:val="00EB0D02"/>
    <w:rsid w:val="00EB276D"/>
    <w:rsid w:val="00ED4447"/>
    <w:rsid w:val="00EE0C86"/>
    <w:rsid w:val="00EF4D99"/>
    <w:rsid w:val="00F03933"/>
    <w:rsid w:val="00F05BD3"/>
    <w:rsid w:val="00F11277"/>
    <w:rsid w:val="00F123B8"/>
    <w:rsid w:val="00F1280A"/>
    <w:rsid w:val="00F154D6"/>
    <w:rsid w:val="00F2395B"/>
    <w:rsid w:val="00F2530D"/>
    <w:rsid w:val="00F326E6"/>
    <w:rsid w:val="00F3550C"/>
    <w:rsid w:val="00F35E31"/>
    <w:rsid w:val="00F42CB3"/>
    <w:rsid w:val="00F4514E"/>
    <w:rsid w:val="00F53A26"/>
    <w:rsid w:val="00F63097"/>
    <w:rsid w:val="00F65B2B"/>
    <w:rsid w:val="00F670B7"/>
    <w:rsid w:val="00F85203"/>
    <w:rsid w:val="00F854CE"/>
    <w:rsid w:val="00F87EEF"/>
    <w:rsid w:val="00F91DBD"/>
    <w:rsid w:val="00F9507D"/>
    <w:rsid w:val="00FA55A5"/>
    <w:rsid w:val="00FA7181"/>
    <w:rsid w:val="00FB629A"/>
    <w:rsid w:val="00FC4EEA"/>
    <w:rsid w:val="00FD1D6C"/>
    <w:rsid w:val="00FE23F4"/>
    <w:rsid w:val="00FE4BEF"/>
    <w:rsid w:val="00FF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8EC4"/>
  <w15:docId w15:val="{48CAD5A4-DE44-4361-A972-72B95EE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088E"/>
    <w:rPr>
      <w:sz w:val="16"/>
      <w:szCs w:val="16"/>
    </w:rPr>
  </w:style>
  <w:style w:type="paragraph" w:styleId="CommentText">
    <w:name w:val="annotation text"/>
    <w:basedOn w:val="Normal"/>
    <w:link w:val="CommentTextChar"/>
    <w:uiPriority w:val="99"/>
    <w:semiHidden/>
    <w:unhideWhenUsed/>
    <w:rsid w:val="00A3088E"/>
    <w:pPr>
      <w:spacing w:line="240" w:lineRule="auto"/>
    </w:pPr>
    <w:rPr>
      <w:sz w:val="20"/>
      <w:szCs w:val="20"/>
    </w:rPr>
  </w:style>
  <w:style w:type="character" w:customStyle="1" w:styleId="CommentTextChar">
    <w:name w:val="Comment Text Char"/>
    <w:basedOn w:val="DefaultParagraphFont"/>
    <w:link w:val="CommentText"/>
    <w:uiPriority w:val="99"/>
    <w:semiHidden/>
    <w:rsid w:val="00A3088E"/>
    <w:rPr>
      <w:sz w:val="20"/>
      <w:szCs w:val="20"/>
    </w:rPr>
  </w:style>
  <w:style w:type="paragraph" w:styleId="CommentSubject">
    <w:name w:val="annotation subject"/>
    <w:basedOn w:val="CommentText"/>
    <w:next w:val="CommentText"/>
    <w:link w:val="CommentSubjectChar"/>
    <w:uiPriority w:val="99"/>
    <w:semiHidden/>
    <w:unhideWhenUsed/>
    <w:rsid w:val="00A3088E"/>
    <w:rPr>
      <w:b/>
      <w:bCs/>
    </w:rPr>
  </w:style>
  <w:style w:type="character" w:customStyle="1" w:styleId="CommentSubjectChar">
    <w:name w:val="Comment Subject Char"/>
    <w:basedOn w:val="CommentTextChar"/>
    <w:link w:val="CommentSubject"/>
    <w:uiPriority w:val="99"/>
    <w:semiHidden/>
    <w:rsid w:val="00A3088E"/>
    <w:rPr>
      <w:b/>
      <w:bCs/>
      <w:sz w:val="20"/>
      <w:szCs w:val="20"/>
    </w:rPr>
  </w:style>
  <w:style w:type="paragraph" w:styleId="BalloonText">
    <w:name w:val="Balloon Text"/>
    <w:basedOn w:val="Normal"/>
    <w:link w:val="BalloonTextChar"/>
    <w:uiPriority w:val="99"/>
    <w:semiHidden/>
    <w:unhideWhenUsed/>
    <w:rsid w:val="00A3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8E"/>
    <w:rPr>
      <w:rFonts w:ascii="Tahoma" w:hAnsi="Tahoma" w:cs="Tahoma"/>
      <w:sz w:val="16"/>
      <w:szCs w:val="16"/>
    </w:rPr>
  </w:style>
  <w:style w:type="paragraph" w:styleId="Header">
    <w:name w:val="header"/>
    <w:basedOn w:val="Normal"/>
    <w:link w:val="HeaderChar"/>
    <w:uiPriority w:val="99"/>
    <w:unhideWhenUsed/>
    <w:rsid w:val="0028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35"/>
  </w:style>
  <w:style w:type="paragraph" w:styleId="Footer">
    <w:name w:val="footer"/>
    <w:basedOn w:val="Normal"/>
    <w:link w:val="FooterChar"/>
    <w:uiPriority w:val="99"/>
    <w:unhideWhenUsed/>
    <w:rsid w:val="0028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35"/>
  </w:style>
  <w:style w:type="paragraph" w:styleId="NormalWeb">
    <w:name w:val="Normal (Web)"/>
    <w:basedOn w:val="Normal"/>
    <w:uiPriority w:val="99"/>
    <w:unhideWhenUsed/>
    <w:rsid w:val="003009A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969"/>
    <w:pPr>
      <w:ind w:left="720"/>
      <w:contextualSpacing/>
    </w:pPr>
  </w:style>
  <w:style w:type="paragraph" w:styleId="PlainText">
    <w:name w:val="Plain Text"/>
    <w:basedOn w:val="Normal"/>
    <w:link w:val="PlainTextChar"/>
    <w:uiPriority w:val="99"/>
    <w:unhideWhenUsed/>
    <w:rsid w:val="0066390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63905"/>
    <w:rPr>
      <w:rFonts w:ascii="Calibri" w:hAnsi="Calibri"/>
      <w:szCs w:val="21"/>
    </w:rPr>
  </w:style>
  <w:style w:type="character" w:customStyle="1" w:styleId="indented">
    <w:name w:val="indented"/>
    <w:basedOn w:val="DefaultParagraphFont"/>
    <w:rsid w:val="00093161"/>
  </w:style>
  <w:style w:type="paragraph" w:styleId="TOC2">
    <w:name w:val="toc 2"/>
    <w:basedOn w:val="Normal"/>
    <w:next w:val="Normal"/>
    <w:autoRedefine/>
    <w:uiPriority w:val="39"/>
    <w:qFormat/>
    <w:rsid w:val="00431A65"/>
    <w:pPr>
      <w:tabs>
        <w:tab w:val="right" w:leader="dot" w:pos="9350"/>
      </w:tabs>
      <w:autoSpaceDE w:val="0"/>
      <w:autoSpaceDN w:val="0"/>
      <w:adjustRightInd w:val="0"/>
      <w:spacing w:after="0" w:line="240" w:lineRule="auto"/>
      <w:ind w:left="1080" w:hanging="540"/>
      <w:jc w:val="both"/>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AFE"/>
  </w:style>
  <w:style w:type="character" w:styleId="Hyperlink">
    <w:name w:val="Hyperlink"/>
    <w:basedOn w:val="DefaultParagraphFont"/>
    <w:uiPriority w:val="99"/>
    <w:semiHidden/>
    <w:unhideWhenUsed/>
    <w:rsid w:val="00760CDB"/>
    <w:rPr>
      <w:color w:val="0000FF"/>
      <w:u w:val="single"/>
    </w:rPr>
  </w:style>
  <w:style w:type="paragraph" w:styleId="NoSpacing">
    <w:name w:val="No Spacing"/>
    <w:basedOn w:val="Normal"/>
    <w:link w:val="NoSpacingChar"/>
    <w:uiPriority w:val="1"/>
    <w:qFormat/>
    <w:rsid w:val="005A38F0"/>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5A38F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2083">
      <w:bodyDiv w:val="1"/>
      <w:marLeft w:val="0"/>
      <w:marRight w:val="0"/>
      <w:marTop w:val="0"/>
      <w:marBottom w:val="0"/>
      <w:divBdr>
        <w:top w:val="none" w:sz="0" w:space="0" w:color="auto"/>
        <w:left w:val="none" w:sz="0" w:space="0" w:color="auto"/>
        <w:bottom w:val="none" w:sz="0" w:space="0" w:color="auto"/>
        <w:right w:val="none" w:sz="0" w:space="0" w:color="auto"/>
      </w:divBdr>
    </w:div>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223881067">
      <w:bodyDiv w:val="1"/>
      <w:marLeft w:val="0"/>
      <w:marRight w:val="0"/>
      <w:marTop w:val="0"/>
      <w:marBottom w:val="0"/>
      <w:divBdr>
        <w:top w:val="none" w:sz="0" w:space="0" w:color="auto"/>
        <w:left w:val="none" w:sz="0" w:space="0" w:color="auto"/>
        <w:bottom w:val="none" w:sz="0" w:space="0" w:color="auto"/>
        <w:right w:val="none" w:sz="0" w:space="0" w:color="auto"/>
      </w:divBdr>
    </w:div>
    <w:div w:id="283394133">
      <w:bodyDiv w:val="1"/>
      <w:marLeft w:val="0"/>
      <w:marRight w:val="0"/>
      <w:marTop w:val="0"/>
      <w:marBottom w:val="0"/>
      <w:divBdr>
        <w:top w:val="none" w:sz="0" w:space="0" w:color="auto"/>
        <w:left w:val="none" w:sz="0" w:space="0" w:color="auto"/>
        <w:bottom w:val="none" w:sz="0" w:space="0" w:color="auto"/>
        <w:right w:val="none" w:sz="0" w:space="0" w:color="auto"/>
      </w:divBdr>
    </w:div>
    <w:div w:id="284654167">
      <w:bodyDiv w:val="1"/>
      <w:marLeft w:val="0"/>
      <w:marRight w:val="0"/>
      <w:marTop w:val="0"/>
      <w:marBottom w:val="0"/>
      <w:divBdr>
        <w:top w:val="none" w:sz="0" w:space="0" w:color="auto"/>
        <w:left w:val="none" w:sz="0" w:space="0" w:color="auto"/>
        <w:bottom w:val="none" w:sz="0" w:space="0" w:color="auto"/>
        <w:right w:val="none" w:sz="0" w:space="0" w:color="auto"/>
      </w:divBdr>
    </w:div>
    <w:div w:id="421146235">
      <w:bodyDiv w:val="1"/>
      <w:marLeft w:val="0"/>
      <w:marRight w:val="0"/>
      <w:marTop w:val="0"/>
      <w:marBottom w:val="0"/>
      <w:divBdr>
        <w:top w:val="none" w:sz="0" w:space="0" w:color="auto"/>
        <w:left w:val="none" w:sz="0" w:space="0" w:color="auto"/>
        <w:bottom w:val="none" w:sz="0" w:space="0" w:color="auto"/>
        <w:right w:val="none" w:sz="0" w:space="0" w:color="auto"/>
      </w:divBdr>
    </w:div>
    <w:div w:id="477455362">
      <w:bodyDiv w:val="1"/>
      <w:marLeft w:val="0"/>
      <w:marRight w:val="0"/>
      <w:marTop w:val="0"/>
      <w:marBottom w:val="0"/>
      <w:divBdr>
        <w:top w:val="none" w:sz="0" w:space="0" w:color="auto"/>
        <w:left w:val="none" w:sz="0" w:space="0" w:color="auto"/>
        <w:bottom w:val="none" w:sz="0" w:space="0" w:color="auto"/>
        <w:right w:val="none" w:sz="0" w:space="0" w:color="auto"/>
      </w:divBdr>
    </w:div>
    <w:div w:id="516849174">
      <w:bodyDiv w:val="1"/>
      <w:marLeft w:val="0"/>
      <w:marRight w:val="0"/>
      <w:marTop w:val="0"/>
      <w:marBottom w:val="0"/>
      <w:divBdr>
        <w:top w:val="none" w:sz="0" w:space="0" w:color="auto"/>
        <w:left w:val="none" w:sz="0" w:space="0" w:color="auto"/>
        <w:bottom w:val="none" w:sz="0" w:space="0" w:color="auto"/>
        <w:right w:val="none" w:sz="0" w:space="0" w:color="auto"/>
      </w:divBdr>
    </w:div>
    <w:div w:id="590815037">
      <w:bodyDiv w:val="1"/>
      <w:marLeft w:val="0"/>
      <w:marRight w:val="0"/>
      <w:marTop w:val="0"/>
      <w:marBottom w:val="0"/>
      <w:divBdr>
        <w:top w:val="none" w:sz="0" w:space="0" w:color="auto"/>
        <w:left w:val="none" w:sz="0" w:space="0" w:color="auto"/>
        <w:bottom w:val="none" w:sz="0" w:space="0" w:color="auto"/>
        <w:right w:val="none" w:sz="0" w:space="0" w:color="auto"/>
      </w:divBdr>
    </w:div>
    <w:div w:id="810750641">
      <w:bodyDiv w:val="1"/>
      <w:marLeft w:val="0"/>
      <w:marRight w:val="0"/>
      <w:marTop w:val="0"/>
      <w:marBottom w:val="0"/>
      <w:divBdr>
        <w:top w:val="none" w:sz="0" w:space="0" w:color="auto"/>
        <w:left w:val="none" w:sz="0" w:space="0" w:color="auto"/>
        <w:bottom w:val="none" w:sz="0" w:space="0" w:color="auto"/>
        <w:right w:val="none" w:sz="0" w:space="0" w:color="auto"/>
      </w:divBdr>
    </w:div>
    <w:div w:id="978193496">
      <w:bodyDiv w:val="1"/>
      <w:marLeft w:val="0"/>
      <w:marRight w:val="0"/>
      <w:marTop w:val="0"/>
      <w:marBottom w:val="0"/>
      <w:divBdr>
        <w:top w:val="none" w:sz="0" w:space="0" w:color="auto"/>
        <w:left w:val="none" w:sz="0" w:space="0" w:color="auto"/>
        <w:bottom w:val="none" w:sz="0" w:space="0" w:color="auto"/>
        <w:right w:val="none" w:sz="0" w:space="0" w:color="auto"/>
      </w:divBdr>
    </w:div>
    <w:div w:id="1263418099">
      <w:bodyDiv w:val="1"/>
      <w:marLeft w:val="0"/>
      <w:marRight w:val="0"/>
      <w:marTop w:val="0"/>
      <w:marBottom w:val="0"/>
      <w:divBdr>
        <w:top w:val="none" w:sz="0" w:space="0" w:color="auto"/>
        <w:left w:val="none" w:sz="0" w:space="0" w:color="auto"/>
        <w:bottom w:val="none" w:sz="0" w:space="0" w:color="auto"/>
        <w:right w:val="none" w:sz="0" w:space="0" w:color="auto"/>
      </w:divBdr>
    </w:div>
    <w:div w:id="1274633473">
      <w:bodyDiv w:val="1"/>
      <w:marLeft w:val="0"/>
      <w:marRight w:val="0"/>
      <w:marTop w:val="0"/>
      <w:marBottom w:val="0"/>
      <w:divBdr>
        <w:top w:val="none" w:sz="0" w:space="0" w:color="auto"/>
        <w:left w:val="none" w:sz="0" w:space="0" w:color="auto"/>
        <w:bottom w:val="none" w:sz="0" w:space="0" w:color="auto"/>
        <w:right w:val="none" w:sz="0" w:space="0" w:color="auto"/>
      </w:divBdr>
    </w:div>
    <w:div w:id="1389576735">
      <w:bodyDiv w:val="1"/>
      <w:marLeft w:val="0"/>
      <w:marRight w:val="0"/>
      <w:marTop w:val="0"/>
      <w:marBottom w:val="0"/>
      <w:divBdr>
        <w:top w:val="none" w:sz="0" w:space="0" w:color="auto"/>
        <w:left w:val="none" w:sz="0" w:space="0" w:color="auto"/>
        <w:bottom w:val="none" w:sz="0" w:space="0" w:color="auto"/>
        <w:right w:val="none" w:sz="0" w:space="0" w:color="auto"/>
      </w:divBdr>
    </w:div>
    <w:div w:id="1396053928">
      <w:bodyDiv w:val="1"/>
      <w:marLeft w:val="0"/>
      <w:marRight w:val="0"/>
      <w:marTop w:val="0"/>
      <w:marBottom w:val="0"/>
      <w:divBdr>
        <w:top w:val="none" w:sz="0" w:space="0" w:color="auto"/>
        <w:left w:val="none" w:sz="0" w:space="0" w:color="auto"/>
        <w:bottom w:val="none" w:sz="0" w:space="0" w:color="auto"/>
        <w:right w:val="none" w:sz="0" w:space="0" w:color="auto"/>
      </w:divBdr>
    </w:div>
    <w:div w:id="1500391720">
      <w:bodyDiv w:val="1"/>
      <w:marLeft w:val="0"/>
      <w:marRight w:val="0"/>
      <w:marTop w:val="0"/>
      <w:marBottom w:val="0"/>
      <w:divBdr>
        <w:top w:val="none" w:sz="0" w:space="0" w:color="auto"/>
        <w:left w:val="none" w:sz="0" w:space="0" w:color="auto"/>
        <w:bottom w:val="none" w:sz="0" w:space="0" w:color="auto"/>
        <w:right w:val="none" w:sz="0" w:space="0" w:color="auto"/>
      </w:divBdr>
    </w:div>
    <w:div w:id="1607729385">
      <w:bodyDiv w:val="1"/>
      <w:marLeft w:val="0"/>
      <w:marRight w:val="0"/>
      <w:marTop w:val="0"/>
      <w:marBottom w:val="0"/>
      <w:divBdr>
        <w:top w:val="none" w:sz="0" w:space="0" w:color="auto"/>
        <w:left w:val="none" w:sz="0" w:space="0" w:color="auto"/>
        <w:bottom w:val="none" w:sz="0" w:space="0" w:color="auto"/>
        <w:right w:val="none" w:sz="0" w:space="0" w:color="auto"/>
      </w:divBdr>
    </w:div>
    <w:div w:id="1707952460">
      <w:bodyDiv w:val="1"/>
      <w:marLeft w:val="0"/>
      <w:marRight w:val="0"/>
      <w:marTop w:val="0"/>
      <w:marBottom w:val="0"/>
      <w:divBdr>
        <w:top w:val="none" w:sz="0" w:space="0" w:color="auto"/>
        <w:left w:val="none" w:sz="0" w:space="0" w:color="auto"/>
        <w:bottom w:val="none" w:sz="0" w:space="0" w:color="auto"/>
        <w:right w:val="none" w:sz="0" w:space="0" w:color="auto"/>
      </w:divBdr>
    </w:div>
    <w:div w:id="1744181145">
      <w:bodyDiv w:val="1"/>
      <w:marLeft w:val="0"/>
      <w:marRight w:val="0"/>
      <w:marTop w:val="0"/>
      <w:marBottom w:val="0"/>
      <w:divBdr>
        <w:top w:val="none" w:sz="0" w:space="0" w:color="auto"/>
        <w:left w:val="none" w:sz="0" w:space="0" w:color="auto"/>
        <w:bottom w:val="none" w:sz="0" w:space="0" w:color="auto"/>
        <w:right w:val="none" w:sz="0" w:space="0" w:color="auto"/>
      </w:divBdr>
    </w:div>
    <w:div w:id="1818105524">
      <w:bodyDiv w:val="1"/>
      <w:marLeft w:val="0"/>
      <w:marRight w:val="0"/>
      <w:marTop w:val="0"/>
      <w:marBottom w:val="0"/>
      <w:divBdr>
        <w:top w:val="none" w:sz="0" w:space="0" w:color="auto"/>
        <w:left w:val="none" w:sz="0" w:space="0" w:color="auto"/>
        <w:bottom w:val="none" w:sz="0" w:space="0" w:color="auto"/>
        <w:right w:val="none" w:sz="0" w:space="0" w:color="auto"/>
      </w:divBdr>
    </w:div>
    <w:div w:id="1938127032">
      <w:bodyDiv w:val="1"/>
      <w:marLeft w:val="0"/>
      <w:marRight w:val="0"/>
      <w:marTop w:val="0"/>
      <w:marBottom w:val="0"/>
      <w:divBdr>
        <w:top w:val="none" w:sz="0" w:space="0" w:color="auto"/>
        <w:left w:val="none" w:sz="0" w:space="0" w:color="auto"/>
        <w:bottom w:val="none" w:sz="0" w:space="0" w:color="auto"/>
        <w:right w:val="none" w:sz="0" w:space="0" w:color="auto"/>
      </w:divBdr>
    </w:div>
    <w:div w:id="19495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D68AE-8886-4D00-B989-71F69A45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Snelick</dc:creator>
  <cp:lastModifiedBy>Taylor, Sheryl L. (Fed)</cp:lastModifiedBy>
  <cp:revision>3</cp:revision>
  <cp:lastPrinted>2016-02-25T19:43:00Z</cp:lastPrinted>
  <dcterms:created xsi:type="dcterms:W3CDTF">2016-05-04T14:46:00Z</dcterms:created>
  <dcterms:modified xsi:type="dcterms:W3CDTF">2016-05-04T14:48:00Z</dcterms:modified>
</cp:coreProperties>
</file>