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E594B" w14:textId="154AB9EF" w:rsidR="007A49DD" w:rsidRPr="00A41089" w:rsidRDefault="00A757E8">
      <w:pPr>
        <w:rPr>
          <w:b/>
          <w:sz w:val="28"/>
          <w:szCs w:val="28"/>
          <w:u w:val="single"/>
        </w:rPr>
      </w:pPr>
      <w:r>
        <w:rPr>
          <w:b/>
          <w:sz w:val="28"/>
          <w:szCs w:val="28"/>
          <w:u w:val="single"/>
        </w:rPr>
        <w:t>Syndromic Surveillance</w:t>
      </w:r>
      <w:r w:rsidR="00973F9F" w:rsidRPr="00973F9F">
        <w:rPr>
          <w:b/>
          <w:sz w:val="28"/>
          <w:szCs w:val="28"/>
          <w:u w:val="single"/>
        </w:rPr>
        <w:t xml:space="preserve"> Test </w:t>
      </w:r>
      <w:r>
        <w:rPr>
          <w:b/>
          <w:sz w:val="28"/>
          <w:szCs w:val="28"/>
          <w:u w:val="single"/>
        </w:rPr>
        <w:t>Suite</w:t>
      </w:r>
      <w:r w:rsidR="00973F9F" w:rsidRPr="00973F9F">
        <w:rPr>
          <w:b/>
          <w:sz w:val="28"/>
          <w:szCs w:val="28"/>
          <w:u w:val="single"/>
        </w:rPr>
        <w:t xml:space="preserve"> </w:t>
      </w:r>
      <w:r w:rsidR="00973F9F" w:rsidRPr="00A41089">
        <w:rPr>
          <w:b/>
          <w:sz w:val="28"/>
          <w:szCs w:val="28"/>
          <w:u w:val="single"/>
        </w:rPr>
        <w:t xml:space="preserve">Release Notes </w:t>
      </w:r>
      <w:r w:rsidR="00973F9F" w:rsidRPr="004C3A54">
        <w:rPr>
          <w:b/>
          <w:sz w:val="28"/>
          <w:szCs w:val="28"/>
          <w:u w:val="single"/>
        </w:rPr>
        <w:t xml:space="preserve">for </w:t>
      </w:r>
      <w:r w:rsidR="000756FC" w:rsidRPr="004C3A54">
        <w:rPr>
          <w:b/>
          <w:sz w:val="28"/>
          <w:szCs w:val="28"/>
          <w:u w:val="single"/>
        </w:rPr>
        <w:t>1.</w:t>
      </w:r>
      <w:r w:rsidR="000945B7">
        <w:rPr>
          <w:b/>
          <w:sz w:val="28"/>
          <w:szCs w:val="28"/>
          <w:u w:val="single"/>
        </w:rPr>
        <w:t>4</w:t>
      </w:r>
      <w:r w:rsidR="00CE3301" w:rsidRPr="004C3A54">
        <w:rPr>
          <w:b/>
          <w:sz w:val="28"/>
          <w:szCs w:val="28"/>
          <w:u w:val="single"/>
        </w:rPr>
        <w:t>.0</w:t>
      </w:r>
      <w:r w:rsidR="00041F71" w:rsidRPr="004C3A54">
        <w:rPr>
          <w:b/>
          <w:sz w:val="28"/>
          <w:szCs w:val="28"/>
          <w:u w:val="single"/>
        </w:rPr>
        <w:t xml:space="preserve"> </w:t>
      </w:r>
      <w:r w:rsidR="000945B7">
        <w:rPr>
          <w:b/>
          <w:sz w:val="28"/>
          <w:szCs w:val="28"/>
          <w:u w:val="single"/>
        </w:rPr>
        <w:t>June 8</w:t>
      </w:r>
      <w:r w:rsidR="005628DA">
        <w:rPr>
          <w:b/>
          <w:sz w:val="28"/>
          <w:szCs w:val="28"/>
          <w:u w:val="single"/>
        </w:rPr>
        <w:t>,</w:t>
      </w:r>
      <w:r w:rsidR="000756FC" w:rsidRPr="00A41089">
        <w:rPr>
          <w:b/>
          <w:sz w:val="28"/>
          <w:szCs w:val="28"/>
          <w:u w:val="single"/>
        </w:rPr>
        <w:t xml:space="preserve"> 201</w:t>
      </w:r>
      <w:r w:rsidR="00CC4B87" w:rsidRPr="00A41089">
        <w:rPr>
          <w:b/>
          <w:sz w:val="28"/>
          <w:szCs w:val="28"/>
          <w:u w:val="single"/>
        </w:rPr>
        <w:t>6</w:t>
      </w:r>
    </w:p>
    <w:p w14:paraId="2F58F1E1" w14:textId="742CF661" w:rsidR="00CC2DA0" w:rsidRDefault="004B64E1" w:rsidP="00431A65">
      <w:r>
        <w:t xml:space="preserve">Test </w:t>
      </w:r>
      <w:r w:rsidR="00412050">
        <w:t>Data</w:t>
      </w:r>
    </w:p>
    <w:tbl>
      <w:tblPr>
        <w:tblStyle w:val="TableGrid"/>
        <w:tblW w:w="0" w:type="auto"/>
        <w:tblLayout w:type="fixed"/>
        <w:tblLook w:val="04A0" w:firstRow="1" w:lastRow="0" w:firstColumn="1" w:lastColumn="0" w:noHBand="0" w:noVBand="1"/>
      </w:tblPr>
      <w:tblGrid>
        <w:gridCol w:w="1885"/>
        <w:gridCol w:w="3330"/>
        <w:gridCol w:w="4135"/>
      </w:tblGrid>
      <w:tr w:rsidR="00412050" w14:paraId="43FAB0AF" w14:textId="77777777" w:rsidTr="00457AFF">
        <w:trPr>
          <w:tblHeader/>
        </w:trPr>
        <w:tc>
          <w:tcPr>
            <w:tcW w:w="1885" w:type="dxa"/>
          </w:tcPr>
          <w:p w14:paraId="5BEA1C90" w14:textId="77777777" w:rsidR="00412050" w:rsidRPr="00412050" w:rsidRDefault="00412050">
            <w:pPr>
              <w:rPr>
                <w:b/>
              </w:rPr>
            </w:pPr>
            <w:r w:rsidRPr="00412050">
              <w:rPr>
                <w:b/>
              </w:rPr>
              <w:t>Test Case</w:t>
            </w:r>
          </w:p>
        </w:tc>
        <w:tc>
          <w:tcPr>
            <w:tcW w:w="3330" w:type="dxa"/>
          </w:tcPr>
          <w:p w14:paraId="3F56B98C" w14:textId="77777777" w:rsidR="00412050" w:rsidRPr="00412050" w:rsidRDefault="00412050">
            <w:pPr>
              <w:rPr>
                <w:b/>
              </w:rPr>
            </w:pPr>
            <w:r w:rsidRPr="00412050">
              <w:rPr>
                <w:b/>
              </w:rPr>
              <w:t>Issue</w:t>
            </w:r>
          </w:p>
        </w:tc>
        <w:tc>
          <w:tcPr>
            <w:tcW w:w="4135" w:type="dxa"/>
          </w:tcPr>
          <w:p w14:paraId="7D1905A6" w14:textId="77777777" w:rsidR="00412050" w:rsidRPr="00412050" w:rsidRDefault="00412050">
            <w:pPr>
              <w:rPr>
                <w:b/>
              </w:rPr>
            </w:pPr>
            <w:r w:rsidRPr="00412050">
              <w:rPr>
                <w:b/>
              </w:rPr>
              <w:t>Resolution</w:t>
            </w:r>
          </w:p>
        </w:tc>
      </w:tr>
      <w:tr w:rsidR="00CC2DA0" w14:paraId="1540FF33" w14:textId="77777777" w:rsidTr="00216DF9">
        <w:trPr>
          <w:trHeight w:val="323"/>
        </w:trPr>
        <w:tc>
          <w:tcPr>
            <w:tcW w:w="1885" w:type="dxa"/>
          </w:tcPr>
          <w:p w14:paraId="6F672C7E" w14:textId="54736EDC" w:rsidR="00CC2DA0" w:rsidRPr="00CB1407" w:rsidRDefault="007710B5" w:rsidP="00CC2DA0">
            <w:r>
              <w:t>None</w:t>
            </w:r>
          </w:p>
        </w:tc>
        <w:tc>
          <w:tcPr>
            <w:tcW w:w="3330" w:type="dxa"/>
          </w:tcPr>
          <w:p w14:paraId="6422D79B" w14:textId="69FC81C5" w:rsidR="00CC2DA0" w:rsidRPr="00CB1407" w:rsidRDefault="00CC2DA0" w:rsidP="00CC2DA0"/>
        </w:tc>
        <w:tc>
          <w:tcPr>
            <w:tcW w:w="4135" w:type="dxa"/>
          </w:tcPr>
          <w:p w14:paraId="27B63CA3" w14:textId="40C894AD" w:rsidR="00CC2DA0" w:rsidRPr="001B2B78" w:rsidRDefault="00CC2DA0" w:rsidP="001B2B78">
            <w:pPr>
              <w:rPr>
                <w:shd w:val="clear" w:color="auto" w:fill="FFFFFF"/>
              </w:rPr>
            </w:pPr>
          </w:p>
        </w:tc>
      </w:tr>
    </w:tbl>
    <w:p w14:paraId="7F282D34" w14:textId="77777777" w:rsidR="00DD022F" w:rsidRDefault="00DD022F" w:rsidP="00420C09"/>
    <w:p w14:paraId="062DBC3F" w14:textId="77777777" w:rsidR="00420C09" w:rsidRDefault="00987C70" w:rsidP="00420C09">
      <w:r>
        <w:t xml:space="preserve">Specific </w:t>
      </w:r>
      <w:r w:rsidR="00420C09">
        <w:t>Validation</w:t>
      </w:r>
    </w:p>
    <w:tbl>
      <w:tblPr>
        <w:tblStyle w:val="TableGrid"/>
        <w:tblW w:w="0" w:type="auto"/>
        <w:tblLayout w:type="fixed"/>
        <w:tblLook w:val="04A0" w:firstRow="1" w:lastRow="0" w:firstColumn="1" w:lastColumn="0" w:noHBand="0" w:noVBand="1"/>
      </w:tblPr>
      <w:tblGrid>
        <w:gridCol w:w="4405"/>
        <w:gridCol w:w="4945"/>
      </w:tblGrid>
      <w:tr w:rsidR="008C4252" w14:paraId="3F1D3BB4" w14:textId="77777777" w:rsidTr="008535C1">
        <w:tc>
          <w:tcPr>
            <w:tcW w:w="4405" w:type="dxa"/>
            <w:tcBorders>
              <w:bottom w:val="single" w:sz="4" w:space="0" w:color="auto"/>
            </w:tcBorders>
          </w:tcPr>
          <w:p w14:paraId="239B6D11" w14:textId="77777777" w:rsidR="00D65A11" w:rsidRPr="00412050" w:rsidRDefault="00D65A11" w:rsidP="003269D6">
            <w:pPr>
              <w:rPr>
                <w:b/>
              </w:rPr>
            </w:pPr>
            <w:r w:rsidRPr="00412050">
              <w:rPr>
                <w:b/>
              </w:rPr>
              <w:t>Issue</w:t>
            </w:r>
          </w:p>
        </w:tc>
        <w:tc>
          <w:tcPr>
            <w:tcW w:w="4945" w:type="dxa"/>
            <w:tcBorders>
              <w:bottom w:val="single" w:sz="4" w:space="0" w:color="auto"/>
            </w:tcBorders>
          </w:tcPr>
          <w:p w14:paraId="1CB3F726" w14:textId="77777777" w:rsidR="00D65A11" w:rsidRPr="00412050" w:rsidRDefault="00D65A11" w:rsidP="003269D6">
            <w:pPr>
              <w:rPr>
                <w:b/>
              </w:rPr>
            </w:pPr>
            <w:r w:rsidRPr="00412050">
              <w:rPr>
                <w:b/>
              </w:rPr>
              <w:t>Resolution</w:t>
            </w:r>
          </w:p>
        </w:tc>
      </w:tr>
      <w:tr w:rsidR="006D1B8F" w14:paraId="02B9E3A8" w14:textId="77777777" w:rsidTr="001346D6">
        <w:tc>
          <w:tcPr>
            <w:tcW w:w="4405" w:type="dxa"/>
          </w:tcPr>
          <w:p w14:paraId="69E99D08" w14:textId="77777777" w:rsidR="001D332E" w:rsidRPr="002E43D5" w:rsidRDefault="001D332E" w:rsidP="001D332E">
            <w:pPr>
              <w:jc w:val="both"/>
              <w:rPr>
                <w:rFonts w:cs="Arial"/>
              </w:rPr>
            </w:pPr>
            <w:r w:rsidRPr="002E43D5">
              <w:rPr>
                <w:rFonts w:cs="Arial"/>
              </w:rPr>
              <w:t xml:space="preserve">The prior version of the ONC Test Procedure document for the </w:t>
            </w:r>
            <w:r w:rsidRPr="002E43D5">
              <w:rPr>
                <w:rFonts w:cs="Calibri"/>
              </w:rPr>
              <w:t>§170.315(f)(2) Transmission to public health agencies – syndromic surveillance</w:t>
            </w:r>
            <w:r>
              <w:rPr>
                <w:rFonts w:cs="Calibri"/>
              </w:rPr>
              <w:t xml:space="preserve"> criterion stated:</w:t>
            </w:r>
          </w:p>
          <w:p w14:paraId="423A3AE9" w14:textId="77777777" w:rsidR="001D332E" w:rsidRPr="002E43D5" w:rsidRDefault="001D332E" w:rsidP="001D332E">
            <w:pPr>
              <w:jc w:val="both"/>
              <w:rPr>
                <w:rFonts w:cs="Arial"/>
              </w:rPr>
            </w:pPr>
            <w:r>
              <w:rPr>
                <w:rFonts w:cs="Arial"/>
              </w:rPr>
              <w:t>“</w:t>
            </w:r>
            <w:r w:rsidRPr="002E43D5">
              <w:rPr>
                <w:rFonts w:cs="Arial"/>
              </w:rPr>
              <w:t>The Health IT module creates syndromic surveillance content using ONC Supplied Test data for each of the test cases under the ONC 2015 Certification Test Plan on the Context-Based Validation Tab of the NIST HL7 v2Syndromic Surveillance Test Suite.</w:t>
            </w:r>
            <w:r w:rsidRPr="002E43D5">
              <w:rPr>
                <w:rStyle w:val="apple-converted-space"/>
                <w:rFonts w:cs="Arial"/>
              </w:rPr>
              <w:t> </w:t>
            </w:r>
            <w:r w:rsidRPr="002E43D5">
              <w:rPr>
                <w:rFonts w:cs="Arial"/>
                <w:shd w:val="clear" w:color="auto" w:fill="FFFF00"/>
              </w:rPr>
              <w:t xml:space="preserve">All test cases are required. </w:t>
            </w:r>
            <w:r w:rsidRPr="002E43D5">
              <w:rPr>
                <w:rFonts w:cs="Arial"/>
              </w:rPr>
              <w:t>Input may be performed using manual or automated processes.”</w:t>
            </w:r>
          </w:p>
          <w:p w14:paraId="4EF2D1EA" w14:textId="77777777" w:rsidR="001D332E" w:rsidRPr="002E43D5" w:rsidRDefault="001D332E" w:rsidP="001D332E">
            <w:pPr>
              <w:jc w:val="both"/>
              <w:rPr>
                <w:rFonts w:cs="Arial"/>
              </w:rPr>
            </w:pPr>
          </w:p>
          <w:p w14:paraId="546BCC9B" w14:textId="77777777" w:rsidR="001D332E" w:rsidRPr="006E6AB3" w:rsidRDefault="001D332E" w:rsidP="001D332E">
            <w:pPr>
              <w:jc w:val="both"/>
            </w:pPr>
            <w:r w:rsidRPr="002E43D5">
              <w:t xml:space="preserve">In response to objections from vendors whose Health IT Modules are not applicable to all of the health care </w:t>
            </w:r>
            <w:r w:rsidRPr="006E6AB3">
              <w:t xml:space="preserve">settings named in the </w:t>
            </w:r>
            <w:r w:rsidRPr="006E6AB3">
              <w:rPr>
                <w:i/>
              </w:rPr>
              <w:t>HL7 v2.5.1 PHIN Messaging Guide for Syndromic Surveillance: Emergency Department, Urgent Care, Inpatient and Ambulatory Care Settings, Release 2.0, April 21, 2015</w:t>
            </w:r>
            <w:r w:rsidRPr="006E6AB3">
              <w:t xml:space="preserve">, </w:t>
            </w:r>
            <w:r w:rsidRPr="006E6AB3">
              <w:rPr>
                <w:i/>
              </w:rPr>
              <w:t>and Erratum to the CDC PHIN 2.0 Implementation Guide, August 20, 2015</w:t>
            </w:r>
            <w:r>
              <w:t xml:space="preserve">, </w:t>
            </w:r>
            <w:r w:rsidRPr="006E6AB3">
              <w:t xml:space="preserve">the </w:t>
            </w:r>
            <w:r w:rsidRPr="006E6AB3">
              <w:rPr>
                <w:rFonts w:cs="Arial"/>
              </w:rPr>
              <w:t xml:space="preserve">ONC Test Procedure document was modified as of 4/28/16 to state: </w:t>
            </w:r>
          </w:p>
          <w:p w14:paraId="2D06AF1E" w14:textId="77777777" w:rsidR="001D332E" w:rsidRDefault="001D332E" w:rsidP="001D332E">
            <w:pPr>
              <w:jc w:val="both"/>
              <w:rPr>
                <w:rFonts w:cs="Arial"/>
              </w:rPr>
            </w:pPr>
            <w:r w:rsidRPr="002E43D5">
              <w:rPr>
                <w:rFonts w:cs="Arial"/>
                <w:shd w:val="clear" w:color="auto" w:fill="FFFF00"/>
              </w:rPr>
              <w:t xml:space="preserve">The health IT developer identifies which of the health care setting(s) (Emergency Department, Inpatient, Urgent Care) are applicable to the system under test. </w:t>
            </w:r>
            <w:r w:rsidRPr="002E43D5">
              <w:rPr>
                <w:rFonts w:cs="Arial"/>
              </w:rPr>
              <w:t>The Health IT Module creates syndromic surveillance content using ONC Supplied Test data for each of the test cases for the identified health care setting(s) under the ONC 2015 Certification Test Plan on</w:t>
            </w:r>
            <w:r>
              <w:rPr>
                <w:rFonts w:cs="Arial"/>
              </w:rPr>
              <w:t xml:space="preserve"> </w:t>
            </w:r>
            <w:r w:rsidRPr="002E43D5">
              <w:rPr>
                <w:rFonts w:cs="Arial"/>
              </w:rPr>
              <w:t>the Context-Based Validation Tab of the NIST HL7 v2 Syndromic Surveillance Test Suite.</w:t>
            </w:r>
            <w:r w:rsidRPr="002E43D5">
              <w:rPr>
                <w:rStyle w:val="apple-converted-space"/>
                <w:rFonts w:cs="Arial"/>
              </w:rPr>
              <w:t> </w:t>
            </w:r>
            <w:r w:rsidRPr="002E43D5">
              <w:rPr>
                <w:rFonts w:cs="Arial"/>
                <w:shd w:val="clear" w:color="auto" w:fill="FFFF00"/>
              </w:rPr>
              <w:t xml:space="preserve">All test cases are required that apply to the health care setting(s) supported by the system under </w:t>
            </w:r>
            <w:r w:rsidRPr="002E43D5">
              <w:rPr>
                <w:rFonts w:cs="Arial"/>
                <w:shd w:val="clear" w:color="auto" w:fill="FFFF00"/>
              </w:rPr>
              <w:lastRenderedPageBreak/>
              <w:t>test.</w:t>
            </w:r>
            <w:r w:rsidRPr="002E43D5">
              <w:rPr>
                <w:rStyle w:val="apple-converted-space"/>
                <w:rFonts w:cs="Arial"/>
              </w:rPr>
              <w:t> </w:t>
            </w:r>
            <w:r w:rsidRPr="002E43D5">
              <w:rPr>
                <w:rFonts w:cs="Arial"/>
              </w:rPr>
              <w:t>Input may be performed using manual or automated processes.</w:t>
            </w:r>
          </w:p>
          <w:p w14:paraId="7478CAEA" w14:textId="77777777" w:rsidR="001D332E" w:rsidRDefault="001D332E" w:rsidP="001D332E">
            <w:pPr>
              <w:jc w:val="both"/>
              <w:rPr>
                <w:rFonts w:cs="Arial"/>
              </w:rPr>
            </w:pPr>
          </w:p>
          <w:p w14:paraId="590D7BFA" w14:textId="59363839" w:rsidR="001D332E" w:rsidRDefault="00912FEA" w:rsidP="001D332E">
            <w:pPr>
              <w:jc w:val="both"/>
            </w:pPr>
            <w:r>
              <w:t>I</w:t>
            </w:r>
            <w:r w:rsidRPr="006E6AB3">
              <w:t>n order to be conformant to the PHIN Messaging Guide and associated Erratum</w:t>
            </w:r>
            <w:r>
              <w:t xml:space="preserve">, </w:t>
            </w:r>
            <w:r w:rsidR="001D332E" w:rsidRPr="006E6AB3">
              <w:t>HIT developers must demonstrate</w:t>
            </w:r>
            <w:r>
              <w:t xml:space="preserve"> for certification testing</w:t>
            </w:r>
            <w:r w:rsidR="001D332E" w:rsidRPr="006E6AB3">
              <w:t xml:space="preserve"> that their Module supports ICD-9CM, ICD-10CM, and SNOMED CT value sets for PV2-3 (Admit/Encounter Rea</w:t>
            </w:r>
            <w:r>
              <w:t>son) and DG1-3 (Diagnosis Code).</w:t>
            </w:r>
          </w:p>
          <w:p w14:paraId="53ABE312" w14:textId="77777777" w:rsidR="00724FA6" w:rsidRDefault="00724FA6" w:rsidP="001D332E">
            <w:pPr>
              <w:rPr>
                <w:rFonts w:eastAsia="Times New Roman" w:cs="Times New Roman"/>
              </w:rPr>
            </w:pPr>
          </w:p>
          <w:p w14:paraId="1A821D93" w14:textId="77777777" w:rsidR="001D332E" w:rsidRDefault="001D332E" w:rsidP="001D332E">
            <w:pPr>
              <w:jc w:val="both"/>
              <w:rPr>
                <w:rFonts w:cs="Arial"/>
              </w:rPr>
            </w:pPr>
            <w:r>
              <w:rPr>
                <w:rFonts w:cs="Arial"/>
              </w:rPr>
              <w:t xml:space="preserve">The Test Cases and Test Data in the Edition 2015 NIST Syndromic Surveillance Test Tool were designed to support certification testing using all of the Test Cases.  </w:t>
            </w:r>
          </w:p>
          <w:p w14:paraId="0CB5575D" w14:textId="77777777" w:rsidR="001D332E" w:rsidRPr="006E6AB3" w:rsidRDefault="001D332E" w:rsidP="001D332E">
            <w:pPr>
              <w:pStyle w:val="ListParagraph"/>
              <w:numPr>
                <w:ilvl w:val="0"/>
                <w:numId w:val="14"/>
              </w:numPr>
              <w:ind w:left="252" w:hanging="252"/>
              <w:jc w:val="both"/>
            </w:pPr>
            <w:r>
              <w:t>The Urgent Care Visit Test Case was designed to test the HIT Module’s support for ICD-9CM codes</w:t>
            </w:r>
          </w:p>
          <w:p w14:paraId="485E008C" w14:textId="77777777" w:rsidR="001D332E" w:rsidRDefault="001D332E" w:rsidP="001D332E">
            <w:pPr>
              <w:pStyle w:val="ListParagraph"/>
              <w:numPr>
                <w:ilvl w:val="0"/>
                <w:numId w:val="14"/>
              </w:numPr>
              <w:ind w:left="252" w:hanging="252"/>
              <w:jc w:val="both"/>
            </w:pPr>
            <w:r>
              <w:t>The ED Visit with Mortality and Inpatient Visit Test Cases were designed to test the HIT Module’s support for ICD-10CM codes</w:t>
            </w:r>
          </w:p>
          <w:p w14:paraId="527E3161" w14:textId="0C021EA3" w:rsidR="001D332E" w:rsidRPr="001D332E" w:rsidRDefault="001D332E" w:rsidP="001D332E">
            <w:pPr>
              <w:pStyle w:val="ListParagraph"/>
              <w:numPr>
                <w:ilvl w:val="0"/>
                <w:numId w:val="14"/>
              </w:numPr>
              <w:ind w:left="252" w:hanging="252"/>
              <w:jc w:val="both"/>
            </w:pPr>
            <w:r>
              <w:t>The ED Visit with Inpatient Admission Test Case was designed to test the HIT Module’s support for SNOMED-CT codes</w:t>
            </w:r>
          </w:p>
        </w:tc>
        <w:tc>
          <w:tcPr>
            <w:tcW w:w="4945" w:type="dxa"/>
          </w:tcPr>
          <w:p w14:paraId="4AB290DE" w14:textId="379AFAD7" w:rsidR="001D332E" w:rsidRDefault="001D332E" w:rsidP="001D332E">
            <w:pPr>
              <w:jc w:val="both"/>
              <w:rPr>
                <w:rFonts w:cs="Arial"/>
              </w:rPr>
            </w:pPr>
            <w:r>
              <w:rPr>
                <w:rFonts w:cs="Arial"/>
              </w:rPr>
              <w:lastRenderedPageBreak/>
              <w:t xml:space="preserve">In the NIST Syndromic Surveillance Test Tool, verbiage has been added in the </w:t>
            </w:r>
            <w:r w:rsidRPr="00976D04">
              <w:rPr>
                <w:rFonts w:cs="Arial"/>
                <w:b/>
              </w:rPr>
              <w:t>Notes for Testers</w:t>
            </w:r>
            <w:r>
              <w:rPr>
                <w:rFonts w:cs="Arial"/>
              </w:rPr>
              <w:t xml:space="preserve"> </w:t>
            </w:r>
            <w:r w:rsidRPr="00976D04">
              <w:rPr>
                <w:rFonts w:cs="Arial"/>
                <w:b/>
              </w:rPr>
              <w:t>section</w:t>
            </w:r>
            <w:r>
              <w:rPr>
                <w:rFonts w:cs="Arial"/>
              </w:rPr>
              <w:t xml:space="preserve"> of the </w:t>
            </w:r>
            <w:r w:rsidRPr="00976D04">
              <w:rPr>
                <w:rFonts w:cs="Arial"/>
                <w:b/>
              </w:rPr>
              <w:t>Test Story tab</w:t>
            </w:r>
            <w:r>
              <w:rPr>
                <w:rFonts w:cs="Arial"/>
              </w:rPr>
              <w:t xml:space="preserve"> </w:t>
            </w:r>
            <w:r w:rsidRPr="001D332E">
              <w:rPr>
                <w:rFonts w:cs="Arial"/>
                <w:b/>
              </w:rPr>
              <w:t>for each Test Step</w:t>
            </w:r>
            <w:r>
              <w:rPr>
                <w:rFonts w:cs="Arial"/>
              </w:rPr>
              <w:t xml:space="preserve"> to provide detailed instructions to the Tester regarding how to ensure testing includes demonstration of support for </w:t>
            </w:r>
            <w:r w:rsidRPr="006E6AB3">
              <w:t xml:space="preserve">ICD-9CM, ICD-10CM, and SNOMED CT value sets </w:t>
            </w:r>
            <w:r>
              <w:t xml:space="preserve">for PV2-3 and DG1-3 </w:t>
            </w:r>
            <w:r w:rsidR="009641A3">
              <w:t>for instances when</w:t>
            </w:r>
            <w:r>
              <w:t xml:space="preserve"> </w:t>
            </w:r>
            <w:r>
              <w:rPr>
                <w:rFonts w:cs="Arial"/>
              </w:rPr>
              <w:t>an HIT developer indicates their Module does not support all of the health care settings.</w:t>
            </w:r>
          </w:p>
          <w:p w14:paraId="4E392E81" w14:textId="3AAEBEC8" w:rsidR="00945F5B" w:rsidRPr="007710B5" w:rsidRDefault="00945F5B" w:rsidP="002405D6"/>
        </w:tc>
      </w:tr>
    </w:tbl>
    <w:p w14:paraId="0C52AF0C" w14:textId="77777777" w:rsidR="00642A60" w:rsidRDefault="00642A60" w:rsidP="007A49DD">
      <w:pPr>
        <w:spacing w:after="120" w:line="240" w:lineRule="auto"/>
      </w:pPr>
    </w:p>
    <w:p w14:paraId="6A2B5F6A" w14:textId="6E351DA6" w:rsidR="007A49DD" w:rsidRDefault="007A49DD" w:rsidP="007A49DD">
      <w:pPr>
        <w:spacing w:after="120" w:line="240" w:lineRule="auto"/>
      </w:pPr>
      <w:r>
        <w:t>Documentation</w:t>
      </w:r>
    </w:p>
    <w:tbl>
      <w:tblPr>
        <w:tblStyle w:val="TableGrid"/>
        <w:tblW w:w="0" w:type="auto"/>
        <w:tblLook w:val="04A0" w:firstRow="1" w:lastRow="0" w:firstColumn="1" w:lastColumn="0" w:noHBand="0" w:noVBand="1"/>
      </w:tblPr>
      <w:tblGrid>
        <w:gridCol w:w="4385"/>
        <w:gridCol w:w="4965"/>
      </w:tblGrid>
      <w:tr w:rsidR="007A49DD" w14:paraId="78715BB5" w14:textId="77777777" w:rsidTr="00384C88">
        <w:trPr>
          <w:tblHeader/>
        </w:trPr>
        <w:tc>
          <w:tcPr>
            <w:tcW w:w="4385" w:type="dxa"/>
          </w:tcPr>
          <w:p w14:paraId="1CF867D0" w14:textId="77777777" w:rsidR="007A49DD" w:rsidRPr="00412050" w:rsidRDefault="007A49DD" w:rsidP="00F758E1">
            <w:pPr>
              <w:rPr>
                <w:b/>
              </w:rPr>
            </w:pPr>
            <w:r w:rsidRPr="00412050">
              <w:rPr>
                <w:b/>
              </w:rPr>
              <w:t>Issue</w:t>
            </w:r>
          </w:p>
        </w:tc>
        <w:tc>
          <w:tcPr>
            <w:tcW w:w="4965" w:type="dxa"/>
          </w:tcPr>
          <w:p w14:paraId="00B3452C" w14:textId="77777777" w:rsidR="007A49DD" w:rsidRPr="00412050" w:rsidRDefault="007A49DD" w:rsidP="00F758E1">
            <w:pPr>
              <w:rPr>
                <w:b/>
              </w:rPr>
            </w:pPr>
            <w:r w:rsidRPr="00412050">
              <w:rPr>
                <w:b/>
              </w:rPr>
              <w:t>Resolution</w:t>
            </w:r>
          </w:p>
        </w:tc>
      </w:tr>
      <w:tr w:rsidR="005A38F0" w:rsidRPr="005A38F0" w14:paraId="57676DCE" w14:textId="77777777" w:rsidTr="00C703C0">
        <w:tc>
          <w:tcPr>
            <w:tcW w:w="4385" w:type="dxa"/>
            <w:shd w:val="clear" w:color="auto" w:fill="auto"/>
          </w:tcPr>
          <w:p w14:paraId="21DB395D" w14:textId="35DC840B" w:rsidR="002E43D5" w:rsidRPr="002E43D5" w:rsidRDefault="002E43D5" w:rsidP="002E43D5">
            <w:pPr>
              <w:jc w:val="both"/>
              <w:rPr>
                <w:rFonts w:cs="Arial"/>
              </w:rPr>
            </w:pPr>
            <w:r w:rsidRPr="002E43D5">
              <w:rPr>
                <w:rFonts w:cs="Arial"/>
              </w:rPr>
              <w:t xml:space="preserve">The prior version of the ONC Test Procedure document for the </w:t>
            </w:r>
            <w:r w:rsidRPr="002E43D5">
              <w:rPr>
                <w:rFonts w:cs="Calibri"/>
              </w:rPr>
              <w:t>§170.315(f)(2) Transmission to public health agencies – syndromic surveillance</w:t>
            </w:r>
            <w:r>
              <w:rPr>
                <w:rFonts w:cs="Calibri"/>
              </w:rPr>
              <w:t xml:space="preserve"> criterion stated:</w:t>
            </w:r>
          </w:p>
          <w:p w14:paraId="1F8943E6" w14:textId="2A0BBEEC" w:rsidR="002E43D5" w:rsidRPr="002E43D5" w:rsidRDefault="002E43D5" w:rsidP="002E43D5">
            <w:pPr>
              <w:jc w:val="both"/>
              <w:rPr>
                <w:rFonts w:cs="Arial"/>
              </w:rPr>
            </w:pPr>
            <w:r>
              <w:rPr>
                <w:rFonts w:cs="Arial"/>
              </w:rPr>
              <w:t>“</w:t>
            </w:r>
            <w:r w:rsidRPr="002E43D5">
              <w:rPr>
                <w:rFonts w:cs="Arial"/>
              </w:rPr>
              <w:t>The Health IT module creates syndromic surveillance content using ONC Supplied Test data for each of the test cases under the ONC 2015 Certification Test Plan on the Context-Based Validation Tab of the NIST HL7 v2Syndromic Surveillance Test Suite.</w:t>
            </w:r>
            <w:r w:rsidRPr="002E43D5">
              <w:rPr>
                <w:rStyle w:val="apple-converted-space"/>
                <w:rFonts w:cs="Arial"/>
              </w:rPr>
              <w:t> </w:t>
            </w:r>
            <w:r w:rsidRPr="002E43D5">
              <w:rPr>
                <w:rFonts w:cs="Arial"/>
                <w:shd w:val="clear" w:color="auto" w:fill="FFFF00"/>
              </w:rPr>
              <w:t>All test cases are required.</w:t>
            </w:r>
            <w:r w:rsidRPr="002E43D5">
              <w:rPr>
                <w:rFonts w:cs="Arial"/>
                <w:shd w:val="clear" w:color="auto" w:fill="FFFF00"/>
              </w:rPr>
              <w:t xml:space="preserve"> </w:t>
            </w:r>
            <w:r w:rsidRPr="002E43D5">
              <w:rPr>
                <w:rFonts w:cs="Arial"/>
              </w:rPr>
              <w:t>Input may be performed using manual or automated processes.</w:t>
            </w:r>
            <w:r w:rsidRPr="002E43D5">
              <w:rPr>
                <w:rFonts w:cs="Arial"/>
              </w:rPr>
              <w:t>”</w:t>
            </w:r>
          </w:p>
          <w:p w14:paraId="0A9AED03" w14:textId="77777777" w:rsidR="002E43D5" w:rsidRPr="002E43D5" w:rsidRDefault="002E43D5" w:rsidP="002E43D5">
            <w:pPr>
              <w:jc w:val="both"/>
              <w:rPr>
                <w:rFonts w:cs="Arial"/>
              </w:rPr>
            </w:pPr>
          </w:p>
          <w:p w14:paraId="19C84D37" w14:textId="04C1172F" w:rsidR="002E43D5" w:rsidRPr="006E6AB3" w:rsidRDefault="002E43D5" w:rsidP="002E43D5">
            <w:pPr>
              <w:jc w:val="both"/>
            </w:pPr>
            <w:r w:rsidRPr="002E43D5">
              <w:t xml:space="preserve">In response to objections from vendors whose Health IT Modules are not applicable to all of the health care </w:t>
            </w:r>
            <w:r w:rsidRPr="006E6AB3">
              <w:t xml:space="preserve">settings named in the </w:t>
            </w:r>
            <w:r w:rsidRPr="006E6AB3">
              <w:rPr>
                <w:i/>
              </w:rPr>
              <w:t>HL7 v2.5.1 PHIN Messaging Guide for Syndromic Surveillance: Emergency Department, Urgent Care, Inpatient and Ambulatory Care Settings, Release 2.0, April 21, 2015</w:t>
            </w:r>
            <w:r w:rsidRPr="006E6AB3">
              <w:t xml:space="preserve">, </w:t>
            </w:r>
            <w:r w:rsidR="006E6AB3" w:rsidRPr="006E6AB3">
              <w:rPr>
                <w:i/>
              </w:rPr>
              <w:t xml:space="preserve">and Erratum to the </w:t>
            </w:r>
            <w:r w:rsidR="006E6AB3" w:rsidRPr="006E6AB3">
              <w:rPr>
                <w:i/>
              </w:rPr>
              <w:lastRenderedPageBreak/>
              <w:t>CDC PHIN 2.0 Implementation Guide, August 20, 2015</w:t>
            </w:r>
            <w:r w:rsidR="006E6AB3">
              <w:t xml:space="preserve">, </w:t>
            </w:r>
            <w:r w:rsidRPr="006E6AB3">
              <w:t xml:space="preserve">the </w:t>
            </w:r>
            <w:r w:rsidRPr="006E6AB3">
              <w:rPr>
                <w:rFonts w:cs="Arial"/>
              </w:rPr>
              <w:t>ONC Test Procedure document</w:t>
            </w:r>
            <w:r w:rsidRPr="006E6AB3">
              <w:rPr>
                <w:rFonts w:cs="Arial"/>
              </w:rPr>
              <w:t xml:space="preserve"> was modified as of 4/28/16 to state: </w:t>
            </w:r>
          </w:p>
          <w:p w14:paraId="7585D11B" w14:textId="3006B355" w:rsidR="002E43D5" w:rsidRDefault="002E43D5" w:rsidP="002E43D5">
            <w:pPr>
              <w:jc w:val="both"/>
              <w:rPr>
                <w:rFonts w:cs="Arial"/>
              </w:rPr>
            </w:pPr>
            <w:r w:rsidRPr="002E43D5">
              <w:rPr>
                <w:rFonts w:cs="Arial"/>
                <w:shd w:val="clear" w:color="auto" w:fill="FFFF00"/>
              </w:rPr>
              <w:t xml:space="preserve">The health IT developer identifies which of the health care setting(s) (Emergency Department, Inpatient, Urgent Care) are applicable to the system under test. </w:t>
            </w:r>
            <w:r w:rsidRPr="002E43D5">
              <w:rPr>
                <w:rFonts w:cs="Arial"/>
              </w:rPr>
              <w:t>The Health IT Module creates syndromic surveillance content using ONC Supplied Test data for each of the test cases for the identified health care setting(s) under the ONC 2015 Certification Test Plan on the Context-Based Validation Tab of the NIST HL7 v2 Syndromic Surveillance Test Suite.</w:t>
            </w:r>
            <w:r w:rsidRPr="002E43D5">
              <w:rPr>
                <w:rStyle w:val="apple-converted-space"/>
                <w:rFonts w:cs="Arial"/>
              </w:rPr>
              <w:t> </w:t>
            </w:r>
            <w:r w:rsidRPr="002E43D5">
              <w:rPr>
                <w:rFonts w:cs="Arial"/>
                <w:shd w:val="clear" w:color="auto" w:fill="FFFF00"/>
              </w:rPr>
              <w:t>All test cases are required that apply to the health care setting(s) supported by the system under test.</w:t>
            </w:r>
            <w:r w:rsidRPr="002E43D5">
              <w:rPr>
                <w:rStyle w:val="apple-converted-space"/>
                <w:rFonts w:cs="Arial"/>
              </w:rPr>
              <w:t> </w:t>
            </w:r>
            <w:r w:rsidRPr="002E43D5">
              <w:rPr>
                <w:rFonts w:cs="Arial"/>
              </w:rPr>
              <w:t>Input may be performed using manual or automated processes.</w:t>
            </w:r>
          </w:p>
          <w:p w14:paraId="0C1A92C8" w14:textId="3433CC46" w:rsidR="002E43D5" w:rsidRDefault="002E43D5" w:rsidP="002E43D5">
            <w:pPr>
              <w:jc w:val="both"/>
              <w:rPr>
                <w:rFonts w:cs="Arial"/>
              </w:rPr>
            </w:pPr>
          </w:p>
          <w:p w14:paraId="3E4BE953" w14:textId="31B79931" w:rsidR="00912FEA" w:rsidRDefault="00912FEA" w:rsidP="00912FEA">
            <w:pPr>
              <w:jc w:val="both"/>
            </w:pPr>
            <w:r>
              <w:t>I</w:t>
            </w:r>
            <w:r w:rsidRPr="006E6AB3">
              <w:t>n order to be conformant to the PHIN Messaging Guide and associated Erratum</w:t>
            </w:r>
            <w:r>
              <w:t xml:space="preserve">, </w:t>
            </w:r>
            <w:r w:rsidRPr="006E6AB3">
              <w:t>HIT developers must demonstrate</w:t>
            </w:r>
            <w:r>
              <w:t xml:space="preserve"> for certification testing</w:t>
            </w:r>
            <w:r w:rsidRPr="006E6AB3">
              <w:t xml:space="preserve"> that their Module supports ICD-9CM, ICD-10CM, and SNOMED CT value sets for PV2-3 (Admit/Encounter Rea</w:t>
            </w:r>
            <w:r>
              <w:t>son) and DG1-3 (Diagnosis Code).</w:t>
            </w:r>
          </w:p>
          <w:p w14:paraId="75E7D2DE" w14:textId="77777777" w:rsidR="006E6AB3" w:rsidRDefault="006E6AB3" w:rsidP="002E43D5">
            <w:pPr>
              <w:jc w:val="both"/>
            </w:pPr>
          </w:p>
          <w:p w14:paraId="22C9BB8C" w14:textId="29242258" w:rsidR="006E6AB3" w:rsidRDefault="006E6AB3" w:rsidP="002E43D5">
            <w:pPr>
              <w:jc w:val="both"/>
              <w:rPr>
                <w:rFonts w:cs="Arial"/>
              </w:rPr>
            </w:pPr>
            <w:r>
              <w:rPr>
                <w:rFonts w:cs="Arial"/>
              </w:rPr>
              <w:t xml:space="preserve">The Test Cases and Test Data in the Edition 2015 NIST Syndromic Surveillance Test Tool were designed to support certification testing using all of the Test Cases.  </w:t>
            </w:r>
          </w:p>
          <w:p w14:paraId="6A4643F6" w14:textId="50C778BE" w:rsidR="006E6AB3" w:rsidRPr="006E6AB3" w:rsidRDefault="006E6AB3" w:rsidP="006E6AB3">
            <w:pPr>
              <w:pStyle w:val="ListParagraph"/>
              <w:numPr>
                <w:ilvl w:val="0"/>
                <w:numId w:val="14"/>
              </w:numPr>
              <w:ind w:left="252" w:hanging="252"/>
              <w:jc w:val="both"/>
            </w:pPr>
            <w:r>
              <w:t>The Urgent Care Visit Test Case was designed to test the HIT Module’s support for ICD-9CM codes</w:t>
            </w:r>
          </w:p>
          <w:p w14:paraId="5C1BFCA5" w14:textId="7D5C35CF" w:rsidR="006E6AB3" w:rsidRPr="006E6AB3" w:rsidRDefault="006E6AB3" w:rsidP="006E6AB3">
            <w:pPr>
              <w:pStyle w:val="ListParagraph"/>
              <w:numPr>
                <w:ilvl w:val="0"/>
                <w:numId w:val="14"/>
              </w:numPr>
              <w:ind w:left="252" w:hanging="252"/>
              <w:jc w:val="both"/>
            </w:pPr>
            <w:r>
              <w:t xml:space="preserve">The </w:t>
            </w:r>
            <w:r>
              <w:t>ED Visit with Mortality and Inpatient Visit</w:t>
            </w:r>
            <w:r>
              <w:t xml:space="preserve"> Test Case</w:t>
            </w:r>
            <w:r>
              <w:t>s</w:t>
            </w:r>
            <w:r>
              <w:t xml:space="preserve"> </w:t>
            </w:r>
            <w:r>
              <w:t>were</w:t>
            </w:r>
            <w:r>
              <w:t xml:space="preserve"> </w:t>
            </w:r>
            <w:r>
              <w:t>designed</w:t>
            </w:r>
            <w:r>
              <w:t xml:space="preserve"> to test the HIT Module’s support for ICD-</w:t>
            </w:r>
            <w:r>
              <w:t>10</w:t>
            </w:r>
            <w:r>
              <w:t>CM codes</w:t>
            </w:r>
          </w:p>
          <w:p w14:paraId="7C90674D" w14:textId="7787DF33" w:rsidR="005A38F0" w:rsidRPr="006E6AB3" w:rsidRDefault="006E6AB3" w:rsidP="006E6AB3">
            <w:pPr>
              <w:pStyle w:val="ListParagraph"/>
              <w:numPr>
                <w:ilvl w:val="0"/>
                <w:numId w:val="14"/>
              </w:numPr>
              <w:ind w:left="252" w:hanging="252"/>
              <w:jc w:val="both"/>
            </w:pPr>
            <w:r>
              <w:t xml:space="preserve">The ED Visit with </w:t>
            </w:r>
            <w:r>
              <w:t xml:space="preserve">Inpatient Admission </w:t>
            </w:r>
            <w:r>
              <w:t>Test Case</w:t>
            </w:r>
            <w:r>
              <w:t xml:space="preserve"> was</w:t>
            </w:r>
            <w:r>
              <w:t xml:space="preserve"> designed to test the HIT Module’s support for </w:t>
            </w:r>
            <w:r>
              <w:t>SNOMED-CT</w:t>
            </w:r>
            <w:r>
              <w:t xml:space="preserve"> codes</w:t>
            </w:r>
          </w:p>
        </w:tc>
        <w:tc>
          <w:tcPr>
            <w:tcW w:w="4965" w:type="dxa"/>
          </w:tcPr>
          <w:p w14:paraId="1A59B830" w14:textId="77777777" w:rsidR="001D332E" w:rsidRDefault="001D332E" w:rsidP="001D332E">
            <w:pPr>
              <w:rPr>
                <w:rFonts w:cs="Arial"/>
                <w:szCs w:val="18"/>
              </w:rPr>
            </w:pPr>
            <w:r>
              <w:rPr>
                <w:rFonts w:cs="Arial"/>
                <w:szCs w:val="18"/>
              </w:rPr>
              <w:lastRenderedPageBreak/>
              <w:t xml:space="preserve">The following modifications were made in the </w:t>
            </w:r>
            <w:r w:rsidRPr="001D332E">
              <w:rPr>
                <w:rFonts w:cs="Arial"/>
                <w:b/>
                <w:szCs w:val="18"/>
              </w:rPr>
              <w:t>NIST Syndromic Surveillance Normative Test Process Document</w:t>
            </w:r>
            <w:r>
              <w:rPr>
                <w:rFonts w:cs="Arial"/>
                <w:szCs w:val="18"/>
              </w:rPr>
              <w:t>:</w:t>
            </w:r>
          </w:p>
          <w:p w14:paraId="7EFBD317" w14:textId="77777777" w:rsidR="001D332E" w:rsidRPr="001D332E" w:rsidRDefault="001D332E" w:rsidP="001D332E">
            <w:pPr>
              <w:rPr>
                <w:rFonts w:cs="Arial"/>
                <w:szCs w:val="18"/>
                <w:u w:val="single"/>
              </w:rPr>
            </w:pPr>
            <w:r w:rsidRPr="001D332E">
              <w:rPr>
                <w:rFonts w:cs="Arial"/>
                <w:szCs w:val="18"/>
                <w:u w:val="single"/>
              </w:rPr>
              <w:t>Informative Test Description Section</w:t>
            </w:r>
          </w:p>
          <w:p w14:paraId="1DDE0867" w14:textId="77777777" w:rsidR="001D332E" w:rsidRPr="001D332E" w:rsidRDefault="001D332E" w:rsidP="001D332E">
            <w:pPr>
              <w:pStyle w:val="ListParagraph"/>
              <w:numPr>
                <w:ilvl w:val="0"/>
                <w:numId w:val="12"/>
              </w:numPr>
              <w:autoSpaceDE w:val="0"/>
              <w:autoSpaceDN w:val="0"/>
              <w:adjustRightInd w:val="0"/>
              <w:ind w:left="264" w:hanging="270"/>
              <w:rPr>
                <w:rFonts w:cs="Arial"/>
                <w:szCs w:val="18"/>
              </w:rPr>
            </w:pPr>
            <w:r w:rsidRPr="001D332E">
              <w:rPr>
                <w:rFonts w:cs="Arial"/>
                <w:szCs w:val="18"/>
              </w:rPr>
              <w:t>Information added to inform Testers that HIT developers must demonstrate that their Module supports ICD-9CM, ICD-10CM, and SNOMED CT value sets for PV2-3 (Admit/Encounter Reason) and DG1-3 (Diagnosis Code) in order to be conformant to the PHIN Messaging Guide and associated Erratum.</w:t>
            </w:r>
          </w:p>
          <w:p w14:paraId="69F51262" w14:textId="77777777" w:rsidR="001D332E" w:rsidRPr="001D332E" w:rsidRDefault="001D332E" w:rsidP="001D332E">
            <w:pPr>
              <w:rPr>
                <w:rFonts w:cs="Arial"/>
                <w:szCs w:val="18"/>
              </w:rPr>
            </w:pPr>
            <w:r w:rsidRPr="001D332E">
              <w:rPr>
                <w:rFonts w:cs="Arial"/>
                <w:szCs w:val="18"/>
                <w:u w:val="single"/>
              </w:rPr>
              <w:t>Test Data Section</w:t>
            </w:r>
            <w:r w:rsidRPr="001D332E">
              <w:rPr>
                <w:rFonts w:cs="Arial"/>
                <w:szCs w:val="18"/>
              </w:rPr>
              <w:t xml:space="preserve"> – Navigating a Test Case </w:t>
            </w:r>
          </w:p>
          <w:p w14:paraId="690A8F1E" w14:textId="77777777" w:rsidR="009641A3" w:rsidRDefault="001D332E" w:rsidP="009641A3">
            <w:pPr>
              <w:pStyle w:val="ListParagraph"/>
              <w:numPr>
                <w:ilvl w:val="0"/>
                <w:numId w:val="12"/>
              </w:numPr>
              <w:autoSpaceDE w:val="0"/>
              <w:autoSpaceDN w:val="0"/>
              <w:adjustRightInd w:val="0"/>
              <w:ind w:left="264" w:hanging="270"/>
              <w:rPr>
                <w:rFonts w:cs="Arial"/>
                <w:szCs w:val="18"/>
              </w:rPr>
            </w:pPr>
            <w:r w:rsidRPr="001D332E">
              <w:rPr>
                <w:rFonts w:cs="Arial"/>
                <w:szCs w:val="18"/>
              </w:rPr>
              <w:t>Explanation added to inform Testers how HIT developers must demonstrate that their Module supports ICD-9CM, ICD-10CM, and SNOMED CT value sets for PV2-3 (Admit/Encounter Reason) and DG1-3 (Diagnosis Code) in order to be conformant to the PHIN Messaging Guide and associated Erratum.</w:t>
            </w:r>
          </w:p>
          <w:p w14:paraId="4AD7E48A" w14:textId="53CBB858" w:rsidR="005A38F0" w:rsidRPr="009641A3" w:rsidRDefault="00A50E51" w:rsidP="00A50E51">
            <w:pPr>
              <w:pStyle w:val="ListParagraph"/>
              <w:numPr>
                <w:ilvl w:val="0"/>
                <w:numId w:val="12"/>
              </w:numPr>
              <w:autoSpaceDE w:val="0"/>
              <w:autoSpaceDN w:val="0"/>
              <w:adjustRightInd w:val="0"/>
              <w:ind w:left="264" w:hanging="270"/>
              <w:rPr>
                <w:rFonts w:cs="Arial"/>
                <w:szCs w:val="18"/>
              </w:rPr>
            </w:pPr>
            <w:r>
              <w:rPr>
                <w:rFonts w:cs="Arial"/>
                <w:szCs w:val="18"/>
              </w:rPr>
              <w:lastRenderedPageBreak/>
              <w:t xml:space="preserve">Column that shows </w:t>
            </w:r>
            <w:r w:rsidR="001D332E" w:rsidRPr="009641A3">
              <w:rPr>
                <w:rFonts w:cs="Arial"/>
                <w:szCs w:val="18"/>
              </w:rPr>
              <w:t xml:space="preserve">Value Set of Provided Codes </w:t>
            </w:r>
            <w:r>
              <w:rPr>
                <w:rFonts w:cs="Arial"/>
                <w:szCs w:val="18"/>
              </w:rPr>
              <w:t xml:space="preserve">for each Test Step </w:t>
            </w:r>
            <w:bookmarkStart w:id="0" w:name="_GoBack"/>
            <w:bookmarkEnd w:id="0"/>
            <w:r>
              <w:rPr>
                <w:rFonts w:cs="Arial"/>
                <w:szCs w:val="18"/>
              </w:rPr>
              <w:t>was</w:t>
            </w:r>
            <w:r w:rsidR="001D332E" w:rsidRPr="009641A3">
              <w:rPr>
                <w:rFonts w:cs="Arial"/>
                <w:szCs w:val="18"/>
              </w:rPr>
              <w:t xml:space="preserve"> added to Table 1</w:t>
            </w:r>
          </w:p>
        </w:tc>
      </w:tr>
    </w:tbl>
    <w:p w14:paraId="31BEBB5C" w14:textId="77777777" w:rsidR="001D332E" w:rsidRDefault="001D332E" w:rsidP="00987C70"/>
    <w:p w14:paraId="53FE5375" w14:textId="4F9F6A52" w:rsidR="00987C70" w:rsidRDefault="00987C70" w:rsidP="00987C70">
      <w:r>
        <w:t>User Interface</w:t>
      </w:r>
    </w:p>
    <w:tbl>
      <w:tblPr>
        <w:tblStyle w:val="TableGrid"/>
        <w:tblW w:w="0" w:type="auto"/>
        <w:tblLook w:val="04A0" w:firstRow="1" w:lastRow="0" w:firstColumn="1" w:lastColumn="0" w:noHBand="0" w:noVBand="1"/>
      </w:tblPr>
      <w:tblGrid>
        <w:gridCol w:w="4491"/>
        <w:gridCol w:w="4859"/>
      </w:tblGrid>
      <w:tr w:rsidR="00987C70" w14:paraId="1F46722B" w14:textId="77777777" w:rsidTr="00FE23F4">
        <w:trPr>
          <w:tblHeader/>
        </w:trPr>
        <w:tc>
          <w:tcPr>
            <w:tcW w:w="4491" w:type="dxa"/>
          </w:tcPr>
          <w:p w14:paraId="5ED49FD2" w14:textId="77777777" w:rsidR="00987C70" w:rsidRPr="00412050" w:rsidRDefault="00987C70" w:rsidP="003269D6">
            <w:pPr>
              <w:rPr>
                <w:b/>
              </w:rPr>
            </w:pPr>
            <w:r w:rsidRPr="00412050">
              <w:rPr>
                <w:b/>
              </w:rPr>
              <w:t>Issue</w:t>
            </w:r>
          </w:p>
        </w:tc>
        <w:tc>
          <w:tcPr>
            <w:tcW w:w="4859" w:type="dxa"/>
          </w:tcPr>
          <w:p w14:paraId="1E041FD8" w14:textId="77777777" w:rsidR="00987C70" w:rsidRPr="00412050" w:rsidRDefault="00987C70" w:rsidP="003269D6">
            <w:pPr>
              <w:rPr>
                <w:b/>
              </w:rPr>
            </w:pPr>
            <w:r w:rsidRPr="00412050">
              <w:rPr>
                <w:b/>
              </w:rPr>
              <w:t>Resolution</w:t>
            </w:r>
          </w:p>
        </w:tc>
      </w:tr>
      <w:tr w:rsidR="00F2395B" w14:paraId="46A2237B" w14:textId="77777777" w:rsidTr="00F2395B">
        <w:tc>
          <w:tcPr>
            <w:tcW w:w="4491" w:type="dxa"/>
          </w:tcPr>
          <w:p w14:paraId="6C96A725" w14:textId="7F2AE519" w:rsidR="008420B2" w:rsidRPr="00575173" w:rsidRDefault="007710B5" w:rsidP="00F2395B">
            <w:r>
              <w:t>None</w:t>
            </w:r>
          </w:p>
        </w:tc>
        <w:tc>
          <w:tcPr>
            <w:tcW w:w="4859" w:type="dxa"/>
          </w:tcPr>
          <w:p w14:paraId="6A973A3D" w14:textId="7521C9BA" w:rsidR="008420B2" w:rsidRPr="00575173" w:rsidRDefault="008420B2" w:rsidP="00642A60"/>
        </w:tc>
      </w:tr>
    </w:tbl>
    <w:p w14:paraId="5538000C" w14:textId="2F33FB21" w:rsidR="007D7C04" w:rsidRDefault="007D7C04" w:rsidP="001E20CE">
      <w:pPr>
        <w:spacing w:after="120"/>
      </w:pPr>
    </w:p>
    <w:p w14:paraId="6066A872" w14:textId="77777777" w:rsidR="00C758DB" w:rsidRDefault="00C758DB" w:rsidP="00C758DB">
      <w:r>
        <w:lastRenderedPageBreak/>
        <w:t>Core</w:t>
      </w:r>
      <w:r w:rsidR="0048361B">
        <w:t xml:space="preserve"> Functionality</w:t>
      </w:r>
    </w:p>
    <w:tbl>
      <w:tblPr>
        <w:tblStyle w:val="TableGrid"/>
        <w:tblW w:w="0" w:type="auto"/>
        <w:tblLook w:val="04A0" w:firstRow="1" w:lastRow="0" w:firstColumn="1" w:lastColumn="0" w:noHBand="0" w:noVBand="1"/>
      </w:tblPr>
      <w:tblGrid>
        <w:gridCol w:w="4388"/>
        <w:gridCol w:w="4962"/>
      </w:tblGrid>
      <w:tr w:rsidR="00C758DB" w14:paraId="2D00B8AE" w14:textId="77777777" w:rsidTr="001769C2">
        <w:tc>
          <w:tcPr>
            <w:tcW w:w="6228" w:type="dxa"/>
          </w:tcPr>
          <w:p w14:paraId="5D590051" w14:textId="77777777" w:rsidR="00C758DB" w:rsidRPr="00412050" w:rsidRDefault="00C758DB" w:rsidP="003269D6">
            <w:pPr>
              <w:rPr>
                <w:b/>
              </w:rPr>
            </w:pPr>
            <w:r w:rsidRPr="00412050">
              <w:rPr>
                <w:b/>
              </w:rPr>
              <w:t>Issue</w:t>
            </w:r>
          </w:p>
        </w:tc>
        <w:tc>
          <w:tcPr>
            <w:tcW w:w="6840" w:type="dxa"/>
          </w:tcPr>
          <w:p w14:paraId="3A6E1AA3" w14:textId="77777777" w:rsidR="00C758DB" w:rsidRPr="00412050" w:rsidRDefault="00C758DB" w:rsidP="003269D6">
            <w:pPr>
              <w:rPr>
                <w:b/>
              </w:rPr>
            </w:pPr>
            <w:r w:rsidRPr="00412050">
              <w:rPr>
                <w:b/>
              </w:rPr>
              <w:t>Resolution</w:t>
            </w:r>
          </w:p>
        </w:tc>
      </w:tr>
      <w:tr w:rsidR="00C758DB" w14:paraId="65D037DC" w14:textId="77777777" w:rsidTr="001769C2">
        <w:tc>
          <w:tcPr>
            <w:tcW w:w="6228" w:type="dxa"/>
          </w:tcPr>
          <w:p w14:paraId="0FB9C068" w14:textId="77777777" w:rsidR="00C758DB" w:rsidRDefault="007F68D5" w:rsidP="003269D6">
            <w:r>
              <w:t>None</w:t>
            </w:r>
          </w:p>
        </w:tc>
        <w:tc>
          <w:tcPr>
            <w:tcW w:w="6840" w:type="dxa"/>
          </w:tcPr>
          <w:p w14:paraId="64171D69" w14:textId="77777777" w:rsidR="00C758DB" w:rsidRDefault="00C758DB" w:rsidP="003269D6"/>
        </w:tc>
      </w:tr>
    </w:tbl>
    <w:p w14:paraId="7FFBD047" w14:textId="77777777" w:rsidR="00C758DB" w:rsidRDefault="00C758DB" w:rsidP="00420C09"/>
    <w:tbl>
      <w:tblPr>
        <w:tblStyle w:val="TableGrid"/>
        <w:tblW w:w="0" w:type="auto"/>
        <w:tblLook w:val="04A0" w:firstRow="1" w:lastRow="0" w:firstColumn="1" w:lastColumn="0" w:noHBand="0" w:noVBand="1"/>
      </w:tblPr>
      <w:tblGrid>
        <w:gridCol w:w="9350"/>
      </w:tblGrid>
      <w:tr w:rsidR="00242AB4" w14:paraId="0C1EB9EB" w14:textId="77777777" w:rsidTr="00B4672C">
        <w:tc>
          <w:tcPr>
            <w:tcW w:w="9350" w:type="dxa"/>
          </w:tcPr>
          <w:p w14:paraId="7A72406E" w14:textId="77777777" w:rsidR="00242AB4" w:rsidRPr="00412050" w:rsidRDefault="00242AB4" w:rsidP="009B6DA9">
            <w:pPr>
              <w:rPr>
                <w:b/>
              </w:rPr>
            </w:pPr>
            <w:r>
              <w:rPr>
                <w:b/>
              </w:rPr>
              <w:t>Improvements/Features</w:t>
            </w:r>
          </w:p>
        </w:tc>
      </w:tr>
      <w:tr w:rsidR="003009A2" w14:paraId="53F9C300" w14:textId="77777777" w:rsidTr="00B4672C">
        <w:tc>
          <w:tcPr>
            <w:tcW w:w="9350" w:type="dxa"/>
          </w:tcPr>
          <w:p w14:paraId="11CF2CE3" w14:textId="078DD772" w:rsidR="003009A2" w:rsidRPr="00760CDB" w:rsidRDefault="007710B5" w:rsidP="00760CDB">
            <w:pPr>
              <w:rPr>
                <w:color w:val="1F497D"/>
              </w:rPr>
            </w:pPr>
            <w:r>
              <w:rPr>
                <w:color w:val="1F497D"/>
              </w:rPr>
              <w:t>None</w:t>
            </w:r>
          </w:p>
        </w:tc>
      </w:tr>
    </w:tbl>
    <w:p w14:paraId="218C9D42" w14:textId="77777777" w:rsidR="00EA23F0" w:rsidRDefault="00EA23F0" w:rsidP="004C15EF"/>
    <w:p w14:paraId="29D3E61F" w14:textId="6591B2FE" w:rsidR="004C15EF" w:rsidRDefault="004C15EF" w:rsidP="004C15EF">
      <w:r>
        <w:t>Issues for a Future Release</w:t>
      </w:r>
    </w:p>
    <w:tbl>
      <w:tblPr>
        <w:tblStyle w:val="TableGrid"/>
        <w:tblW w:w="0" w:type="auto"/>
        <w:tblLook w:val="04A0" w:firstRow="1" w:lastRow="0" w:firstColumn="1" w:lastColumn="0" w:noHBand="0" w:noVBand="1"/>
      </w:tblPr>
      <w:tblGrid>
        <w:gridCol w:w="2470"/>
        <w:gridCol w:w="6880"/>
      </w:tblGrid>
      <w:tr w:rsidR="004C15EF" w14:paraId="52C50F50" w14:textId="77777777" w:rsidTr="00A757E8">
        <w:trPr>
          <w:cantSplit/>
        </w:trPr>
        <w:tc>
          <w:tcPr>
            <w:tcW w:w="2470" w:type="dxa"/>
          </w:tcPr>
          <w:p w14:paraId="41300010" w14:textId="77777777" w:rsidR="004C15EF" w:rsidRPr="00412050" w:rsidRDefault="004C15EF" w:rsidP="00F970ED">
            <w:pPr>
              <w:rPr>
                <w:b/>
              </w:rPr>
            </w:pPr>
            <w:r>
              <w:rPr>
                <w:b/>
              </w:rPr>
              <w:t>Test Case/if Applicable</w:t>
            </w:r>
          </w:p>
        </w:tc>
        <w:tc>
          <w:tcPr>
            <w:tcW w:w="6880" w:type="dxa"/>
          </w:tcPr>
          <w:p w14:paraId="697F469E" w14:textId="77777777" w:rsidR="004C15EF" w:rsidRPr="00412050" w:rsidRDefault="004C15EF" w:rsidP="00F970ED">
            <w:pPr>
              <w:rPr>
                <w:b/>
              </w:rPr>
            </w:pPr>
            <w:r>
              <w:rPr>
                <w:b/>
              </w:rPr>
              <w:t>Issue</w:t>
            </w:r>
          </w:p>
        </w:tc>
      </w:tr>
      <w:tr w:rsidR="00FD1D6C" w14:paraId="4CA1B46E" w14:textId="77777777" w:rsidTr="00A757E8">
        <w:trPr>
          <w:cantSplit/>
        </w:trPr>
        <w:tc>
          <w:tcPr>
            <w:tcW w:w="2470" w:type="dxa"/>
          </w:tcPr>
          <w:p w14:paraId="6CE949D3" w14:textId="6A2B14CB" w:rsidR="00FD1D6C" w:rsidRDefault="00A757E8" w:rsidP="00D8602C">
            <w:r>
              <w:t>None</w:t>
            </w:r>
          </w:p>
        </w:tc>
        <w:tc>
          <w:tcPr>
            <w:tcW w:w="6880" w:type="dxa"/>
          </w:tcPr>
          <w:p w14:paraId="4CC214B8" w14:textId="22218056" w:rsidR="00FD1D6C" w:rsidRDefault="00FD1D6C" w:rsidP="00D8602C"/>
        </w:tc>
      </w:tr>
    </w:tbl>
    <w:p w14:paraId="5F38E6E3" w14:textId="77777777" w:rsidR="00242AB4" w:rsidRDefault="00242AB4" w:rsidP="00237FAD"/>
    <w:p w14:paraId="24FE863B" w14:textId="77777777" w:rsidR="001320BE" w:rsidRDefault="001320BE"/>
    <w:sectPr w:rsidR="001320BE" w:rsidSect="00BA244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E0AF63" w14:textId="77777777" w:rsidR="00564F33" w:rsidRDefault="00564F33" w:rsidP="00281D35">
      <w:pPr>
        <w:spacing w:after="0" w:line="240" w:lineRule="auto"/>
      </w:pPr>
      <w:r>
        <w:separator/>
      </w:r>
    </w:p>
  </w:endnote>
  <w:endnote w:type="continuationSeparator" w:id="0">
    <w:p w14:paraId="2368ACC9" w14:textId="77777777" w:rsidR="00564F33" w:rsidRDefault="00564F33" w:rsidP="00281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276559"/>
      <w:docPartObj>
        <w:docPartGallery w:val="Page Numbers (Bottom of Page)"/>
        <w:docPartUnique/>
      </w:docPartObj>
    </w:sdtPr>
    <w:sdtEndPr>
      <w:rPr>
        <w:noProof/>
      </w:rPr>
    </w:sdtEndPr>
    <w:sdtContent>
      <w:p w14:paraId="4EC98952" w14:textId="15F84DCD" w:rsidR="007F68D5" w:rsidRDefault="00685BC6">
        <w:pPr>
          <w:pStyle w:val="Footer"/>
          <w:jc w:val="right"/>
        </w:pPr>
        <w:r>
          <w:fldChar w:fldCharType="begin"/>
        </w:r>
        <w:r w:rsidR="007F68D5">
          <w:instrText xml:space="preserve"> PAGE   \* MERGEFORMAT </w:instrText>
        </w:r>
        <w:r>
          <w:fldChar w:fldCharType="separate"/>
        </w:r>
        <w:r w:rsidR="00A50E51">
          <w:rPr>
            <w:noProof/>
          </w:rPr>
          <w:t>4</w:t>
        </w:r>
        <w:r>
          <w:rPr>
            <w:noProof/>
          </w:rPr>
          <w:fldChar w:fldCharType="end"/>
        </w:r>
      </w:p>
    </w:sdtContent>
  </w:sdt>
  <w:p w14:paraId="24A5E93B" w14:textId="77777777" w:rsidR="007F68D5" w:rsidRDefault="007F6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CA1E3" w14:textId="77777777" w:rsidR="00564F33" w:rsidRDefault="00564F33" w:rsidP="00281D35">
      <w:pPr>
        <w:spacing w:after="0" w:line="240" w:lineRule="auto"/>
      </w:pPr>
      <w:r>
        <w:separator/>
      </w:r>
    </w:p>
  </w:footnote>
  <w:footnote w:type="continuationSeparator" w:id="0">
    <w:p w14:paraId="6CA27E53" w14:textId="77777777" w:rsidR="00564F33" w:rsidRDefault="00564F33" w:rsidP="00281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551"/>
    <w:multiLevelType w:val="hybridMultilevel"/>
    <w:tmpl w:val="554CD3CE"/>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1" w15:restartNumberingAfterBreak="0">
    <w:nsid w:val="2CF61D7C"/>
    <w:multiLevelType w:val="hybridMultilevel"/>
    <w:tmpl w:val="9DCE6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D1233C"/>
    <w:multiLevelType w:val="hybridMultilevel"/>
    <w:tmpl w:val="15AA5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F95280"/>
    <w:multiLevelType w:val="hybridMultilevel"/>
    <w:tmpl w:val="9E8A7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B8073A"/>
    <w:multiLevelType w:val="hybridMultilevel"/>
    <w:tmpl w:val="E404F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B0A6757"/>
    <w:multiLevelType w:val="hybridMultilevel"/>
    <w:tmpl w:val="DD687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4270ADD"/>
    <w:multiLevelType w:val="multilevel"/>
    <w:tmpl w:val="032869D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64A730A1"/>
    <w:multiLevelType w:val="hybridMultilevel"/>
    <w:tmpl w:val="9E18A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AA1CB3"/>
    <w:multiLevelType w:val="hybridMultilevel"/>
    <w:tmpl w:val="4A40FF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70CE5E44"/>
    <w:multiLevelType w:val="hybridMultilevel"/>
    <w:tmpl w:val="C0FE4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3E908E7"/>
    <w:multiLevelType w:val="hybridMultilevel"/>
    <w:tmpl w:val="CB96B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F919DD"/>
    <w:multiLevelType w:val="hybridMultilevel"/>
    <w:tmpl w:val="EAE60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4"/>
  </w:num>
  <w:num w:numId="5">
    <w:abstractNumId w:val="6"/>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5"/>
  </w:num>
  <w:num w:numId="9">
    <w:abstractNumId w:val="8"/>
  </w:num>
  <w:num w:numId="10">
    <w:abstractNumId w:val="3"/>
  </w:num>
  <w:num w:numId="11">
    <w:abstractNumId w:val="10"/>
  </w:num>
  <w:num w:numId="12">
    <w:abstractNumId w:val="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0110"/>
    <w:rsid w:val="00003E79"/>
    <w:rsid w:val="00010023"/>
    <w:rsid w:val="00010D8B"/>
    <w:rsid w:val="00025E50"/>
    <w:rsid w:val="00031A53"/>
    <w:rsid w:val="00041F71"/>
    <w:rsid w:val="00051A67"/>
    <w:rsid w:val="000756FC"/>
    <w:rsid w:val="000839D8"/>
    <w:rsid w:val="000842F5"/>
    <w:rsid w:val="00085B48"/>
    <w:rsid w:val="00093161"/>
    <w:rsid w:val="000945B7"/>
    <w:rsid w:val="000A5C8B"/>
    <w:rsid w:val="000A60CA"/>
    <w:rsid w:val="000B2ED9"/>
    <w:rsid w:val="000B4373"/>
    <w:rsid w:val="000B4CE9"/>
    <w:rsid w:val="000B6724"/>
    <w:rsid w:val="000B6D15"/>
    <w:rsid w:val="000E1793"/>
    <w:rsid w:val="000E6E7A"/>
    <w:rsid w:val="001009B7"/>
    <w:rsid w:val="001037DE"/>
    <w:rsid w:val="001075F7"/>
    <w:rsid w:val="00120DE3"/>
    <w:rsid w:val="001256C6"/>
    <w:rsid w:val="001320BE"/>
    <w:rsid w:val="00133F79"/>
    <w:rsid w:val="001346D6"/>
    <w:rsid w:val="00136877"/>
    <w:rsid w:val="00152137"/>
    <w:rsid w:val="0016226B"/>
    <w:rsid w:val="00162701"/>
    <w:rsid w:val="001723F5"/>
    <w:rsid w:val="001769C2"/>
    <w:rsid w:val="001779A4"/>
    <w:rsid w:val="0018227D"/>
    <w:rsid w:val="001833C4"/>
    <w:rsid w:val="00187151"/>
    <w:rsid w:val="00187E99"/>
    <w:rsid w:val="00190F2C"/>
    <w:rsid w:val="001913A4"/>
    <w:rsid w:val="001953A7"/>
    <w:rsid w:val="001B2B78"/>
    <w:rsid w:val="001C6F18"/>
    <w:rsid w:val="001D28D4"/>
    <w:rsid w:val="001D332E"/>
    <w:rsid w:val="001D37EF"/>
    <w:rsid w:val="001D7BD8"/>
    <w:rsid w:val="001E0B84"/>
    <w:rsid w:val="001E20CE"/>
    <w:rsid w:val="001E5C65"/>
    <w:rsid w:val="0020244A"/>
    <w:rsid w:val="00203724"/>
    <w:rsid w:val="00207614"/>
    <w:rsid w:val="00213B0C"/>
    <w:rsid w:val="00213DA5"/>
    <w:rsid w:val="00216DF9"/>
    <w:rsid w:val="00222D79"/>
    <w:rsid w:val="00237FAD"/>
    <w:rsid w:val="002405D6"/>
    <w:rsid w:val="00242AB4"/>
    <w:rsid w:val="00242C21"/>
    <w:rsid w:val="002472FF"/>
    <w:rsid w:val="00247D39"/>
    <w:rsid w:val="0025447E"/>
    <w:rsid w:val="00257125"/>
    <w:rsid w:val="00265EC9"/>
    <w:rsid w:val="00270575"/>
    <w:rsid w:val="002748A8"/>
    <w:rsid w:val="0028157B"/>
    <w:rsid w:val="00281D35"/>
    <w:rsid w:val="00285F63"/>
    <w:rsid w:val="002877BE"/>
    <w:rsid w:val="0029614C"/>
    <w:rsid w:val="002A735E"/>
    <w:rsid w:val="002B3B16"/>
    <w:rsid w:val="002C3CC6"/>
    <w:rsid w:val="002C6D29"/>
    <w:rsid w:val="002E43D5"/>
    <w:rsid w:val="002E7509"/>
    <w:rsid w:val="002F3590"/>
    <w:rsid w:val="003009A2"/>
    <w:rsid w:val="00300E11"/>
    <w:rsid w:val="0030636A"/>
    <w:rsid w:val="00314531"/>
    <w:rsid w:val="003151B2"/>
    <w:rsid w:val="003552F1"/>
    <w:rsid w:val="00371999"/>
    <w:rsid w:val="00375537"/>
    <w:rsid w:val="003841C0"/>
    <w:rsid w:val="00384C88"/>
    <w:rsid w:val="003855AF"/>
    <w:rsid w:val="00391A4C"/>
    <w:rsid w:val="00391DD8"/>
    <w:rsid w:val="003924C6"/>
    <w:rsid w:val="00395072"/>
    <w:rsid w:val="003B19FB"/>
    <w:rsid w:val="003B2A51"/>
    <w:rsid w:val="003C4CE9"/>
    <w:rsid w:val="00412050"/>
    <w:rsid w:val="00420C09"/>
    <w:rsid w:val="00421357"/>
    <w:rsid w:val="00421A48"/>
    <w:rsid w:val="00431040"/>
    <w:rsid w:val="00431A65"/>
    <w:rsid w:val="00444A15"/>
    <w:rsid w:val="004524B4"/>
    <w:rsid w:val="00457AFF"/>
    <w:rsid w:val="004644E1"/>
    <w:rsid w:val="00482A34"/>
    <w:rsid w:val="0048361B"/>
    <w:rsid w:val="00484FA0"/>
    <w:rsid w:val="00491BCD"/>
    <w:rsid w:val="004966F5"/>
    <w:rsid w:val="004B5B5F"/>
    <w:rsid w:val="004B64E1"/>
    <w:rsid w:val="004B68B9"/>
    <w:rsid w:val="004C15EF"/>
    <w:rsid w:val="004C16D0"/>
    <w:rsid w:val="004C3A54"/>
    <w:rsid w:val="004D751D"/>
    <w:rsid w:val="004E0260"/>
    <w:rsid w:val="004E34A5"/>
    <w:rsid w:val="004F3A9C"/>
    <w:rsid w:val="005064E6"/>
    <w:rsid w:val="00512B9E"/>
    <w:rsid w:val="00512E30"/>
    <w:rsid w:val="00514889"/>
    <w:rsid w:val="005165BB"/>
    <w:rsid w:val="005209A6"/>
    <w:rsid w:val="00520FFB"/>
    <w:rsid w:val="00530EC4"/>
    <w:rsid w:val="00533A24"/>
    <w:rsid w:val="00540862"/>
    <w:rsid w:val="00541CC3"/>
    <w:rsid w:val="00544CED"/>
    <w:rsid w:val="00561709"/>
    <w:rsid w:val="005628DA"/>
    <w:rsid w:val="00564F33"/>
    <w:rsid w:val="00572EFA"/>
    <w:rsid w:val="00575173"/>
    <w:rsid w:val="0058197E"/>
    <w:rsid w:val="00587FC8"/>
    <w:rsid w:val="00594AE3"/>
    <w:rsid w:val="00597634"/>
    <w:rsid w:val="005A38F0"/>
    <w:rsid w:val="005A78E2"/>
    <w:rsid w:val="005B2022"/>
    <w:rsid w:val="005B441D"/>
    <w:rsid w:val="005C0966"/>
    <w:rsid w:val="005C61E9"/>
    <w:rsid w:val="005E15FF"/>
    <w:rsid w:val="005E2379"/>
    <w:rsid w:val="0060438B"/>
    <w:rsid w:val="00622E26"/>
    <w:rsid w:val="00626339"/>
    <w:rsid w:val="006271FF"/>
    <w:rsid w:val="00636638"/>
    <w:rsid w:val="00636E10"/>
    <w:rsid w:val="00636FF1"/>
    <w:rsid w:val="00642A60"/>
    <w:rsid w:val="00642EDB"/>
    <w:rsid w:val="00651729"/>
    <w:rsid w:val="00654829"/>
    <w:rsid w:val="00663905"/>
    <w:rsid w:val="0066780D"/>
    <w:rsid w:val="00671B81"/>
    <w:rsid w:val="0067363C"/>
    <w:rsid w:val="006829E5"/>
    <w:rsid w:val="00685BC6"/>
    <w:rsid w:val="00686FCC"/>
    <w:rsid w:val="006A4F50"/>
    <w:rsid w:val="006C1394"/>
    <w:rsid w:val="006C17E7"/>
    <w:rsid w:val="006C586F"/>
    <w:rsid w:val="006D1B8F"/>
    <w:rsid w:val="006D6DD3"/>
    <w:rsid w:val="006E4660"/>
    <w:rsid w:val="006E6AB3"/>
    <w:rsid w:val="006F2F96"/>
    <w:rsid w:val="006F5530"/>
    <w:rsid w:val="00700203"/>
    <w:rsid w:val="00707F0A"/>
    <w:rsid w:val="00711E3D"/>
    <w:rsid w:val="00724FA6"/>
    <w:rsid w:val="00736E84"/>
    <w:rsid w:val="00742C6F"/>
    <w:rsid w:val="00750AA4"/>
    <w:rsid w:val="00756B24"/>
    <w:rsid w:val="007577A9"/>
    <w:rsid w:val="007578FA"/>
    <w:rsid w:val="00760CDB"/>
    <w:rsid w:val="00761BF3"/>
    <w:rsid w:val="00765D89"/>
    <w:rsid w:val="00766FC0"/>
    <w:rsid w:val="007702ED"/>
    <w:rsid w:val="007710B5"/>
    <w:rsid w:val="00776184"/>
    <w:rsid w:val="007814CD"/>
    <w:rsid w:val="0078214D"/>
    <w:rsid w:val="0078730D"/>
    <w:rsid w:val="007A49DD"/>
    <w:rsid w:val="007B6134"/>
    <w:rsid w:val="007B7776"/>
    <w:rsid w:val="007C1CBC"/>
    <w:rsid w:val="007D2AF1"/>
    <w:rsid w:val="007D3AD6"/>
    <w:rsid w:val="007D7C04"/>
    <w:rsid w:val="007E0EDA"/>
    <w:rsid w:val="007F13BB"/>
    <w:rsid w:val="007F1B62"/>
    <w:rsid w:val="007F208E"/>
    <w:rsid w:val="007F68D5"/>
    <w:rsid w:val="00802F4E"/>
    <w:rsid w:val="00805868"/>
    <w:rsid w:val="00807E38"/>
    <w:rsid w:val="008114A7"/>
    <w:rsid w:val="00823199"/>
    <w:rsid w:val="00827452"/>
    <w:rsid w:val="00841168"/>
    <w:rsid w:val="008420B2"/>
    <w:rsid w:val="008535C1"/>
    <w:rsid w:val="00854724"/>
    <w:rsid w:val="0086096E"/>
    <w:rsid w:val="00864CFA"/>
    <w:rsid w:val="00867B38"/>
    <w:rsid w:val="00870C6F"/>
    <w:rsid w:val="00895111"/>
    <w:rsid w:val="008B0126"/>
    <w:rsid w:val="008B563E"/>
    <w:rsid w:val="008C3895"/>
    <w:rsid w:val="008C4252"/>
    <w:rsid w:val="008D1961"/>
    <w:rsid w:val="008D1CAF"/>
    <w:rsid w:val="008D5522"/>
    <w:rsid w:val="008E2E24"/>
    <w:rsid w:val="008E57B2"/>
    <w:rsid w:val="008F1EAA"/>
    <w:rsid w:val="0090109B"/>
    <w:rsid w:val="00912FEA"/>
    <w:rsid w:val="0091711E"/>
    <w:rsid w:val="0091784B"/>
    <w:rsid w:val="00920BB7"/>
    <w:rsid w:val="0092395B"/>
    <w:rsid w:val="009348E5"/>
    <w:rsid w:val="00941708"/>
    <w:rsid w:val="00941EF1"/>
    <w:rsid w:val="009451B5"/>
    <w:rsid w:val="00945AE5"/>
    <w:rsid w:val="00945F5B"/>
    <w:rsid w:val="009641A3"/>
    <w:rsid w:val="00973F9F"/>
    <w:rsid w:val="009759E3"/>
    <w:rsid w:val="00976D04"/>
    <w:rsid w:val="009808F7"/>
    <w:rsid w:val="00980D9E"/>
    <w:rsid w:val="009865A0"/>
    <w:rsid w:val="009879CF"/>
    <w:rsid w:val="00987C70"/>
    <w:rsid w:val="009A57C5"/>
    <w:rsid w:val="009B769A"/>
    <w:rsid w:val="009C5892"/>
    <w:rsid w:val="009D16C7"/>
    <w:rsid w:val="00A061B0"/>
    <w:rsid w:val="00A3088E"/>
    <w:rsid w:val="00A41089"/>
    <w:rsid w:val="00A42B43"/>
    <w:rsid w:val="00A437A5"/>
    <w:rsid w:val="00A45FF9"/>
    <w:rsid w:val="00A46A04"/>
    <w:rsid w:val="00A46FE7"/>
    <w:rsid w:val="00A50664"/>
    <w:rsid w:val="00A50E51"/>
    <w:rsid w:val="00A52B4A"/>
    <w:rsid w:val="00A60C24"/>
    <w:rsid w:val="00A757E8"/>
    <w:rsid w:val="00A80AAD"/>
    <w:rsid w:val="00A811AD"/>
    <w:rsid w:val="00A924CF"/>
    <w:rsid w:val="00A967ED"/>
    <w:rsid w:val="00A979C9"/>
    <w:rsid w:val="00AA5B8F"/>
    <w:rsid w:val="00AB2257"/>
    <w:rsid w:val="00AB7C8B"/>
    <w:rsid w:val="00AC07C9"/>
    <w:rsid w:val="00AC2E0A"/>
    <w:rsid w:val="00AE3DAD"/>
    <w:rsid w:val="00AE5969"/>
    <w:rsid w:val="00AE7478"/>
    <w:rsid w:val="00AE7832"/>
    <w:rsid w:val="00AF2E57"/>
    <w:rsid w:val="00AF3EAD"/>
    <w:rsid w:val="00AF73DE"/>
    <w:rsid w:val="00B00436"/>
    <w:rsid w:val="00B01CF4"/>
    <w:rsid w:val="00B035A1"/>
    <w:rsid w:val="00B068AA"/>
    <w:rsid w:val="00B2121A"/>
    <w:rsid w:val="00B23B21"/>
    <w:rsid w:val="00B37B36"/>
    <w:rsid w:val="00B4666B"/>
    <w:rsid w:val="00B4672C"/>
    <w:rsid w:val="00B5132F"/>
    <w:rsid w:val="00B57109"/>
    <w:rsid w:val="00B81C47"/>
    <w:rsid w:val="00B84373"/>
    <w:rsid w:val="00B87788"/>
    <w:rsid w:val="00B97D22"/>
    <w:rsid w:val="00BA2446"/>
    <w:rsid w:val="00BB64B7"/>
    <w:rsid w:val="00BC4045"/>
    <w:rsid w:val="00BC5513"/>
    <w:rsid w:val="00BE1963"/>
    <w:rsid w:val="00BE3876"/>
    <w:rsid w:val="00C01D2E"/>
    <w:rsid w:val="00C065A8"/>
    <w:rsid w:val="00C07B47"/>
    <w:rsid w:val="00C1099B"/>
    <w:rsid w:val="00C115D5"/>
    <w:rsid w:val="00C15F2A"/>
    <w:rsid w:val="00C170FF"/>
    <w:rsid w:val="00C239AC"/>
    <w:rsid w:val="00C307AE"/>
    <w:rsid w:val="00C32FE3"/>
    <w:rsid w:val="00C41EDD"/>
    <w:rsid w:val="00C452FB"/>
    <w:rsid w:val="00C56B0F"/>
    <w:rsid w:val="00C67D55"/>
    <w:rsid w:val="00C703C0"/>
    <w:rsid w:val="00C71A3C"/>
    <w:rsid w:val="00C758DB"/>
    <w:rsid w:val="00C76400"/>
    <w:rsid w:val="00CA1217"/>
    <w:rsid w:val="00CB1407"/>
    <w:rsid w:val="00CB24DD"/>
    <w:rsid w:val="00CC056A"/>
    <w:rsid w:val="00CC2DA0"/>
    <w:rsid w:val="00CC3BCC"/>
    <w:rsid w:val="00CC44D1"/>
    <w:rsid w:val="00CC457B"/>
    <w:rsid w:val="00CC4B87"/>
    <w:rsid w:val="00CE3301"/>
    <w:rsid w:val="00CF04F5"/>
    <w:rsid w:val="00CF6305"/>
    <w:rsid w:val="00D03314"/>
    <w:rsid w:val="00D2080E"/>
    <w:rsid w:val="00D21290"/>
    <w:rsid w:val="00D24598"/>
    <w:rsid w:val="00D27A10"/>
    <w:rsid w:val="00D336C6"/>
    <w:rsid w:val="00D34DF6"/>
    <w:rsid w:val="00D35543"/>
    <w:rsid w:val="00D35D5B"/>
    <w:rsid w:val="00D3771F"/>
    <w:rsid w:val="00D3785B"/>
    <w:rsid w:val="00D55E87"/>
    <w:rsid w:val="00D60E74"/>
    <w:rsid w:val="00D61A81"/>
    <w:rsid w:val="00D65A11"/>
    <w:rsid w:val="00D72FF6"/>
    <w:rsid w:val="00D77DDB"/>
    <w:rsid w:val="00D84686"/>
    <w:rsid w:val="00D85DEC"/>
    <w:rsid w:val="00D87F9A"/>
    <w:rsid w:val="00D9555D"/>
    <w:rsid w:val="00DA71EE"/>
    <w:rsid w:val="00DB70DD"/>
    <w:rsid w:val="00DB7F61"/>
    <w:rsid w:val="00DC0AF5"/>
    <w:rsid w:val="00DC105C"/>
    <w:rsid w:val="00DC43B8"/>
    <w:rsid w:val="00DD022F"/>
    <w:rsid w:val="00DE05DE"/>
    <w:rsid w:val="00DE36DA"/>
    <w:rsid w:val="00DF5551"/>
    <w:rsid w:val="00E04D57"/>
    <w:rsid w:val="00E05AFE"/>
    <w:rsid w:val="00E05F67"/>
    <w:rsid w:val="00E21169"/>
    <w:rsid w:val="00E642A5"/>
    <w:rsid w:val="00E73E5B"/>
    <w:rsid w:val="00E91ADF"/>
    <w:rsid w:val="00EA23F0"/>
    <w:rsid w:val="00EA2D86"/>
    <w:rsid w:val="00EB0D02"/>
    <w:rsid w:val="00EB276D"/>
    <w:rsid w:val="00ED4447"/>
    <w:rsid w:val="00EE0C86"/>
    <w:rsid w:val="00EF4D99"/>
    <w:rsid w:val="00F03933"/>
    <w:rsid w:val="00F05BD3"/>
    <w:rsid w:val="00F11277"/>
    <w:rsid w:val="00F123B8"/>
    <w:rsid w:val="00F1280A"/>
    <w:rsid w:val="00F154D6"/>
    <w:rsid w:val="00F2395B"/>
    <w:rsid w:val="00F2530D"/>
    <w:rsid w:val="00F326E6"/>
    <w:rsid w:val="00F3550C"/>
    <w:rsid w:val="00F35E31"/>
    <w:rsid w:val="00F42CB3"/>
    <w:rsid w:val="00F4514E"/>
    <w:rsid w:val="00F53A26"/>
    <w:rsid w:val="00F63097"/>
    <w:rsid w:val="00F65B2B"/>
    <w:rsid w:val="00F670B7"/>
    <w:rsid w:val="00F85203"/>
    <w:rsid w:val="00F854CE"/>
    <w:rsid w:val="00F87EEF"/>
    <w:rsid w:val="00F91DBD"/>
    <w:rsid w:val="00F9507D"/>
    <w:rsid w:val="00FA55A5"/>
    <w:rsid w:val="00FA7181"/>
    <w:rsid w:val="00FB629A"/>
    <w:rsid w:val="00FC4EEA"/>
    <w:rsid w:val="00FD1D6C"/>
    <w:rsid w:val="00FE23F4"/>
    <w:rsid w:val="00FE4BEF"/>
    <w:rsid w:val="00FF0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C8EC4"/>
  <w15:docId w15:val="{48CAD5A4-DE44-4361-A972-72B95EEE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088E"/>
    <w:rPr>
      <w:sz w:val="16"/>
      <w:szCs w:val="16"/>
    </w:rPr>
  </w:style>
  <w:style w:type="paragraph" w:styleId="CommentText">
    <w:name w:val="annotation text"/>
    <w:basedOn w:val="Normal"/>
    <w:link w:val="CommentTextChar"/>
    <w:uiPriority w:val="99"/>
    <w:semiHidden/>
    <w:unhideWhenUsed/>
    <w:rsid w:val="00A3088E"/>
    <w:pPr>
      <w:spacing w:line="240" w:lineRule="auto"/>
    </w:pPr>
    <w:rPr>
      <w:sz w:val="20"/>
      <w:szCs w:val="20"/>
    </w:rPr>
  </w:style>
  <w:style w:type="character" w:customStyle="1" w:styleId="CommentTextChar">
    <w:name w:val="Comment Text Char"/>
    <w:basedOn w:val="DefaultParagraphFont"/>
    <w:link w:val="CommentText"/>
    <w:uiPriority w:val="99"/>
    <w:semiHidden/>
    <w:rsid w:val="00A3088E"/>
    <w:rPr>
      <w:sz w:val="20"/>
      <w:szCs w:val="20"/>
    </w:rPr>
  </w:style>
  <w:style w:type="paragraph" w:styleId="CommentSubject">
    <w:name w:val="annotation subject"/>
    <w:basedOn w:val="CommentText"/>
    <w:next w:val="CommentText"/>
    <w:link w:val="CommentSubjectChar"/>
    <w:uiPriority w:val="99"/>
    <w:semiHidden/>
    <w:unhideWhenUsed/>
    <w:rsid w:val="00A3088E"/>
    <w:rPr>
      <w:b/>
      <w:bCs/>
    </w:rPr>
  </w:style>
  <w:style w:type="character" w:customStyle="1" w:styleId="CommentSubjectChar">
    <w:name w:val="Comment Subject Char"/>
    <w:basedOn w:val="CommentTextChar"/>
    <w:link w:val="CommentSubject"/>
    <w:uiPriority w:val="99"/>
    <w:semiHidden/>
    <w:rsid w:val="00A3088E"/>
    <w:rPr>
      <w:b/>
      <w:bCs/>
      <w:sz w:val="20"/>
      <w:szCs w:val="20"/>
    </w:rPr>
  </w:style>
  <w:style w:type="paragraph" w:styleId="BalloonText">
    <w:name w:val="Balloon Text"/>
    <w:basedOn w:val="Normal"/>
    <w:link w:val="BalloonTextChar"/>
    <w:uiPriority w:val="99"/>
    <w:semiHidden/>
    <w:unhideWhenUsed/>
    <w:rsid w:val="00A30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88E"/>
    <w:rPr>
      <w:rFonts w:ascii="Tahoma" w:hAnsi="Tahoma" w:cs="Tahoma"/>
      <w:sz w:val="16"/>
      <w:szCs w:val="16"/>
    </w:rPr>
  </w:style>
  <w:style w:type="paragraph" w:styleId="Header">
    <w:name w:val="header"/>
    <w:basedOn w:val="Normal"/>
    <w:link w:val="HeaderChar"/>
    <w:uiPriority w:val="99"/>
    <w:unhideWhenUsed/>
    <w:rsid w:val="00281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D35"/>
  </w:style>
  <w:style w:type="paragraph" w:styleId="Footer">
    <w:name w:val="footer"/>
    <w:basedOn w:val="Normal"/>
    <w:link w:val="FooterChar"/>
    <w:uiPriority w:val="99"/>
    <w:unhideWhenUsed/>
    <w:rsid w:val="00281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D35"/>
  </w:style>
  <w:style w:type="paragraph" w:styleId="NormalWeb">
    <w:name w:val="Normal (Web)"/>
    <w:basedOn w:val="Normal"/>
    <w:uiPriority w:val="99"/>
    <w:unhideWhenUsed/>
    <w:rsid w:val="003009A2"/>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5969"/>
    <w:pPr>
      <w:ind w:left="720"/>
      <w:contextualSpacing/>
    </w:pPr>
  </w:style>
  <w:style w:type="paragraph" w:styleId="PlainText">
    <w:name w:val="Plain Text"/>
    <w:basedOn w:val="Normal"/>
    <w:link w:val="PlainTextChar"/>
    <w:uiPriority w:val="99"/>
    <w:unhideWhenUsed/>
    <w:rsid w:val="0066390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63905"/>
    <w:rPr>
      <w:rFonts w:ascii="Calibri" w:hAnsi="Calibri"/>
      <w:szCs w:val="21"/>
    </w:rPr>
  </w:style>
  <w:style w:type="character" w:customStyle="1" w:styleId="indented">
    <w:name w:val="indented"/>
    <w:basedOn w:val="DefaultParagraphFont"/>
    <w:rsid w:val="00093161"/>
  </w:style>
  <w:style w:type="paragraph" w:styleId="TOC2">
    <w:name w:val="toc 2"/>
    <w:basedOn w:val="Normal"/>
    <w:next w:val="Normal"/>
    <w:autoRedefine/>
    <w:uiPriority w:val="39"/>
    <w:qFormat/>
    <w:rsid w:val="00431A65"/>
    <w:pPr>
      <w:tabs>
        <w:tab w:val="right" w:leader="dot" w:pos="9350"/>
      </w:tabs>
      <w:autoSpaceDE w:val="0"/>
      <w:autoSpaceDN w:val="0"/>
      <w:adjustRightInd w:val="0"/>
      <w:spacing w:after="0" w:line="240" w:lineRule="auto"/>
      <w:ind w:left="1080" w:hanging="540"/>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5AFE"/>
  </w:style>
  <w:style w:type="character" w:styleId="Hyperlink">
    <w:name w:val="Hyperlink"/>
    <w:basedOn w:val="DefaultParagraphFont"/>
    <w:uiPriority w:val="99"/>
    <w:semiHidden/>
    <w:unhideWhenUsed/>
    <w:rsid w:val="00760CDB"/>
    <w:rPr>
      <w:color w:val="0000FF"/>
      <w:u w:val="single"/>
    </w:rPr>
  </w:style>
  <w:style w:type="paragraph" w:styleId="NoSpacing">
    <w:name w:val="No Spacing"/>
    <w:basedOn w:val="Normal"/>
    <w:link w:val="NoSpacingChar"/>
    <w:uiPriority w:val="1"/>
    <w:qFormat/>
    <w:rsid w:val="005A38F0"/>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5A38F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12083">
      <w:bodyDiv w:val="1"/>
      <w:marLeft w:val="0"/>
      <w:marRight w:val="0"/>
      <w:marTop w:val="0"/>
      <w:marBottom w:val="0"/>
      <w:divBdr>
        <w:top w:val="none" w:sz="0" w:space="0" w:color="auto"/>
        <w:left w:val="none" w:sz="0" w:space="0" w:color="auto"/>
        <w:bottom w:val="none" w:sz="0" w:space="0" w:color="auto"/>
        <w:right w:val="none" w:sz="0" w:space="0" w:color="auto"/>
      </w:divBdr>
    </w:div>
    <w:div w:id="161435815">
      <w:bodyDiv w:val="1"/>
      <w:marLeft w:val="0"/>
      <w:marRight w:val="0"/>
      <w:marTop w:val="0"/>
      <w:marBottom w:val="0"/>
      <w:divBdr>
        <w:top w:val="none" w:sz="0" w:space="0" w:color="auto"/>
        <w:left w:val="none" w:sz="0" w:space="0" w:color="auto"/>
        <w:bottom w:val="none" w:sz="0" w:space="0" w:color="auto"/>
        <w:right w:val="none" w:sz="0" w:space="0" w:color="auto"/>
      </w:divBdr>
    </w:div>
    <w:div w:id="223881067">
      <w:bodyDiv w:val="1"/>
      <w:marLeft w:val="0"/>
      <w:marRight w:val="0"/>
      <w:marTop w:val="0"/>
      <w:marBottom w:val="0"/>
      <w:divBdr>
        <w:top w:val="none" w:sz="0" w:space="0" w:color="auto"/>
        <w:left w:val="none" w:sz="0" w:space="0" w:color="auto"/>
        <w:bottom w:val="none" w:sz="0" w:space="0" w:color="auto"/>
        <w:right w:val="none" w:sz="0" w:space="0" w:color="auto"/>
      </w:divBdr>
    </w:div>
    <w:div w:id="283394133">
      <w:bodyDiv w:val="1"/>
      <w:marLeft w:val="0"/>
      <w:marRight w:val="0"/>
      <w:marTop w:val="0"/>
      <w:marBottom w:val="0"/>
      <w:divBdr>
        <w:top w:val="none" w:sz="0" w:space="0" w:color="auto"/>
        <w:left w:val="none" w:sz="0" w:space="0" w:color="auto"/>
        <w:bottom w:val="none" w:sz="0" w:space="0" w:color="auto"/>
        <w:right w:val="none" w:sz="0" w:space="0" w:color="auto"/>
      </w:divBdr>
    </w:div>
    <w:div w:id="284654167">
      <w:bodyDiv w:val="1"/>
      <w:marLeft w:val="0"/>
      <w:marRight w:val="0"/>
      <w:marTop w:val="0"/>
      <w:marBottom w:val="0"/>
      <w:divBdr>
        <w:top w:val="none" w:sz="0" w:space="0" w:color="auto"/>
        <w:left w:val="none" w:sz="0" w:space="0" w:color="auto"/>
        <w:bottom w:val="none" w:sz="0" w:space="0" w:color="auto"/>
        <w:right w:val="none" w:sz="0" w:space="0" w:color="auto"/>
      </w:divBdr>
    </w:div>
    <w:div w:id="421146235">
      <w:bodyDiv w:val="1"/>
      <w:marLeft w:val="0"/>
      <w:marRight w:val="0"/>
      <w:marTop w:val="0"/>
      <w:marBottom w:val="0"/>
      <w:divBdr>
        <w:top w:val="none" w:sz="0" w:space="0" w:color="auto"/>
        <w:left w:val="none" w:sz="0" w:space="0" w:color="auto"/>
        <w:bottom w:val="none" w:sz="0" w:space="0" w:color="auto"/>
        <w:right w:val="none" w:sz="0" w:space="0" w:color="auto"/>
      </w:divBdr>
    </w:div>
    <w:div w:id="477455362">
      <w:bodyDiv w:val="1"/>
      <w:marLeft w:val="0"/>
      <w:marRight w:val="0"/>
      <w:marTop w:val="0"/>
      <w:marBottom w:val="0"/>
      <w:divBdr>
        <w:top w:val="none" w:sz="0" w:space="0" w:color="auto"/>
        <w:left w:val="none" w:sz="0" w:space="0" w:color="auto"/>
        <w:bottom w:val="none" w:sz="0" w:space="0" w:color="auto"/>
        <w:right w:val="none" w:sz="0" w:space="0" w:color="auto"/>
      </w:divBdr>
    </w:div>
    <w:div w:id="516849174">
      <w:bodyDiv w:val="1"/>
      <w:marLeft w:val="0"/>
      <w:marRight w:val="0"/>
      <w:marTop w:val="0"/>
      <w:marBottom w:val="0"/>
      <w:divBdr>
        <w:top w:val="none" w:sz="0" w:space="0" w:color="auto"/>
        <w:left w:val="none" w:sz="0" w:space="0" w:color="auto"/>
        <w:bottom w:val="none" w:sz="0" w:space="0" w:color="auto"/>
        <w:right w:val="none" w:sz="0" w:space="0" w:color="auto"/>
      </w:divBdr>
    </w:div>
    <w:div w:id="590815037">
      <w:bodyDiv w:val="1"/>
      <w:marLeft w:val="0"/>
      <w:marRight w:val="0"/>
      <w:marTop w:val="0"/>
      <w:marBottom w:val="0"/>
      <w:divBdr>
        <w:top w:val="none" w:sz="0" w:space="0" w:color="auto"/>
        <w:left w:val="none" w:sz="0" w:space="0" w:color="auto"/>
        <w:bottom w:val="none" w:sz="0" w:space="0" w:color="auto"/>
        <w:right w:val="none" w:sz="0" w:space="0" w:color="auto"/>
      </w:divBdr>
    </w:div>
    <w:div w:id="606737720">
      <w:bodyDiv w:val="1"/>
      <w:marLeft w:val="0"/>
      <w:marRight w:val="0"/>
      <w:marTop w:val="0"/>
      <w:marBottom w:val="0"/>
      <w:divBdr>
        <w:top w:val="none" w:sz="0" w:space="0" w:color="auto"/>
        <w:left w:val="none" w:sz="0" w:space="0" w:color="auto"/>
        <w:bottom w:val="none" w:sz="0" w:space="0" w:color="auto"/>
        <w:right w:val="none" w:sz="0" w:space="0" w:color="auto"/>
      </w:divBdr>
    </w:div>
    <w:div w:id="810750641">
      <w:bodyDiv w:val="1"/>
      <w:marLeft w:val="0"/>
      <w:marRight w:val="0"/>
      <w:marTop w:val="0"/>
      <w:marBottom w:val="0"/>
      <w:divBdr>
        <w:top w:val="none" w:sz="0" w:space="0" w:color="auto"/>
        <w:left w:val="none" w:sz="0" w:space="0" w:color="auto"/>
        <w:bottom w:val="none" w:sz="0" w:space="0" w:color="auto"/>
        <w:right w:val="none" w:sz="0" w:space="0" w:color="auto"/>
      </w:divBdr>
    </w:div>
    <w:div w:id="978193496">
      <w:bodyDiv w:val="1"/>
      <w:marLeft w:val="0"/>
      <w:marRight w:val="0"/>
      <w:marTop w:val="0"/>
      <w:marBottom w:val="0"/>
      <w:divBdr>
        <w:top w:val="none" w:sz="0" w:space="0" w:color="auto"/>
        <w:left w:val="none" w:sz="0" w:space="0" w:color="auto"/>
        <w:bottom w:val="none" w:sz="0" w:space="0" w:color="auto"/>
        <w:right w:val="none" w:sz="0" w:space="0" w:color="auto"/>
      </w:divBdr>
    </w:div>
    <w:div w:id="1263418099">
      <w:bodyDiv w:val="1"/>
      <w:marLeft w:val="0"/>
      <w:marRight w:val="0"/>
      <w:marTop w:val="0"/>
      <w:marBottom w:val="0"/>
      <w:divBdr>
        <w:top w:val="none" w:sz="0" w:space="0" w:color="auto"/>
        <w:left w:val="none" w:sz="0" w:space="0" w:color="auto"/>
        <w:bottom w:val="none" w:sz="0" w:space="0" w:color="auto"/>
        <w:right w:val="none" w:sz="0" w:space="0" w:color="auto"/>
      </w:divBdr>
    </w:div>
    <w:div w:id="1274633473">
      <w:bodyDiv w:val="1"/>
      <w:marLeft w:val="0"/>
      <w:marRight w:val="0"/>
      <w:marTop w:val="0"/>
      <w:marBottom w:val="0"/>
      <w:divBdr>
        <w:top w:val="none" w:sz="0" w:space="0" w:color="auto"/>
        <w:left w:val="none" w:sz="0" w:space="0" w:color="auto"/>
        <w:bottom w:val="none" w:sz="0" w:space="0" w:color="auto"/>
        <w:right w:val="none" w:sz="0" w:space="0" w:color="auto"/>
      </w:divBdr>
    </w:div>
    <w:div w:id="1389576735">
      <w:bodyDiv w:val="1"/>
      <w:marLeft w:val="0"/>
      <w:marRight w:val="0"/>
      <w:marTop w:val="0"/>
      <w:marBottom w:val="0"/>
      <w:divBdr>
        <w:top w:val="none" w:sz="0" w:space="0" w:color="auto"/>
        <w:left w:val="none" w:sz="0" w:space="0" w:color="auto"/>
        <w:bottom w:val="none" w:sz="0" w:space="0" w:color="auto"/>
        <w:right w:val="none" w:sz="0" w:space="0" w:color="auto"/>
      </w:divBdr>
    </w:div>
    <w:div w:id="1396053928">
      <w:bodyDiv w:val="1"/>
      <w:marLeft w:val="0"/>
      <w:marRight w:val="0"/>
      <w:marTop w:val="0"/>
      <w:marBottom w:val="0"/>
      <w:divBdr>
        <w:top w:val="none" w:sz="0" w:space="0" w:color="auto"/>
        <w:left w:val="none" w:sz="0" w:space="0" w:color="auto"/>
        <w:bottom w:val="none" w:sz="0" w:space="0" w:color="auto"/>
        <w:right w:val="none" w:sz="0" w:space="0" w:color="auto"/>
      </w:divBdr>
    </w:div>
    <w:div w:id="1500391720">
      <w:bodyDiv w:val="1"/>
      <w:marLeft w:val="0"/>
      <w:marRight w:val="0"/>
      <w:marTop w:val="0"/>
      <w:marBottom w:val="0"/>
      <w:divBdr>
        <w:top w:val="none" w:sz="0" w:space="0" w:color="auto"/>
        <w:left w:val="none" w:sz="0" w:space="0" w:color="auto"/>
        <w:bottom w:val="none" w:sz="0" w:space="0" w:color="auto"/>
        <w:right w:val="none" w:sz="0" w:space="0" w:color="auto"/>
      </w:divBdr>
    </w:div>
    <w:div w:id="1607729385">
      <w:bodyDiv w:val="1"/>
      <w:marLeft w:val="0"/>
      <w:marRight w:val="0"/>
      <w:marTop w:val="0"/>
      <w:marBottom w:val="0"/>
      <w:divBdr>
        <w:top w:val="none" w:sz="0" w:space="0" w:color="auto"/>
        <w:left w:val="none" w:sz="0" w:space="0" w:color="auto"/>
        <w:bottom w:val="none" w:sz="0" w:space="0" w:color="auto"/>
        <w:right w:val="none" w:sz="0" w:space="0" w:color="auto"/>
      </w:divBdr>
    </w:div>
    <w:div w:id="1707952460">
      <w:bodyDiv w:val="1"/>
      <w:marLeft w:val="0"/>
      <w:marRight w:val="0"/>
      <w:marTop w:val="0"/>
      <w:marBottom w:val="0"/>
      <w:divBdr>
        <w:top w:val="none" w:sz="0" w:space="0" w:color="auto"/>
        <w:left w:val="none" w:sz="0" w:space="0" w:color="auto"/>
        <w:bottom w:val="none" w:sz="0" w:space="0" w:color="auto"/>
        <w:right w:val="none" w:sz="0" w:space="0" w:color="auto"/>
      </w:divBdr>
    </w:div>
    <w:div w:id="1744181145">
      <w:bodyDiv w:val="1"/>
      <w:marLeft w:val="0"/>
      <w:marRight w:val="0"/>
      <w:marTop w:val="0"/>
      <w:marBottom w:val="0"/>
      <w:divBdr>
        <w:top w:val="none" w:sz="0" w:space="0" w:color="auto"/>
        <w:left w:val="none" w:sz="0" w:space="0" w:color="auto"/>
        <w:bottom w:val="none" w:sz="0" w:space="0" w:color="auto"/>
        <w:right w:val="none" w:sz="0" w:space="0" w:color="auto"/>
      </w:divBdr>
    </w:div>
    <w:div w:id="1818105524">
      <w:bodyDiv w:val="1"/>
      <w:marLeft w:val="0"/>
      <w:marRight w:val="0"/>
      <w:marTop w:val="0"/>
      <w:marBottom w:val="0"/>
      <w:divBdr>
        <w:top w:val="none" w:sz="0" w:space="0" w:color="auto"/>
        <w:left w:val="none" w:sz="0" w:space="0" w:color="auto"/>
        <w:bottom w:val="none" w:sz="0" w:space="0" w:color="auto"/>
        <w:right w:val="none" w:sz="0" w:space="0" w:color="auto"/>
      </w:divBdr>
    </w:div>
    <w:div w:id="1938127032">
      <w:bodyDiv w:val="1"/>
      <w:marLeft w:val="0"/>
      <w:marRight w:val="0"/>
      <w:marTop w:val="0"/>
      <w:marBottom w:val="0"/>
      <w:divBdr>
        <w:top w:val="none" w:sz="0" w:space="0" w:color="auto"/>
        <w:left w:val="none" w:sz="0" w:space="0" w:color="auto"/>
        <w:bottom w:val="none" w:sz="0" w:space="0" w:color="auto"/>
        <w:right w:val="none" w:sz="0" w:space="0" w:color="auto"/>
      </w:divBdr>
    </w:div>
    <w:div w:id="194957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E8B2E-5852-44A0-9853-6E34E73F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Snelick</dc:creator>
  <cp:lastModifiedBy>Taylor, Sheryl L. (Fed)</cp:lastModifiedBy>
  <cp:revision>7</cp:revision>
  <cp:lastPrinted>2016-02-25T19:43:00Z</cp:lastPrinted>
  <dcterms:created xsi:type="dcterms:W3CDTF">2016-06-08T18:37:00Z</dcterms:created>
  <dcterms:modified xsi:type="dcterms:W3CDTF">2016-06-08T19:35:00Z</dcterms:modified>
</cp:coreProperties>
</file>