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594B" w14:textId="18F0DFD8" w:rsidR="007A49DD" w:rsidRPr="00A41089" w:rsidRDefault="00A757E8">
      <w:pPr>
        <w:rPr>
          <w:b/>
          <w:sz w:val="28"/>
          <w:szCs w:val="28"/>
          <w:u w:val="single"/>
        </w:rPr>
      </w:pPr>
      <w:r>
        <w:rPr>
          <w:b/>
          <w:sz w:val="28"/>
          <w:szCs w:val="28"/>
          <w:u w:val="single"/>
        </w:rPr>
        <w:t>Syndromic Surveillance</w:t>
      </w:r>
      <w:r w:rsidR="00973F9F" w:rsidRPr="00973F9F">
        <w:rPr>
          <w:b/>
          <w:sz w:val="28"/>
          <w:szCs w:val="28"/>
          <w:u w:val="single"/>
        </w:rPr>
        <w:t xml:space="preserve"> Test </w:t>
      </w:r>
      <w:r>
        <w:rPr>
          <w:b/>
          <w:sz w:val="28"/>
          <w:szCs w:val="28"/>
          <w:u w:val="single"/>
        </w:rPr>
        <w:t>Suite</w:t>
      </w:r>
      <w:r w:rsidR="00973F9F" w:rsidRPr="00973F9F">
        <w:rPr>
          <w:b/>
          <w:sz w:val="28"/>
          <w:szCs w:val="28"/>
          <w:u w:val="single"/>
        </w:rPr>
        <w:t xml:space="preserve"> </w:t>
      </w:r>
      <w:r w:rsidR="00973F9F" w:rsidRPr="00A41089">
        <w:rPr>
          <w:b/>
          <w:sz w:val="28"/>
          <w:szCs w:val="28"/>
          <w:u w:val="single"/>
        </w:rPr>
        <w:t xml:space="preserve">Release Notes </w:t>
      </w:r>
      <w:r w:rsidR="00973F9F" w:rsidRPr="004C3A54">
        <w:rPr>
          <w:b/>
          <w:sz w:val="28"/>
          <w:szCs w:val="28"/>
          <w:u w:val="single"/>
        </w:rPr>
        <w:t xml:space="preserve">for </w:t>
      </w:r>
      <w:r w:rsidR="000756FC" w:rsidRPr="004C3A54">
        <w:rPr>
          <w:b/>
          <w:sz w:val="28"/>
          <w:szCs w:val="28"/>
          <w:u w:val="single"/>
        </w:rPr>
        <w:t>1.</w:t>
      </w:r>
      <w:r w:rsidR="00BB239B">
        <w:rPr>
          <w:b/>
          <w:sz w:val="28"/>
          <w:szCs w:val="28"/>
          <w:u w:val="single"/>
        </w:rPr>
        <w:t>5</w:t>
      </w:r>
      <w:r w:rsidR="00CE3301" w:rsidRPr="004C3A54">
        <w:rPr>
          <w:b/>
          <w:sz w:val="28"/>
          <w:szCs w:val="28"/>
          <w:u w:val="single"/>
        </w:rPr>
        <w:t>.0</w:t>
      </w:r>
      <w:r w:rsidR="00041F71" w:rsidRPr="004C3A54">
        <w:rPr>
          <w:b/>
          <w:sz w:val="28"/>
          <w:szCs w:val="28"/>
          <w:u w:val="single"/>
        </w:rPr>
        <w:t xml:space="preserve"> </w:t>
      </w:r>
      <w:r w:rsidR="000945B7">
        <w:rPr>
          <w:b/>
          <w:sz w:val="28"/>
          <w:szCs w:val="28"/>
          <w:u w:val="single"/>
        </w:rPr>
        <w:t>Ju</w:t>
      </w:r>
      <w:r w:rsidR="00BB239B">
        <w:rPr>
          <w:b/>
          <w:sz w:val="28"/>
          <w:szCs w:val="28"/>
          <w:u w:val="single"/>
        </w:rPr>
        <w:t>ly</w:t>
      </w:r>
      <w:r w:rsidR="00402164">
        <w:rPr>
          <w:b/>
          <w:sz w:val="28"/>
          <w:szCs w:val="28"/>
          <w:u w:val="single"/>
        </w:rPr>
        <w:t xml:space="preserve"> </w:t>
      </w:r>
      <w:r w:rsidR="003F5C48">
        <w:rPr>
          <w:b/>
          <w:sz w:val="28"/>
          <w:szCs w:val="28"/>
          <w:u w:val="single"/>
        </w:rPr>
        <w:t>20</w:t>
      </w:r>
      <w:bookmarkStart w:id="0" w:name="_GoBack"/>
      <w:bookmarkEnd w:id="0"/>
      <w:r w:rsidR="00BB239B">
        <w:rPr>
          <w:b/>
          <w:sz w:val="28"/>
          <w:szCs w:val="28"/>
          <w:u w:val="single"/>
        </w:rPr>
        <w:t>,</w:t>
      </w:r>
      <w:r w:rsidR="000756FC" w:rsidRPr="00A41089">
        <w:rPr>
          <w:b/>
          <w:sz w:val="28"/>
          <w:szCs w:val="28"/>
          <w:u w:val="single"/>
        </w:rPr>
        <w:t xml:space="preserve"> 201</w:t>
      </w:r>
      <w:r w:rsidR="00CC4B87" w:rsidRPr="00A41089">
        <w:rPr>
          <w:b/>
          <w:sz w:val="28"/>
          <w:szCs w:val="28"/>
          <w:u w:val="single"/>
        </w:rPr>
        <w:t>6</w:t>
      </w:r>
    </w:p>
    <w:p w14:paraId="2F58F1E1" w14:textId="742CF661" w:rsidR="00CC2DA0" w:rsidRDefault="004B64E1" w:rsidP="00431A65">
      <w:r>
        <w:t xml:space="preserve">Test </w:t>
      </w:r>
      <w:r w:rsidR="00412050">
        <w:t>Data</w:t>
      </w:r>
    </w:p>
    <w:tbl>
      <w:tblPr>
        <w:tblStyle w:val="TableGrid"/>
        <w:tblW w:w="0" w:type="auto"/>
        <w:tblLayout w:type="fixed"/>
        <w:tblLook w:val="04A0" w:firstRow="1" w:lastRow="0" w:firstColumn="1" w:lastColumn="0" w:noHBand="0" w:noVBand="1"/>
      </w:tblPr>
      <w:tblGrid>
        <w:gridCol w:w="2065"/>
        <w:gridCol w:w="3330"/>
        <w:gridCol w:w="3955"/>
      </w:tblGrid>
      <w:tr w:rsidR="00412050" w14:paraId="43FAB0AF" w14:textId="77777777" w:rsidTr="00BB239B">
        <w:trPr>
          <w:tblHeader/>
        </w:trPr>
        <w:tc>
          <w:tcPr>
            <w:tcW w:w="2065" w:type="dxa"/>
          </w:tcPr>
          <w:p w14:paraId="5BEA1C90" w14:textId="77777777" w:rsidR="00412050" w:rsidRPr="00412050" w:rsidRDefault="00412050">
            <w:pPr>
              <w:rPr>
                <w:b/>
              </w:rPr>
            </w:pPr>
            <w:r w:rsidRPr="00412050">
              <w:rPr>
                <w:b/>
              </w:rPr>
              <w:t>Test Case</w:t>
            </w:r>
          </w:p>
        </w:tc>
        <w:tc>
          <w:tcPr>
            <w:tcW w:w="3330" w:type="dxa"/>
          </w:tcPr>
          <w:p w14:paraId="3F56B98C" w14:textId="77777777" w:rsidR="00412050" w:rsidRPr="00412050" w:rsidRDefault="00412050">
            <w:pPr>
              <w:rPr>
                <w:b/>
              </w:rPr>
            </w:pPr>
            <w:r w:rsidRPr="00412050">
              <w:rPr>
                <w:b/>
              </w:rPr>
              <w:t>Issue</w:t>
            </w:r>
          </w:p>
        </w:tc>
        <w:tc>
          <w:tcPr>
            <w:tcW w:w="3955" w:type="dxa"/>
          </w:tcPr>
          <w:p w14:paraId="7D1905A6" w14:textId="77777777" w:rsidR="00412050" w:rsidRPr="00412050" w:rsidRDefault="00412050">
            <w:pPr>
              <w:rPr>
                <w:b/>
              </w:rPr>
            </w:pPr>
            <w:r w:rsidRPr="00412050">
              <w:rPr>
                <w:b/>
              </w:rPr>
              <w:t>Resolution</w:t>
            </w:r>
          </w:p>
        </w:tc>
      </w:tr>
      <w:tr w:rsidR="00CC2DA0" w14:paraId="1540FF33" w14:textId="77777777" w:rsidTr="00BB239B">
        <w:trPr>
          <w:trHeight w:val="323"/>
        </w:trPr>
        <w:tc>
          <w:tcPr>
            <w:tcW w:w="2065" w:type="dxa"/>
          </w:tcPr>
          <w:p w14:paraId="668D5685" w14:textId="08E8F85D" w:rsidR="00BB239B" w:rsidRPr="00EC282F" w:rsidRDefault="00BB239B" w:rsidP="00EC282F">
            <w:pPr>
              <w:pStyle w:val="PlainText"/>
              <w:rPr>
                <w:rFonts w:asciiTheme="minorHAnsi" w:hAnsiTheme="minorHAnsi" w:cs="Arial"/>
                <w:szCs w:val="22"/>
              </w:rPr>
            </w:pPr>
            <w:r w:rsidRPr="00EC282F">
              <w:rPr>
                <w:rStyle w:val="indented"/>
                <w:rFonts w:asciiTheme="minorHAnsi" w:hAnsiTheme="minorHAnsi"/>
                <w:szCs w:val="22"/>
              </w:rPr>
              <w:t xml:space="preserve">SS-ED-3_ED_ </w:t>
            </w:r>
            <w:proofErr w:type="spellStart"/>
            <w:r w:rsidRPr="00EC282F">
              <w:rPr>
                <w:rStyle w:val="indented"/>
                <w:rFonts w:asciiTheme="minorHAnsi" w:hAnsiTheme="minorHAnsi"/>
                <w:szCs w:val="22"/>
              </w:rPr>
              <w:t>Visit_Patient_Admitted</w:t>
            </w:r>
            <w:proofErr w:type="spellEnd"/>
            <w:r w:rsidRPr="00EC282F">
              <w:rPr>
                <w:rFonts w:asciiTheme="minorHAnsi" w:hAnsiTheme="minorHAnsi" w:cs="Arial"/>
                <w:szCs w:val="22"/>
              </w:rPr>
              <w:t xml:space="preserve"> </w:t>
            </w:r>
          </w:p>
          <w:p w14:paraId="6C8CCD04" w14:textId="77777777" w:rsidR="00BB239B" w:rsidRPr="00EC282F" w:rsidRDefault="00BB239B" w:rsidP="00EC282F">
            <w:pPr>
              <w:pStyle w:val="PlainText"/>
              <w:rPr>
                <w:rFonts w:asciiTheme="minorHAnsi" w:hAnsiTheme="minorHAnsi" w:cs="Arial"/>
                <w:szCs w:val="22"/>
              </w:rPr>
            </w:pPr>
          </w:p>
          <w:p w14:paraId="6F672C7E" w14:textId="6388BE26" w:rsidR="00CC2DA0" w:rsidRPr="00EC282F" w:rsidRDefault="00BB239B" w:rsidP="00EC282F">
            <w:pPr>
              <w:pStyle w:val="PlainText"/>
              <w:rPr>
                <w:rFonts w:asciiTheme="minorHAnsi" w:hAnsiTheme="minorHAnsi" w:cs="Arial"/>
                <w:szCs w:val="22"/>
              </w:rPr>
            </w:pPr>
            <w:r w:rsidRPr="00EC282F">
              <w:rPr>
                <w:rFonts w:asciiTheme="minorHAnsi" w:hAnsiTheme="minorHAnsi" w:cs="Arial"/>
                <w:szCs w:val="22"/>
              </w:rPr>
              <w:t>Test Step: SS-ED-3.4_Admission_A01</w:t>
            </w:r>
          </w:p>
        </w:tc>
        <w:tc>
          <w:tcPr>
            <w:tcW w:w="3330" w:type="dxa"/>
          </w:tcPr>
          <w:p w14:paraId="6422D79B" w14:textId="617C6C76" w:rsidR="00CC2DA0" w:rsidRPr="00EC282F" w:rsidRDefault="00BB239B" w:rsidP="00EC282F">
            <w:r w:rsidRPr="00EC282F">
              <w:rPr>
                <w:rFonts w:cs="Arial"/>
              </w:rPr>
              <w:t>The PHIN Guide R2.0 requires PV1-2 (Patient Class) to be "used to identify which data stream (setting) the record is coming from". If the patient is in the ED setting when the A01 message is sent, then PV1-2 is to be populated with “E” for emergency department. The ADT^A01 message type was designed to be used for communicating patient information related to inpatient admissions, and PV1-2 typically would be populated with “I” for inpatient.</w:t>
            </w:r>
          </w:p>
        </w:tc>
        <w:tc>
          <w:tcPr>
            <w:tcW w:w="3955" w:type="dxa"/>
          </w:tcPr>
          <w:p w14:paraId="52C97ECC" w14:textId="76B0660E" w:rsidR="00CC2DA0" w:rsidRPr="00EC282F" w:rsidRDefault="00BB239B" w:rsidP="00EC282F">
            <w:pPr>
              <w:rPr>
                <w:rFonts w:cs="Arial"/>
              </w:rPr>
            </w:pPr>
            <w:r w:rsidRPr="00EC282F">
              <w:rPr>
                <w:rFonts w:cs="Arial"/>
              </w:rPr>
              <w:t>The Test Tool has been reconfigured to allow PV1-2 in the HL7 message for SS-ED-3.4_Admission_A01 to be populated with either “E” or “I”.</w:t>
            </w:r>
          </w:p>
          <w:p w14:paraId="68480F29" w14:textId="608F58A5" w:rsidR="00EC282F" w:rsidRPr="00EC282F" w:rsidRDefault="00EC282F" w:rsidP="00EC282F">
            <w:pPr>
              <w:rPr>
                <w:rFonts w:cs="Arial"/>
              </w:rPr>
            </w:pPr>
          </w:p>
          <w:p w14:paraId="7648937F" w14:textId="72985D25" w:rsidR="00EC282F" w:rsidRPr="00EC282F" w:rsidRDefault="00EC282F" w:rsidP="00EC282F">
            <w:pPr>
              <w:rPr>
                <w:rFonts w:cs="Arial"/>
              </w:rPr>
            </w:pPr>
            <w:r w:rsidRPr="00EC282F">
              <w:rPr>
                <w:rFonts w:cs="Arial"/>
              </w:rPr>
              <w:t>The Example Message and Message Content Sheet list “E” as the data in the PV1-2 Location.</w:t>
            </w:r>
          </w:p>
          <w:p w14:paraId="5A3A462E" w14:textId="0B752779" w:rsidR="00EC282F" w:rsidRPr="00EC282F" w:rsidRDefault="00EC282F" w:rsidP="00EC282F">
            <w:pPr>
              <w:rPr>
                <w:rFonts w:cs="Arial"/>
              </w:rPr>
            </w:pPr>
          </w:p>
          <w:p w14:paraId="28780EAC" w14:textId="0F97CC70" w:rsidR="00EC282F" w:rsidRPr="00EC282F" w:rsidRDefault="00EC282F" w:rsidP="00EC282F">
            <w:pPr>
              <w:rPr>
                <w:rFonts w:cs="Arial"/>
              </w:rPr>
            </w:pPr>
            <w:r w:rsidRPr="00EC282F">
              <w:rPr>
                <w:rFonts w:cs="Arial"/>
              </w:rPr>
              <w:t>The Categorization for PV1-2 on the Message Content Sheet has been changed from “Value-Test Case Fixed” to “Value-Test Case Fixed List”.</w:t>
            </w:r>
          </w:p>
          <w:p w14:paraId="59A6619F" w14:textId="5CEBABA1" w:rsidR="00EC282F" w:rsidRPr="00EC282F" w:rsidRDefault="00EC282F" w:rsidP="00EC282F">
            <w:pPr>
              <w:rPr>
                <w:rFonts w:cs="Arial"/>
              </w:rPr>
            </w:pPr>
          </w:p>
          <w:p w14:paraId="58242996" w14:textId="64F2A703" w:rsidR="00EC282F" w:rsidRPr="00EC282F" w:rsidRDefault="00EC282F" w:rsidP="00EC282F">
            <w:pPr>
              <w:rPr>
                <w:rFonts w:cs="Arial"/>
              </w:rPr>
            </w:pPr>
            <w:r w:rsidRPr="00EC282F">
              <w:rPr>
                <w:rFonts w:cs="Arial"/>
              </w:rPr>
              <w:t>This verbiage has been added to Notes for Testers on the Test Story tab:</w:t>
            </w:r>
          </w:p>
          <w:p w14:paraId="43A95DA3" w14:textId="77777777" w:rsidR="00EC282F" w:rsidRDefault="00EC282F" w:rsidP="00EC282F">
            <w:pPr>
              <w:rPr>
                <w:rFonts w:cs="Arial"/>
                <w:color w:val="000000"/>
              </w:rPr>
            </w:pPr>
            <w:r w:rsidRPr="00EC282F">
              <w:rPr>
                <w:rFonts w:cs="Arial"/>
                <w:color w:val="000000"/>
              </w:rPr>
              <w:t>PV1-2 may be populated with either “E” or “I”. </w:t>
            </w:r>
          </w:p>
          <w:p w14:paraId="69E89F7C" w14:textId="77777777" w:rsidR="0043069D" w:rsidRDefault="0043069D" w:rsidP="00EC282F">
            <w:pPr>
              <w:rPr>
                <w:rFonts w:cs="Arial"/>
                <w:color w:val="000000"/>
              </w:rPr>
            </w:pPr>
          </w:p>
          <w:p w14:paraId="27B63CA3" w14:textId="45B92133" w:rsidR="0043069D" w:rsidRPr="00EC282F" w:rsidRDefault="0043069D" w:rsidP="0043069D">
            <w:pPr>
              <w:rPr>
                <w:shd w:val="clear" w:color="auto" w:fill="FFFFFF"/>
              </w:rPr>
            </w:pPr>
            <w:r>
              <w:rPr>
                <w:rFonts w:ascii="Calibri" w:hAnsi="Calibri"/>
                <w:color w:val="000000"/>
              </w:rPr>
              <w:t xml:space="preserve">If the HIT Module being tested (SUT) creates the message with “E” in PV1-2, then the message is conformant to the Guide and the SUT passes this part of the certification testing; if the SUT creates the message with “I” in PV1-2, then the message is not conformant to the Guide, but the SUT still passes this part of the certification testing due to the official exception being made as reflected in the Tool. </w:t>
            </w:r>
          </w:p>
        </w:tc>
      </w:tr>
      <w:tr w:rsidR="00345A0D" w14:paraId="44ABA381" w14:textId="77777777" w:rsidTr="00BB239B">
        <w:trPr>
          <w:trHeight w:val="323"/>
        </w:trPr>
        <w:tc>
          <w:tcPr>
            <w:tcW w:w="2065" w:type="dxa"/>
          </w:tcPr>
          <w:p w14:paraId="49A4A9EF" w14:textId="06477A70" w:rsidR="00345A0D" w:rsidRPr="00AF6EB1" w:rsidRDefault="00345A0D" w:rsidP="00EC282F">
            <w:pPr>
              <w:pStyle w:val="PlainText"/>
              <w:rPr>
                <w:rStyle w:val="indented"/>
                <w:rFonts w:asciiTheme="minorHAnsi" w:hAnsiTheme="minorHAnsi"/>
                <w:szCs w:val="22"/>
              </w:rPr>
            </w:pPr>
            <w:r w:rsidRPr="00AF6EB1">
              <w:rPr>
                <w:rStyle w:val="indented"/>
              </w:rPr>
              <w:t>SS-UC-1_UC_Visit_Influenza_Child</w:t>
            </w:r>
          </w:p>
        </w:tc>
        <w:tc>
          <w:tcPr>
            <w:tcW w:w="3330" w:type="dxa"/>
          </w:tcPr>
          <w:p w14:paraId="2E5C865A" w14:textId="1F7EE5E5" w:rsidR="00345A0D" w:rsidRPr="00AF6EB1" w:rsidRDefault="00345A0D" w:rsidP="00345A0D">
            <w:r w:rsidRPr="00AF6EB1">
              <w:rPr>
                <w:rFonts w:cs="Arial"/>
              </w:rPr>
              <w:t xml:space="preserve">The PHIN SS Guide R2.0 </w:t>
            </w:r>
            <w:r w:rsidRPr="00AF6EB1">
              <w:t>states that the Facility/Visit Type coded values are carried in OBX-5 fields and OBX-2 is CWE; the Guide specifies that the Usage is RE for the Alternate Identifier and Alternate Text fields (OBX-5.4 and 5.5) and is C(R/X) for the Alternate Coding System field (OBX-5.6).</w:t>
            </w:r>
          </w:p>
          <w:p w14:paraId="43B5024D" w14:textId="77777777" w:rsidR="00345A0D" w:rsidRPr="00AF6EB1" w:rsidRDefault="00345A0D" w:rsidP="00345A0D"/>
          <w:p w14:paraId="4D180CD1" w14:textId="44CED639" w:rsidR="00345A0D" w:rsidRPr="00AF6EB1" w:rsidRDefault="00345A0D" w:rsidP="00345A0D">
            <w:r w:rsidRPr="00AF6EB1">
              <w:t xml:space="preserve">In order to test for this capability, test data are provided for these Alternate ID fields in the OBX </w:t>
            </w:r>
            <w:r w:rsidRPr="00AF6EB1">
              <w:lastRenderedPageBreak/>
              <w:t>segment for the Facility/Visit Type in the messages for the Urgent Care Test Case, and the system being tested must create messages in which these fields are populated.</w:t>
            </w:r>
          </w:p>
        </w:tc>
        <w:tc>
          <w:tcPr>
            <w:tcW w:w="3955" w:type="dxa"/>
          </w:tcPr>
          <w:p w14:paraId="23CE98C0" w14:textId="5811DB04" w:rsidR="008F331C" w:rsidRPr="00AF6EB1" w:rsidRDefault="00743CD9" w:rsidP="00743CD9">
            <w:pPr>
              <w:rPr>
                <w:rFonts w:cs="Arial"/>
              </w:rPr>
            </w:pPr>
            <w:r w:rsidRPr="00AF6EB1">
              <w:rPr>
                <w:rFonts w:cs="Arial"/>
              </w:rPr>
              <w:lastRenderedPageBreak/>
              <w:t xml:space="preserve">The CDC </w:t>
            </w:r>
            <w:r w:rsidR="008F331C" w:rsidRPr="00AF6EB1">
              <w:rPr>
                <w:rFonts w:cs="Arial"/>
              </w:rPr>
              <w:t>and ONC have</w:t>
            </w:r>
            <w:r w:rsidRPr="00AF6EB1">
              <w:rPr>
                <w:rFonts w:cs="Arial"/>
              </w:rPr>
              <w:t xml:space="preserve"> </w:t>
            </w:r>
            <w:r w:rsidR="008F331C" w:rsidRPr="00AF6EB1">
              <w:rPr>
                <w:rFonts w:cs="Arial"/>
              </w:rPr>
              <w:t xml:space="preserve">specified that this requirement be relaxed for purposes of ONC </w:t>
            </w:r>
            <w:r w:rsidR="009C68C4" w:rsidRPr="00AF6EB1">
              <w:rPr>
                <w:rFonts w:cs="Arial"/>
              </w:rPr>
              <w:t xml:space="preserve">2015 Edition </w:t>
            </w:r>
            <w:r w:rsidR="008F331C" w:rsidRPr="00AF6EB1">
              <w:rPr>
                <w:rFonts w:cs="Arial"/>
              </w:rPr>
              <w:t>certification testing.</w:t>
            </w:r>
          </w:p>
          <w:p w14:paraId="1C463124" w14:textId="77777777" w:rsidR="008F331C" w:rsidRPr="00AF6EB1" w:rsidRDefault="008F331C" w:rsidP="00743CD9">
            <w:pPr>
              <w:rPr>
                <w:rFonts w:cs="Arial"/>
              </w:rPr>
            </w:pPr>
          </w:p>
          <w:p w14:paraId="18B0365F" w14:textId="06DE6144" w:rsidR="00743CD9" w:rsidRPr="00AF6EB1" w:rsidRDefault="00743CD9" w:rsidP="00743CD9">
            <w:pPr>
              <w:rPr>
                <w:rFonts w:cs="Arial"/>
              </w:rPr>
            </w:pPr>
            <w:r w:rsidRPr="00AF6EB1">
              <w:rPr>
                <w:rFonts w:cs="Arial"/>
              </w:rPr>
              <w:t>The Test Tool has been reconfigured to no longer validate for presence of data in the OBX-5.4, OBX-5.5, and OBX-5.6 fields for the Facility/Visit Type OBX segment.</w:t>
            </w:r>
          </w:p>
          <w:p w14:paraId="4791CAB0" w14:textId="77777777" w:rsidR="00743CD9" w:rsidRPr="00AF6EB1" w:rsidRDefault="00743CD9" w:rsidP="00743CD9">
            <w:pPr>
              <w:rPr>
                <w:rFonts w:cs="Arial"/>
              </w:rPr>
            </w:pPr>
          </w:p>
          <w:p w14:paraId="7AD28EFD" w14:textId="0A3EF4B7" w:rsidR="00743CD9" w:rsidRPr="00AF6EB1" w:rsidRDefault="00743CD9" w:rsidP="00743CD9">
            <w:pPr>
              <w:rPr>
                <w:rFonts w:cs="Arial"/>
              </w:rPr>
            </w:pPr>
            <w:r w:rsidRPr="00AF6EB1">
              <w:rPr>
                <w:rFonts w:cs="Arial"/>
              </w:rPr>
              <w:t>The Example Message and Message Content Sheet no longer list test data for these Locations.</w:t>
            </w:r>
          </w:p>
          <w:p w14:paraId="7AC4886D" w14:textId="77777777" w:rsidR="00743CD9" w:rsidRPr="00AF6EB1" w:rsidRDefault="00743CD9" w:rsidP="00743CD9">
            <w:pPr>
              <w:rPr>
                <w:rFonts w:cs="Arial"/>
              </w:rPr>
            </w:pPr>
          </w:p>
          <w:p w14:paraId="2EB08358" w14:textId="3F56344F" w:rsidR="00345A0D" w:rsidRPr="00AF6EB1" w:rsidRDefault="00743CD9" w:rsidP="00EC282F">
            <w:pPr>
              <w:rPr>
                <w:rFonts w:cs="Arial"/>
              </w:rPr>
            </w:pPr>
            <w:r w:rsidRPr="00AF6EB1">
              <w:rPr>
                <w:rFonts w:cs="Arial"/>
              </w:rPr>
              <w:lastRenderedPageBreak/>
              <w:t>The Categorization for these Locations on the Message Content Sheet has been changed from “Presence-Content Indifferent” to “Indifferent”.</w:t>
            </w:r>
          </w:p>
        </w:tc>
      </w:tr>
    </w:tbl>
    <w:p w14:paraId="7F282D34" w14:textId="77777777" w:rsidR="00DD022F" w:rsidRDefault="00DD022F" w:rsidP="00420C09"/>
    <w:p w14:paraId="062DBC3F" w14:textId="77777777" w:rsidR="00420C09" w:rsidRDefault="00987C70" w:rsidP="00420C09">
      <w:r>
        <w:t xml:space="preserve">Specific </w:t>
      </w:r>
      <w:r w:rsidR="00420C09">
        <w:t>Validation</w:t>
      </w:r>
    </w:p>
    <w:tbl>
      <w:tblPr>
        <w:tblStyle w:val="TableGrid"/>
        <w:tblW w:w="0" w:type="auto"/>
        <w:tblLayout w:type="fixed"/>
        <w:tblLook w:val="04A0" w:firstRow="1" w:lastRow="0" w:firstColumn="1" w:lastColumn="0" w:noHBand="0" w:noVBand="1"/>
      </w:tblPr>
      <w:tblGrid>
        <w:gridCol w:w="4405"/>
        <w:gridCol w:w="4945"/>
      </w:tblGrid>
      <w:tr w:rsidR="008C4252" w14:paraId="3F1D3BB4" w14:textId="77777777" w:rsidTr="008535C1">
        <w:tc>
          <w:tcPr>
            <w:tcW w:w="4405" w:type="dxa"/>
            <w:tcBorders>
              <w:bottom w:val="single" w:sz="4" w:space="0" w:color="auto"/>
            </w:tcBorders>
          </w:tcPr>
          <w:p w14:paraId="239B6D11" w14:textId="77777777" w:rsidR="00D65A11" w:rsidRPr="00412050" w:rsidRDefault="00D65A11" w:rsidP="003269D6">
            <w:pPr>
              <w:rPr>
                <w:b/>
              </w:rPr>
            </w:pPr>
            <w:r w:rsidRPr="00412050">
              <w:rPr>
                <w:b/>
              </w:rPr>
              <w:t>Issue</w:t>
            </w:r>
          </w:p>
        </w:tc>
        <w:tc>
          <w:tcPr>
            <w:tcW w:w="4945" w:type="dxa"/>
            <w:tcBorders>
              <w:bottom w:val="single" w:sz="4" w:space="0" w:color="auto"/>
            </w:tcBorders>
          </w:tcPr>
          <w:p w14:paraId="1CB3F726" w14:textId="77777777" w:rsidR="00D65A11" w:rsidRPr="00412050" w:rsidRDefault="00D65A11" w:rsidP="003269D6">
            <w:pPr>
              <w:rPr>
                <w:b/>
              </w:rPr>
            </w:pPr>
            <w:r w:rsidRPr="00412050">
              <w:rPr>
                <w:b/>
              </w:rPr>
              <w:t>Resolution</w:t>
            </w:r>
          </w:p>
        </w:tc>
      </w:tr>
      <w:tr w:rsidR="006D1B8F" w14:paraId="02B9E3A8" w14:textId="77777777" w:rsidTr="001346D6">
        <w:tc>
          <w:tcPr>
            <w:tcW w:w="4405" w:type="dxa"/>
          </w:tcPr>
          <w:p w14:paraId="527E3161" w14:textId="32A595B8" w:rsidR="001D332E" w:rsidRPr="001D332E" w:rsidRDefault="00BB239B" w:rsidP="00BB239B">
            <w:pPr>
              <w:pStyle w:val="PlainText"/>
            </w:pPr>
            <w:r>
              <w:rPr>
                <w:rFonts w:ascii="Arial" w:hAnsi="Arial" w:cs="Arial"/>
                <w:sz w:val="18"/>
                <w:szCs w:val="18"/>
              </w:rPr>
              <w:t>None</w:t>
            </w:r>
          </w:p>
        </w:tc>
        <w:tc>
          <w:tcPr>
            <w:tcW w:w="4945" w:type="dxa"/>
          </w:tcPr>
          <w:p w14:paraId="4E392E81" w14:textId="3AAEBEC8" w:rsidR="00945F5B" w:rsidRPr="007710B5" w:rsidRDefault="00945F5B" w:rsidP="002405D6"/>
        </w:tc>
      </w:tr>
    </w:tbl>
    <w:p w14:paraId="0C52AF0C" w14:textId="77777777" w:rsidR="00642A60" w:rsidRDefault="00642A60" w:rsidP="007A49DD">
      <w:pPr>
        <w:spacing w:after="120" w:line="240" w:lineRule="auto"/>
      </w:pPr>
    </w:p>
    <w:p w14:paraId="6A2B5F6A" w14:textId="25A30303" w:rsidR="007A49DD" w:rsidRDefault="007A49DD" w:rsidP="007A49DD">
      <w:pPr>
        <w:spacing w:after="120" w:line="240" w:lineRule="auto"/>
      </w:pPr>
      <w:r>
        <w:t>Documentation</w:t>
      </w:r>
    </w:p>
    <w:tbl>
      <w:tblPr>
        <w:tblStyle w:val="TableGrid"/>
        <w:tblW w:w="0" w:type="auto"/>
        <w:tblLook w:val="04A0" w:firstRow="1" w:lastRow="0" w:firstColumn="1" w:lastColumn="0" w:noHBand="0" w:noVBand="1"/>
      </w:tblPr>
      <w:tblGrid>
        <w:gridCol w:w="4385"/>
        <w:gridCol w:w="4965"/>
      </w:tblGrid>
      <w:tr w:rsidR="007A49DD" w14:paraId="78715BB5" w14:textId="77777777" w:rsidTr="00384C88">
        <w:trPr>
          <w:tblHeader/>
        </w:trPr>
        <w:tc>
          <w:tcPr>
            <w:tcW w:w="4385" w:type="dxa"/>
          </w:tcPr>
          <w:p w14:paraId="1CF867D0" w14:textId="77777777" w:rsidR="007A49DD" w:rsidRPr="00412050" w:rsidRDefault="007A49DD" w:rsidP="00F758E1">
            <w:pPr>
              <w:rPr>
                <w:b/>
              </w:rPr>
            </w:pPr>
            <w:r w:rsidRPr="00412050">
              <w:rPr>
                <w:b/>
              </w:rPr>
              <w:t>Issue</w:t>
            </w:r>
          </w:p>
        </w:tc>
        <w:tc>
          <w:tcPr>
            <w:tcW w:w="4965" w:type="dxa"/>
          </w:tcPr>
          <w:p w14:paraId="00B3452C" w14:textId="77777777" w:rsidR="007A49DD" w:rsidRPr="00412050" w:rsidRDefault="007A49DD" w:rsidP="00F758E1">
            <w:pPr>
              <w:rPr>
                <w:b/>
              </w:rPr>
            </w:pPr>
            <w:r w:rsidRPr="00412050">
              <w:rPr>
                <w:b/>
              </w:rPr>
              <w:t>Resolution</w:t>
            </w:r>
          </w:p>
        </w:tc>
      </w:tr>
      <w:tr w:rsidR="009C1A36" w:rsidRPr="005A38F0" w14:paraId="59939C36" w14:textId="77777777" w:rsidTr="00C703C0">
        <w:tc>
          <w:tcPr>
            <w:tcW w:w="4385" w:type="dxa"/>
            <w:shd w:val="clear" w:color="auto" w:fill="auto"/>
          </w:tcPr>
          <w:p w14:paraId="213B126A" w14:textId="465DF9BD" w:rsidR="009C1A36" w:rsidRPr="0045226F" w:rsidRDefault="009C1A36" w:rsidP="0045226F">
            <w:pPr>
              <w:rPr>
                <w:rFonts w:cs="Arial"/>
              </w:rPr>
            </w:pPr>
            <w:r>
              <w:t>Test Tool now works with IE 9+ Browser in addition to Firefox (recommended), Chrome (recommended), and Safari</w:t>
            </w:r>
          </w:p>
        </w:tc>
        <w:tc>
          <w:tcPr>
            <w:tcW w:w="4965" w:type="dxa"/>
          </w:tcPr>
          <w:p w14:paraId="723E42BF" w14:textId="6D92B4AD" w:rsidR="009C1A36" w:rsidRDefault="009C1A36" w:rsidP="0045226F">
            <w:pPr>
              <w:autoSpaceDE w:val="0"/>
              <w:autoSpaceDN w:val="0"/>
              <w:adjustRightInd w:val="0"/>
              <w:rPr>
                <w:color w:val="000000"/>
                <w:shd w:val="clear" w:color="auto" w:fill="F9F9F9"/>
              </w:rPr>
            </w:pPr>
            <w:r>
              <w:rPr>
                <w:rFonts w:cs="Arial"/>
              </w:rPr>
              <w:t>NIST Normative Test Process Document has been updated with this change.</w:t>
            </w:r>
          </w:p>
        </w:tc>
      </w:tr>
      <w:tr w:rsidR="0045226F" w:rsidRPr="005A38F0" w14:paraId="57676DCE" w14:textId="77777777" w:rsidTr="00C703C0">
        <w:tc>
          <w:tcPr>
            <w:tcW w:w="4385" w:type="dxa"/>
            <w:shd w:val="clear" w:color="auto" w:fill="auto"/>
          </w:tcPr>
          <w:p w14:paraId="7C90674D" w14:textId="7825FE06" w:rsidR="0045226F" w:rsidRPr="0045226F" w:rsidRDefault="0045226F" w:rsidP="0045226F">
            <w:r w:rsidRPr="0045226F">
              <w:rPr>
                <w:rFonts w:cs="Arial"/>
              </w:rPr>
              <w:t>The Test Tool has been reconfigured to allow PV1-2 in the HL7 message for SS-ED-3.4_Admission_A01 to be populated with either “E” or “I”.</w:t>
            </w:r>
          </w:p>
        </w:tc>
        <w:tc>
          <w:tcPr>
            <w:tcW w:w="4965" w:type="dxa"/>
          </w:tcPr>
          <w:p w14:paraId="4AD7E48A" w14:textId="0C734EEB" w:rsidR="0045226F" w:rsidRPr="0045226F" w:rsidRDefault="0045226F" w:rsidP="0045226F">
            <w:pPr>
              <w:autoSpaceDE w:val="0"/>
              <w:autoSpaceDN w:val="0"/>
              <w:adjustRightInd w:val="0"/>
              <w:rPr>
                <w:rFonts w:cs="Arial"/>
              </w:rPr>
            </w:pPr>
            <w:r>
              <w:rPr>
                <w:color w:val="000000"/>
                <w:shd w:val="clear" w:color="auto" w:fill="F9F9F9"/>
              </w:rPr>
              <w:t xml:space="preserve">Item NIST-43 has been added to the </w:t>
            </w:r>
            <w:r w:rsidRPr="0045226F">
              <w:rPr>
                <w:color w:val="000000"/>
                <w:shd w:val="clear" w:color="auto" w:fill="F9F9F9"/>
              </w:rPr>
              <w:t>NIST SS Clarifications and Validation Guidelines</w:t>
            </w:r>
            <w:r>
              <w:rPr>
                <w:color w:val="000000"/>
                <w:shd w:val="clear" w:color="auto" w:fill="F9F9F9"/>
              </w:rPr>
              <w:t xml:space="preserve"> to explain this modification.</w:t>
            </w:r>
          </w:p>
        </w:tc>
      </w:tr>
      <w:tr w:rsidR="00987542" w:rsidRPr="005A38F0" w14:paraId="54A0884C" w14:textId="77777777" w:rsidTr="00C703C0">
        <w:tc>
          <w:tcPr>
            <w:tcW w:w="4385" w:type="dxa"/>
            <w:shd w:val="clear" w:color="auto" w:fill="auto"/>
          </w:tcPr>
          <w:p w14:paraId="43A8246A" w14:textId="000FE0EF" w:rsidR="00987542" w:rsidRPr="00AF6EB1" w:rsidRDefault="00987542" w:rsidP="00747D97">
            <w:pPr>
              <w:rPr>
                <w:rFonts w:cs="Arial"/>
              </w:rPr>
            </w:pPr>
            <w:r w:rsidRPr="00AF6EB1">
              <w:rPr>
                <w:rFonts w:cs="Arial"/>
              </w:rPr>
              <w:t xml:space="preserve">Test Case </w:t>
            </w:r>
            <w:r w:rsidRPr="00AF6EB1">
              <w:rPr>
                <w:rStyle w:val="indented"/>
              </w:rPr>
              <w:t xml:space="preserve">SS-UC-1_UC_Visit_Influenza_Child </w:t>
            </w:r>
            <w:r w:rsidRPr="00AF6EB1">
              <w:rPr>
                <w:rFonts w:cs="Arial"/>
              </w:rPr>
              <w:t xml:space="preserve">has been reconfigured to no longer validate for presence of data in the OBX-5.4, OBX-5.5, </w:t>
            </w:r>
            <w:r w:rsidR="00747D97" w:rsidRPr="00AF6EB1">
              <w:rPr>
                <w:rFonts w:cs="Arial"/>
              </w:rPr>
              <w:t xml:space="preserve">and </w:t>
            </w:r>
            <w:r w:rsidRPr="00AF6EB1">
              <w:rPr>
                <w:rFonts w:cs="Arial"/>
              </w:rPr>
              <w:t xml:space="preserve">OBX-5.6 </w:t>
            </w:r>
            <w:r w:rsidR="00747D97" w:rsidRPr="00AF6EB1">
              <w:rPr>
                <w:rFonts w:cs="Arial"/>
              </w:rPr>
              <w:t xml:space="preserve">fields </w:t>
            </w:r>
            <w:r w:rsidRPr="00AF6EB1">
              <w:rPr>
                <w:rFonts w:cs="Arial"/>
              </w:rPr>
              <w:t xml:space="preserve">for </w:t>
            </w:r>
            <w:r w:rsidR="00747D97" w:rsidRPr="00AF6EB1">
              <w:rPr>
                <w:rFonts w:cs="Arial"/>
              </w:rPr>
              <w:t>the Facility/Visit Type OBX segment.</w:t>
            </w:r>
          </w:p>
        </w:tc>
        <w:tc>
          <w:tcPr>
            <w:tcW w:w="4965" w:type="dxa"/>
          </w:tcPr>
          <w:p w14:paraId="2489C6E8" w14:textId="0428D1EC" w:rsidR="00987542" w:rsidRPr="00AF6EB1" w:rsidRDefault="00987542" w:rsidP="00747D97">
            <w:pPr>
              <w:autoSpaceDE w:val="0"/>
              <w:autoSpaceDN w:val="0"/>
              <w:adjustRightInd w:val="0"/>
              <w:rPr>
                <w:shd w:val="clear" w:color="auto" w:fill="F9F9F9"/>
              </w:rPr>
            </w:pPr>
            <w:r w:rsidRPr="00AF6EB1">
              <w:rPr>
                <w:shd w:val="clear" w:color="auto" w:fill="F9F9F9"/>
              </w:rPr>
              <w:t>Item NIST-4</w:t>
            </w:r>
            <w:r w:rsidR="00747D97" w:rsidRPr="00AF6EB1">
              <w:rPr>
                <w:shd w:val="clear" w:color="auto" w:fill="F9F9F9"/>
              </w:rPr>
              <w:t>4</w:t>
            </w:r>
            <w:r w:rsidRPr="00AF6EB1">
              <w:rPr>
                <w:shd w:val="clear" w:color="auto" w:fill="F9F9F9"/>
              </w:rPr>
              <w:t xml:space="preserve"> has been added to the NIST SS Clarifications and Validation Guidelines to explain this modification.</w:t>
            </w:r>
          </w:p>
        </w:tc>
      </w:tr>
      <w:tr w:rsidR="005F37B1" w:rsidRPr="005A38F0" w14:paraId="6859F139" w14:textId="77777777" w:rsidTr="00C703C0">
        <w:tc>
          <w:tcPr>
            <w:tcW w:w="4385" w:type="dxa"/>
            <w:shd w:val="clear" w:color="auto" w:fill="auto"/>
          </w:tcPr>
          <w:p w14:paraId="7B2987C3" w14:textId="77777777" w:rsidR="005F37B1" w:rsidRDefault="005F37B1" w:rsidP="005F37B1">
            <w:pPr>
              <w:jc w:val="both"/>
              <w:rPr>
                <w:rFonts w:cstheme="minorHAnsi"/>
              </w:rPr>
            </w:pPr>
            <w:r w:rsidRPr="005F37B1">
              <w:rPr>
                <w:rFonts w:cstheme="minorHAnsi"/>
              </w:rPr>
              <w:t>In order to be conformant to the PHIN Messaging Guide and associated Erratum, HIT developers must demonstrate for certification testing that their Module supports ICD-9CM, ICD-10CM, and SNOMED CT value sets for PV2-3 (Admit/Encounter Reason) and DG1-3 (Diagnosis Code).</w:t>
            </w:r>
          </w:p>
          <w:p w14:paraId="4E38FE92" w14:textId="77777777" w:rsidR="005F37B1" w:rsidRDefault="005F37B1" w:rsidP="005F37B1">
            <w:pPr>
              <w:jc w:val="both"/>
              <w:rPr>
                <w:rFonts w:cstheme="minorHAnsi"/>
              </w:rPr>
            </w:pPr>
          </w:p>
          <w:p w14:paraId="2B0AF82D" w14:textId="61900E32" w:rsidR="005F37B1" w:rsidRDefault="00EF67E8" w:rsidP="005F37B1">
            <w:pPr>
              <w:jc w:val="both"/>
              <w:rPr>
                <w:rFonts w:cstheme="minorHAnsi"/>
              </w:rPr>
            </w:pPr>
            <w:r w:rsidRPr="005F37B1">
              <w:rPr>
                <w:rFonts w:cstheme="minorHAnsi"/>
              </w:rPr>
              <w:t>Codes for only one of the three value sets are provided in the test data for each Test Step associate</w:t>
            </w:r>
            <w:r w:rsidR="005F37B1">
              <w:rPr>
                <w:rFonts w:cstheme="minorHAnsi"/>
              </w:rPr>
              <w:t xml:space="preserve">d with each health care setting covered in the PHIN Guide R2.0 (Urgent Care, Emergency, </w:t>
            </w:r>
            <w:r w:rsidR="00D231A6">
              <w:rPr>
                <w:rFonts w:cstheme="minorHAnsi"/>
              </w:rPr>
              <w:t xml:space="preserve">and </w:t>
            </w:r>
            <w:r w:rsidR="005F37B1">
              <w:rPr>
                <w:rFonts w:cstheme="minorHAnsi"/>
              </w:rPr>
              <w:t>Inpatient).</w:t>
            </w:r>
          </w:p>
          <w:p w14:paraId="0A407126" w14:textId="77777777" w:rsidR="005F37B1" w:rsidRDefault="005F37B1" w:rsidP="005F37B1">
            <w:pPr>
              <w:jc w:val="both"/>
              <w:rPr>
                <w:rFonts w:cstheme="minorHAnsi"/>
              </w:rPr>
            </w:pPr>
          </w:p>
          <w:p w14:paraId="436BD748" w14:textId="0263239F" w:rsidR="005F37B1" w:rsidRPr="005F37B1" w:rsidRDefault="00EF67E8" w:rsidP="005F37B1">
            <w:pPr>
              <w:jc w:val="both"/>
              <w:rPr>
                <w:rFonts w:cstheme="minorHAnsi"/>
              </w:rPr>
            </w:pPr>
            <w:r w:rsidRPr="005F37B1">
              <w:rPr>
                <w:rFonts w:cstheme="minorHAnsi"/>
              </w:rPr>
              <w:t>For certification testing, the health IT developer identifies whic</w:t>
            </w:r>
            <w:r w:rsidR="005F37B1">
              <w:rPr>
                <w:rFonts w:cstheme="minorHAnsi"/>
              </w:rPr>
              <w:t xml:space="preserve">h of the health care setting(s) </w:t>
            </w:r>
            <w:r w:rsidRPr="005F37B1">
              <w:rPr>
                <w:rFonts w:cstheme="minorHAnsi"/>
              </w:rPr>
              <w:t>are applicable to their Health IT Module</w:t>
            </w:r>
            <w:r w:rsidR="00D231A6">
              <w:rPr>
                <w:rFonts w:cstheme="minorHAnsi"/>
              </w:rPr>
              <w:t>.</w:t>
            </w:r>
          </w:p>
        </w:tc>
        <w:tc>
          <w:tcPr>
            <w:tcW w:w="4965" w:type="dxa"/>
          </w:tcPr>
          <w:p w14:paraId="1B2EAAC4" w14:textId="06113B83" w:rsidR="005F37B1" w:rsidRPr="005F37B1" w:rsidRDefault="005F37B1" w:rsidP="005F37B1">
            <w:pPr>
              <w:autoSpaceDE w:val="0"/>
              <w:autoSpaceDN w:val="0"/>
              <w:adjustRightInd w:val="0"/>
              <w:rPr>
                <w:rFonts w:cstheme="minorHAnsi"/>
                <w:shd w:val="clear" w:color="auto" w:fill="F9F9F9"/>
              </w:rPr>
            </w:pPr>
            <w:r w:rsidRPr="005F37B1">
              <w:rPr>
                <w:rFonts w:cstheme="minorHAnsi"/>
                <w:shd w:val="clear" w:color="auto" w:fill="F9F9F9"/>
              </w:rPr>
              <w:t xml:space="preserve">The Understanding </w:t>
            </w:r>
            <w:r w:rsidRPr="005F37B1">
              <w:rPr>
                <w:rFonts w:cstheme="minorHAnsi"/>
                <w:color w:val="000000"/>
                <w:shd w:val="clear" w:color="auto" w:fill="FFFFFF"/>
              </w:rPr>
              <w:t>Syndromic Surveillance ONC Certification Testing</w:t>
            </w:r>
            <w:r>
              <w:rPr>
                <w:rFonts w:cstheme="minorHAnsi"/>
                <w:color w:val="000000"/>
                <w:shd w:val="clear" w:color="auto" w:fill="FFFFFF"/>
              </w:rPr>
              <w:t xml:space="preserve"> slide deck has been updated with information </w:t>
            </w:r>
            <w:r w:rsidRPr="005F37B1">
              <w:rPr>
                <w:rFonts w:cstheme="minorHAnsi"/>
                <w:color w:val="000000"/>
                <w:shd w:val="clear" w:color="auto" w:fill="FFFFFF"/>
              </w:rPr>
              <w:t xml:space="preserve">regarding how </w:t>
            </w:r>
            <w:r>
              <w:rPr>
                <w:rFonts w:cstheme="minorHAnsi"/>
                <w:color w:val="000000"/>
                <w:shd w:val="clear" w:color="auto" w:fill="FFFFFF"/>
              </w:rPr>
              <w:t xml:space="preserve">the Tester </w:t>
            </w:r>
            <w:r w:rsidRPr="005F37B1">
              <w:rPr>
                <w:rFonts w:cstheme="minorHAnsi"/>
                <w:color w:val="000000"/>
                <w:shd w:val="clear" w:color="auto" w:fill="FFFFFF"/>
              </w:rPr>
              <w:t>ensure</w:t>
            </w:r>
            <w:r>
              <w:rPr>
                <w:rFonts w:cstheme="minorHAnsi"/>
                <w:color w:val="000000"/>
                <w:shd w:val="clear" w:color="auto" w:fill="FFFFFF"/>
              </w:rPr>
              <w:t>s</w:t>
            </w:r>
            <w:r w:rsidRPr="005F37B1">
              <w:rPr>
                <w:rFonts w:cstheme="minorHAnsi"/>
                <w:color w:val="000000"/>
                <w:shd w:val="clear" w:color="auto" w:fill="FFFFFF"/>
              </w:rPr>
              <w:t xml:space="preserve"> testing includes demonstration of support for ICD-9CM, ICD-10CM, and SNOMED CT value sets for PV2-3 and DG1-3 when an HIT developer indicates their Module does not support all of the health care settings</w:t>
            </w:r>
          </w:p>
        </w:tc>
      </w:tr>
    </w:tbl>
    <w:p w14:paraId="31BEBB5C" w14:textId="77777777" w:rsidR="001D332E" w:rsidRDefault="001D332E" w:rsidP="00987C70"/>
    <w:p w14:paraId="53FE5375" w14:textId="4F9F6A52" w:rsidR="00987C70" w:rsidRDefault="00987C70" w:rsidP="00987C70">
      <w:r>
        <w:lastRenderedPageBreak/>
        <w:t>User Interface</w:t>
      </w:r>
    </w:p>
    <w:tbl>
      <w:tblPr>
        <w:tblStyle w:val="TableGrid"/>
        <w:tblW w:w="0" w:type="auto"/>
        <w:tblLook w:val="04A0" w:firstRow="1" w:lastRow="0" w:firstColumn="1" w:lastColumn="0" w:noHBand="0" w:noVBand="1"/>
      </w:tblPr>
      <w:tblGrid>
        <w:gridCol w:w="4491"/>
        <w:gridCol w:w="4859"/>
      </w:tblGrid>
      <w:tr w:rsidR="00987C70" w14:paraId="1F46722B" w14:textId="77777777" w:rsidTr="00FE23F4">
        <w:trPr>
          <w:tblHeader/>
        </w:trPr>
        <w:tc>
          <w:tcPr>
            <w:tcW w:w="4491" w:type="dxa"/>
          </w:tcPr>
          <w:p w14:paraId="5ED49FD2" w14:textId="77777777" w:rsidR="00987C70" w:rsidRPr="00412050" w:rsidRDefault="00987C70" w:rsidP="003269D6">
            <w:pPr>
              <w:rPr>
                <w:b/>
              </w:rPr>
            </w:pPr>
            <w:r w:rsidRPr="00412050">
              <w:rPr>
                <w:b/>
              </w:rPr>
              <w:t>Issue</w:t>
            </w:r>
          </w:p>
        </w:tc>
        <w:tc>
          <w:tcPr>
            <w:tcW w:w="4859" w:type="dxa"/>
          </w:tcPr>
          <w:p w14:paraId="1E041FD8" w14:textId="77777777" w:rsidR="00987C70" w:rsidRPr="00412050" w:rsidRDefault="00987C70" w:rsidP="003269D6">
            <w:pPr>
              <w:rPr>
                <w:b/>
              </w:rPr>
            </w:pPr>
            <w:r w:rsidRPr="00412050">
              <w:rPr>
                <w:b/>
              </w:rPr>
              <w:t>Resolution</w:t>
            </w:r>
          </w:p>
        </w:tc>
      </w:tr>
      <w:tr w:rsidR="00F2395B" w14:paraId="46A2237B" w14:textId="77777777" w:rsidTr="00F2395B">
        <w:tc>
          <w:tcPr>
            <w:tcW w:w="4491" w:type="dxa"/>
          </w:tcPr>
          <w:p w14:paraId="6C96A725" w14:textId="7F2AE519" w:rsidR="008420B2" w:rsidRPr="00575173" w:rsidRDefault="007710B5" w:rsidP="00F2395B">
            <w:r>
              <w:t>None</w:t>
            </w:r>
          </w:p>
        </w:tc>
        <w:tc>
          <w:tcPr>
            <w:tcW w:w="4859" w:type="dxa"/>
          </w:tcPr>
          <w:p w14:paraId="6A973A3D" w14:textId="7521C9BA" w:rsidR="008420B2" w:rsidRPr="00575173" w:rsidRDefault="008420B2" w:rsidP="00642A60"/>
        </w:tc>
      </w:tr>
    </w:tbl>
    <w:p w14:paraId="5538000C" w14:textId="2F33FB21" w:rsidR="007D7C04" w:rsidRDefault="007D7C04" w:rsidP="001E20CE">
      <w:pPr>
        <w:spacing w:after="120"/>
      </w:pPr>
    </w:p>
    <w:p w14:paraId="6066A872" w14:textId="7BD496F9"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4388"/>
        <w:gridCol w:w="4962"/>
      </w:tblGrid>
      <w:tr w:rsidR="00C758DB" w14:paraId="2D00B8AE" w14:textId="77777777" w:rsidTr="001769C2">
        <w:tc>
          <w:tcPr>
            <w:tcW w:w="6228" w:type="dxa"/>
          </w:tcPr>
          <w:p w14:paraId="5D590051" w14:textId="77777777" w:rsidR="00C758DB" w:rsidRPr="00412050" w:rsidRDefault="00C758DB" w:rsidP="003269D6">
            <w:pPr>
              <w:rPr>
                <w:b/>
              </w:rPr>
            </w:pPr>
            <w:r w:rsidRPr="00412050">
              <w:rPr>
                <w:b/>
              </w:rPr>
              <w:t>Issue</w:t>
            </w:r>
          </w:p>
        </w:tc>
        <w:tc>
          <w:tcPr>
            <w:tcW w:w="6840" w:type="dxa"/>
          </w:tcPr>
          <w:p w14:paraId="3A6E1AA3" w14:textId="77777777" w:rsidR="00C758DB" w:rsidRPr="00412050" w:rsidRDefault="00C758DB" w:rsidP="003269D6">
            <w:pPr>
              <w:rPr>
                <w:b/>
              </w:rPr>
            </w:pPr>
            <w:r w:rsidRPr="00412050">
              <w:rPr>
                <w:b/>
              </w:rPr>
              <w:t>Resolution</w:t>
            </w:r>
          </w:p>
        </w:tc>
      </w:tr>
      <w:tr w:rsidR="00C758DB" w14:paraId="65D037DC" w14:textId="77777777" w:rsidTr="001769C2">
        <w:tc>
          <w:tcPr>
            <w:tcW w:w="6228" w:type="dxa"/>
          </w:tcPr>
          <w:p w14:paraId="0FB9C068" w14:textId="77777777" w:rsidR="00C758DB" w:rsidRDefault="007F68D5" w:rsidP="003269D6">
            <w:r>
              <w:t>None</w:t>
            </w:r>
          </w:p>
        </w:tc>
        <w:tc>
          <w:tcPr>
            <w:tcW w:w="6840" w:type="dxa"/>
          </w:tcPr>
          <w:p w14:paraId="64171D69" w14:textId="77777777" w:rsidR="00C758DB" w:rsidRDefault="00C758DB" w:rsidP="003269D6"/>
        </w:tc>
      </w:tr>
    </w:tbl>
    <w:p w14:paraId="7FFBD047" w14:textId="77777777" w:rsidR="00C758DB" w:rsidRDefault="00C758DB" w:rsidP="00420C09"/>
    <w:tbl>
      <w:tblPr>
        <w:tblStyle w:val="TableGrid"/>
        <w:tblW w:w="0" w:type="auto"/>
        <w:tblLook w:val="04A0" w:firstRow="1" w:lastRow="0" w:firstColumn="1" w:lastColumn="0" w:noHBand="0" w:noVBand="1"/>
      </w:tblPr>
      <w:tblGrid>
        <w:gridCol w:w="9350"/>
      </w:tblGrid>
      <w:tr w:rsidR="00242AB4" w14:paraId="0C1EB9EB" w14:textId="77777777" w:rsidTr="00B4672C">
        <w:tc>
          <w:tcPr>
            <w:tcW w:w="9350" w:type="dxa"/>
          </w:tcPr>
          <w:p w14:paraId="7A72406E" w14:textId="77777777" w:rsidR="00242AB4" w:rsidRPr="00412050" w:rsidRDefault="00242AB4" w:rsidP="009B6DA9">
            <w:pPr>
              <w:rPr>
                <w:b/>
              </w:rPr>
            </w:pPr>
            <w:r>
              <w:rPr>
                <w:b/>
              </w:rPr>
              <w:t>Improvements/Features</w:t>
            </w:r>
          </w:p>
        </w:tc>
      </w:tr>
      <w:tr w:rsidR="0045226F" w:rsidRPr="0045226F" w14:paraId="53F9C300" w14:textId="77777777" w:rsidTr="00B4672C">
        <w:tc>
          <w:tcPr>
            <w:tcW w:w="9350" w:type="dxa"/>
          </w:tcPr>
          <w:p w14:paraId="11CF2CE3" w14:textId="0D487F06" w:rsidR="003009A2" w:rsidRPr="0045226F" w:rsidRDefault="00B83C83" w:rsidP="00370C25">
            <w:r>
              <w:t xml:space="preserve">Test Tool </w:t>
            </w:r>
            <w:r w:rsidR="00910202">
              <w:t xml:space="preserve">now </w:t>
            </w:r>
            <w:r>
              <w:t>works with IE</w:t>
            </w:r>
            <w:r w:rsidR="00370C25">
              <w:t xml:space="preserve"> 9+ Browser in addition to Firefox (recommended), Chrome (recommended), and Safari</w:t>
            </w:r>
          </w:p>
        </w:tc>
      </w:tr>
    </w:tbl>
    <w:p w14:paraId="218C9D42" w14:textId="77777777" w:rsidR="00EA23F0" w:rsidRDefault="00EA23F0" w:rsidP="004C15EF"/>
    <w:p w14:paraId="29D3E61F" w14:textId="4ED9EFC8" w:rsidR="004C15EF" w:rsidRDefault="004C15EF" w:rsidP="004C15EF">
      <w:r>
        <w:t>Issues for a Future Release</w:t>
      </w:r>
    </w:p>
    <w:tbl>
      <w:tblPr>
        <w:tblStyle w:val="TableGrid"/>
        <w:tblW w:w="0" w:type="auto"/>
        <w:tblLook w:val="04A0" w:firstRow="1" w:lastRow="0" w:firstColumn="1" w:lastColumn="0" w:noHBand="0" w:noVBand="1"/>
      </w:tblPr>
      <w:tblGrid>
        <w:gridCol w:w="2470"/>
        <w:gridCol w:w="6880"/>
      </w:tblGrid>
      <w:tr w:rsidR="004C15EF" w14:paraId="52C50F50" w14:textId="77777777" w:rsidTr="00A757E8">
        <w:trPr>
          <w:cantSplit/>
        </w:trPr>
        <w:tc>
          <w:tcPr>
            <w:tcW w:w="2470" w:type="dxa"/>
          </w:tcPr>
          <w:p w14:paraId="41300010" w14:textId="77777777" w:rsidR="004C15EF" w:rsidRPr="00412050" w:rsidRDefault="004C15EF" w:rsidP="00F970ED">
            <w:pPr>
              <w:rPr>
                <w:b/>
              </w:rPr>
            </w:pPr>
            <w:r>
              <w:rPr>
                <w:b/>
              </w:rPr>
              <w:t>Test Case/if Applicable</w:t>
            </w:r>
          </w:p>
        </w:tc>
        <w:tc>
          <w:tcPr>
            <w:tcW w:w="6880" w:type="dxa"/>
          </w:tcPr>
          <w:p w14:paraId="697F469E" w14:textId="77777777" w:rsidR="004C15EF" w:rsidRPr="00412050" w:rsidRDefault="004C15EF" w:rsidP="00F970ED">
            <w:pPr>
              <w:rPr>
                <w:b/>
              </w:rPr>
            </w:pPr>
            <w:r>
              <w:rPr>
                <w:b/>
              </w:rPr>
              <w:t>Issue</w:t>
            </w:r>
          </w:p>
        </w:tc>
      </w:tr>
      <w:tr w:rsidR="00FD1D6C" w14:paraId="4CA1B46E" w14:textId="77777777" w:rsidTr="00A757E8">
        <w:trPr>
          <w:cantSplit/>
        </w:trPr>
        <w:tc>
          <w:tcPr>
            <w:tcW w:w="2470" w:type="dxa"/>
          </w:tcPr>
          <w:p w14:paraId="6CE949D3" w14:textId="6A2B14CB" w:rsidR="00FD1D6C" w:rsidRDefault="00A757E8" w:rsidP="00D8602C">
            <w:r>
              <w:t>None</w:t>
            </w:r>
          </w:p>
        </w:tc>
        <w:tc>
          <w:tcPr>
            <w:tcW w:w="6880" w:type="dxa"/>
          </w:tcPr>
          <w:p w14:paraId="4CC214B8" w14:textId="22218056" w:rsidR="00FD1D6C" w:rsidRDefault="00FD1D6C" w:rsidP="00D8602C"/>
        </w:tc>
      </w:tr>
    </w:tbl>
    <w:p w14:paraId="5F38E6E3" w14:textId="77777777" w:rsidR="00242AB4" w:rsidRDefault="00242AB4" w:rsidP="00237FAD"/>
    <w:p w14:paraId="24FE863B" w14:textId="77777777" w:rsidR="001320BE" w:rsidRDefault="001320BE"/>
    <w:sectPr w:rsidR="001320BE" w:rsidSect="00BA24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D6894" w14:textId="77777777" w:rsidR="00B75690" w:rsidRDefault="00B75690" w:rsidP="00281D35">
      <w:pPr>
        <w:spacing w:after="0" w:line="240" w:lineRule="auto"/>
      </w:pPr>
      <w:r>
        <w:separator/>
      </w:r>
    </w:p>
  </w:endnote>
  <w:endnote w:type="continuationSeparator" w:id="0">
    <w:p w14:paraId="5ACA6253" w14:textId="77777777" w:rsidR="00B75690" w:rsidRDefault="00B75690" w:rsidP="0028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276559"/>
      <w:docPartObj>
        <w:docPartGallery w:val="Page Numbers (Bottom of Page)"/>
        <w:docPartUnique/>
      </w:docPartObj>
    </w:sdtPr>
    <w:sdtEndPr>
      <w:rPr>
        <w:noProof/>
      </w:rPr>
    </w:sdtEndPr>
    <w:sdtContent>
      <w:p w14:paraId="4EC98952" w14:textId="78847ACE" w:rsidR="007F68D5" w:rsidRDefault="00685BC6">
        <w:pPr>
          <w:pStyle w:val="Footer"/>
          <w:jc w:val="right"/>
        </w:pPr>
        <w:r>
          <w:fldChar w:fldCharType="begin"/>
        </w:r>
        <w:r w:rsidR="007F68D5">
          <w:instrText xml:space="preserve"> PAGE   \* MERGEFORMAT </w:instrText>
        </w:r>
        <w:r>
          <w:fldChar w:fldCharType="separate"/>
        </w:r>
        <w:r w:rsidR="003F5C48">
          <w:rPr>
            <w:noProof/>
          </w:rPr>
          <w:t>1</w:t>
        </w:r>
        <w:r>
          <w:rPr>
            <w:noProof/>
          </w:rPr>
          <w:fldChar w:fldCharType="end"/>
        </w:r>
      </w:p>
    </w:sdtContent>
  </w:sdt>
  <w:p w14:paraId="24A5E93B" w14:textId="77777777" w:rsidR="007F68D5" w:rsidRDefault="007F6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AB36F" w14:textId="77777777" w:rsidR="00B75690" w:rsidRDefault="00B75690" w:rsidP="00281D35">
      <w:pPr>
        <w:spacing w:after="0" w:line="240" w:lineRule="auto"/>
      </w:pPr>
      <w:r>
        <w:separator/>
      </w:r>
    </w:p>
  </w:footnote>
  <w:footnote w:type="continuationSeparator" w:id="0">
    <w:p w14:paraId="7D80A757" w14:textId="77777777" w:rsidR="00B75690" w:rsidRDefault="00B75690" w:rsidP="0028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551"/>
    <w:multiLevelType w:val="hybridMultilevel"/>
    <w:tmpl w:val="554CD3CE"/>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1" w15:restartNumberingAfterBreak="0">
    <w:nsid w:val="18DD1486"/>
    <w:multiLevelType w:val="hybridMultilevel"/>
    <w:tmpl w:val="3C5623B0"/>
    <w:lvl w:ilvl="0" w:tplc="998ACBA4">
      <w:start w:val="1"/>
      <w:numFmt w:val="bullet"/>
      <w:lvlText w:val="•"/>
      <w:lvlJc w:val="left"/>
      <w:pPr>
        <w:tabs>
          <w:tab w:val="num" w:pos="720"/>
        </w:tabs>
        <w:ind w:left="720" w:hanging="360"/>
      </w:pPr>
      <w:rPr>
        <w:rFonts w:ascii="Times New Roman" w:hAnsi="Times New Roman" w:hint="default"/>
      </w:rPr>
    </w:lvl>
    <w:lvl w:ilvl="1" w:tplc="0094899C" w:tentative="1">
      <w:start w:val="1"/>
      <w:numFmt w:val="bullet"/>
      <w:lvlText w:val="•"/>
      <w:lvlJc w:val="left"/>
      <w:pPr>
        <w:tabs>
          <w:tab w:val="num" w:pos="1440"/>
        </w:tabs>
        <w:ind w:left="1440" w:hanging="360"/>
      </w:pPr>
      <w:rPr>
        <w:rFonts w:ascii="Times New Roman" w:hAnsi="Times New Roman" w:hint="default"/>
      </w:rPr>
    </w:lvl>
    <w:lvl w:ilvl="2" w:tplc="C838904E" w:tentative="1">
      <w:start w:val="1"/>
      <w:numFmt w:val="bullet"/>
      <w:lvlText w:val="•"/>
      <w:lvlJc w:val="left"/>
      <w:pPr>
        <w:tabs>
          <w:tab w:val="num" w:pos="2160"/>
        </w:tabs>
        <w:ind w:left="2160" w:hanging="360"/>
      </w:pPr>
      <w:rPr>
        <w:rFonts w:ascii="Times New Roman" w:hAnsi="Times New Roman" w:hint="default"/>
      </w:rPr>
    </w:lvl>
    <w:lvl w:ilvl="3" w:tplc="6680C9D8" w:tentative="1">
      <w:start w:val="1"/>
      <w:numFmt w:val="bullet"/>
      <w:lvlText w:val="•"/>
      <w:lvlJc w:val="left"/>
      <w:pPr>
        <w:tabs>
          <w:tab w:val="num" w:pos="2880"/>
        </w:tabs>
        <w:ind w:left="2880" w:hanging="360"/>
      </w:pPr>
      <w:rPr>
        <w:rFonts w:ascii="Times New Roman" w:hAnsi="Times New Roman" w:hint="default"/>
      </w:rPr>
    </w:lvl>
    <w:lvl w:ilvl="4" w:tplc="FF5E7620" w:tentative="1">
      <w:start w:val="1"/>
      <w:numFmt w:val="bullet"/>
      <w:lvlText w:val="•"/>
      <w:lvlJc w:val="left"/>
      <w:pPr>
        <w:tabs>
          <w:tab w:val="num" w:pos="3600"/>
        </w:tabs>
        <w:ind w:left="3600" w:hanging="360"/>
      </w:pPr>
      <w:rPr>
        <w:rFonts w:ascii="Times New Roman" w:hAnsi="Times New Roman" w:hint="default"/>
      </w:rPr>
    </w:lvl>
    <w:lvl w:ilvl="5" w:tplc="0E82E25A" w:tentative="1">
      <w:start w:val="1"/>
      <w:numFmt w:val="bullet"/>
      <w:lvlText w:val="•"/>
      <w:lvlJc w:val="left"/>
      <w:pPr>
        <w:tabs>
          <w:tab w:val="num" w:pos="4320"/>
        </w:tabs>
        <w:ind w:left="4320" w:hanging="360"/>
      </w:pPr>
      <w:rPr>
        <w:rFonts w:ascii="Times New Roman" w:hAnsi="Times New Roman" w:hint="default"/>
      </w:rPr>
    </w:lvl>
    <w:lvl w:ilvl="6" w:tplc="2C4EFEEE" w:tentative="1">
      <w:start w:val="1"/>
      <w:numFmt w:val="bullet"/>
      <w:lvlText w:val="•"/>
      <w:lvlJc w:val="left"/>
      <w:pPr>
        <w:tabs>
          <w:tab w:val="num" w:pos="5040"/>
        </w:tabs>
        <w:ind w:left="5040" w:hanging="360"/>
      </w:pPr>
      <w:rPr>
        <w:rFonts w:ascii="Times New Roman" w:hAnsi="Times New Roman" w:hint="default"/>
      </w:rPr>
    </w:lvl>
    <w:lvl w:ilvl="7" w:tplc="BA920F0C" w:tentative="1">
      <w:start w:val="1"/>
      <w:numFmt w:val="bullet"/>
      <w:lvlText w:val="•"/>
      <w:lvlJc w:val="left"/>
      <w:pPr>
        <w:tabs>
          <w:tab w:val="num" w:pos="5760"/>
        </w:tabs>
        <w:ind w:left="5760" w:hanging="360"/>
      </w:pPr>
      <w:rPr>
        <w:rFonts w:ascii="Times New Roman" w:hAnsi="Times New Roman" w:hint="default"/>
      </w:rPr>
    </w:lvl>
    <w:lvl w:ilvl="8" w:tplc="AC3E492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CF61D7C"/>
    <w:multiLevelType w:val="hybridMultilevel"/>
    <w:tmpl w:val="9DCE6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CE1E8B"/>
    <w:multiLevelType w:val="hybridMultilevel"/>
    <w:tmpl w:val="04EC1894"/>
    <w:lvl w:ilvl="0" w:tplc="67F81574">
      <w:start w:val="1"/>
      <w:numFmt w:val="bullet"/>
      <w:lvlText w:val="•"/>
      <w:lvlJc w:val="left"/>
      <w:pPr>
        <w:tabs>
          <w:tab w:val="num" w:pos="720"/>
        </w:tabs>
        <w:ind w:left="720" w:hanging="360"/>
      </w:pPr>
      <w:rPr>
        <w:rFonts w:ascii="Times New Roman" w:hAnsi="Times New Roman" w:hint="default"/>
      </w:rPr>
    </w:lvl>
    <w:lvl w:ilvl="1" w:tplc="41D28302" w:tentative="1">
      <w:start w:val="1"/>
      <w:numFmt w:val="bullet"/>
      <w:lvlText w:val="•"/>
      <w:lvlJc w:val="left"/>
      <w:pPr>
        <w:tabs>
          <w:tab w:val="num" w:pos="1440"/>
        </w:tabs>
        <w:ind w:left="1440" w:hanging="360"/>
      </w:pPr>
      <w:rPr>
        <w:rFonts w:ascii="Times New Roman" w:hAnsi="Times New Roman" w:hint="default"/>
      </w:rPr>
    </w:lvl>
    <w:lvl w:ilvl="2" w:tplc="68F274A2" w:tentative="1">
      <w:start w:val="1"/>
      <w:numFmt w:val="bullet"/>
      <w:lvlText w:val="•"/>
      <w:lvlJc w:val="left"/>
      <w:pPr>
        <w:tabs>
          <w:tab w:val="num" w:pos="2160"/>
        </w:tabs>
        <w:ind w:left="2160" w:hanging="360"/>
      </w:pPr>
      <w:rPr>
        <w:rFonts w:ascii="Times New Roman" w:hAnsi="Times New Roman" w:hint="default"/>
      </w:rPr>
    </w:lvl>
    <w:lvl w:ilvl="3" w:tplc="0AFE0570" w:tentative="1">
      <w:start w:val="1"/>
      <w:numFmt w:val="bullet"/>
      <w:lvlText w:val="•"/>
      <w:lvlJc w:val="left"/>
      <w:pPr>
        <w:tabs>
          <w:tab w:val="num" w:pos="2880"/>
        </w:tabs>
        <w:ind w:left="2880" w:hanging="360"/>
      </w:pPr>
      <w:rPr>
        <w:rFonts w:ascii="Times New Roman" w:hAnsi="Times New Roman" w:hint="default"/>
      </w:rPr>
    </w:lvl>
    <w:lvl w:ilvl="4" w:tplc="D1AC5C1C" w:tentative="1">
      <w:start w:val="1"/>
      <w:numFmt w:val="bullet"/>
      <w:lvlText w:val="•"/>
      <w:lvlJc w:val="left"/>
      <w:pPr>
        <w:tabs>
          <w:tab w:val="num" w:pos="3600"/>
        </w:tabs>
        <w:ind w:left="3600" w:hanging="360"/>
      </w:pPr>
      <w:rPr>
        <w:rFonts w:ascii="Times New Roman" w:hAnsi="Times New Roman" w:hint="default"/>
      </w:rPr>
    </w:lvl>
    <w:lvl w:ilvl="5" w:tplc="135030BC" w:tentative="1">
      <w:start w:val="1"/>
      <w:numFmt w:val="bullet"/>
      <w:lvlText w:val="•"/>
      <w:lvlJc w:val="left"/>
      <w:pPr>
        <w:tabs>
          <w:tab w:val="num" w:pos="4320"/>
        </w:tabs>
        <w:ind w:left="4320" w:hanging="360"/>
      </w:pPr>
      <w:rPr>
        <w:rFonts w:ascii="Times New Roman" w:hAnsi="Times New Roman" w:hint="default"/>
      </w:rPr>
    </w:lvl>
    <w:lvl w:ilvl="6" w:tplc="2C74B5BA" w:tentative="1">
      <w:start w:val="1"/>
      <w:numFmt w:val="bullet"/>
      <w:lvlText w:val="•"/>
      <w:lvlJc w:val="left"/>
      <w:pPr>
        <w:tabs>
          <w:tab w:val="num" w:pos="5040"/>
        </w:tabs>
        <w:ind w:left="5040" w:hanging="360"/>
      </w:pPr>
      <w:rPr>
        <w:rFonts w:ascii="Times New Roman" w:hAnsi="Times New Roman" w:hint="default"/>
      </w:rPr>
    </w:lvl>
    <w:lvl w:ilvl="7" w:tplc="31B2F896" w:tentative="1">
      <w:start w:val="1"/>
      <w:numFmt w:val="bullet"/>
      <w:lvlText w:val="•"/>
      <w:lvlJc w:val="left"/>
      <w:pPr>
        <w:tabs>
          <w:tab w:val="num" w:pos="5760"/>
        </w:tabs>
        <w:ind w:left="5760" w:hanging="360"/>
      </w:pPr>
      <w:rPr>
        <w:rFonts w:ascii="Times New Roman" w:hAnsi="Times New Roman" w:hint="default"/>
      </w:rPr>
    </w:lvl>
    <w:lvl w:ilvl="8" w:tplc="177A066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3D1233C"/>
    <w:multiLevelType w:val="hybridMultilevel"/>
    <w:tmpl w:val="15AA5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F95280"/>
    <w:multiLevelType w:val="hybridMultilevel"/>
    <w:tmpl w:val="9E8A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C76B36"/>
    <w:multiLevelType w:val="hybridMultilevel"/>
    <w:tmpl w:val="83EC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8073A"/>
    <w:multiLevelType w:val="hybridMultilevel"/>
    <w:tmpl w:val="E404F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0A6757"/>
    <w:multiLevelType w:val="hybridMultilevel"/>
    <w:tmpl w:val="DD687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270ADD"/>
    <w:multiLevelType w:val="multilevel"/>
    <w:tmpl w:val="032869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64A730A1"/>
    <w:multiLevelType w:val="hybridMultilevel"/>
    <w:tmpl w:val="9E18A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AA1CB3"/>
    <w:multiLevelType w:val="hybridMultilevel"/>
    <w:tmpl w:val="4A40F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EF45B45"/>
    <w:multiLevelType w:val="hybridMultilevel"/>
    <w:tmpl w:val="05F87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CE5E44"/>
    <w:multiLevelType w:val="hybridMultilevel"/>
    <w:tmpl w:val="C0FE4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3E908E7"/>
    <w:multiLevelType w:val="hybridMultilevel"/>
    <w:tmpl w:val="CB96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F919DD"/>
    <w:multiLevelType w:val="hybridMultilevel"/>
    <w:tmpl w:val="EAE60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4"/>
  </w:num>
  <w:num w:numId="4">
    <w:abstractNumId w:val="7"/>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8"/>
  </w:num>
  <w:num w:numId="9">
    <w:abstractNumId w:val="11"/>
  </w:num>
  <w:num w:numId="10">
    <w:abstractNumId w:val="5"/>
  </w:num>
  <w:num w:numId="11">
    <w:abstractNumId w:val="14"/>
  </w:num>
  <w:num w:numId="12">
    <w:abstractNumId w:val="0"/>
  </w:num>
  <w:num w:numId="13">
    <w:abstractNumId w:val="16"/>
  </w:num>
  <w:num w:numId="14">
    <w:abstractNumId w:val="10"/>
  </w:num>
  <w:num w:numId="15">
    <w:abstractNumId w:val="6"/>
  </w:num>
  <w:num w:numId="16">
    <w:abstractNumId w:val="12"/>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0110"/>
    <w:rsid w:val="00003E79"/>
    <w:rsid w:val="00010023"/>
    <w:rsid w:val="00010D8B"/>
    <w:rsid w:val="00025E50"/>
    <w:rsid w:val="00031A53"/>
    <w:rsid w:val="00041F71"/>
    <w:rsid w:val="00051A67"/>
    <w:rsid w:val="00051C7C"/>
    <w:rsid w:val="000756FC"/>
    <w:rsid w:val="000839D8"/>
    <w:rsid w:val="000842F5"/>
    <w:rsid w:val="00085B48"/>
    <w:rsid w:val="00093161"/>
    <w:rsid w:val="000945B7"/>
    <w:rsid w:val="000A5C8B"/>
    <w:rsid w:val="000A60CA"/>
    <w:rsid w:val="000B2ED9"/>
    <w:rsid w:val="000B4373"/>
    <w:rsid w:val="000B4CE9"/>
    <w:rsid w:val="000B6724"/>
    <w:rsid w:val="000B6D15"/>
    <w:rsid w:val="000E1793"/>
    <w:rsid w:val="000E6E7A"/>
    <w:rsid w:val="001009B7"/>
    <w:rsid w:val="001037DE"/>
    <w:rsid w:val="001075F7"/>
    <w:rsid w:val="00120DE3"/>
    <w:rsid w:val="001256C6"/>
    <w:rsid w:val="001320BE"/>
    <w:rsid w:val="00133F79"/>
    <w:rsid w:val="001346D6"/>
    <w:rsid w:val="00136877"/>
    <w:rsid w:val="00152137"/>
    <w:rsid w:val="0016226B"/>
    <w:rsid w:val="00162701"/>
    <w:rsid w:val="001723F5"/>
    <w:rsid w:val="001769C2"/>
    <w:rsid w:val="001779A4"/>
    <w:rsid w:val="0018227D"/>
    <w:rsid w:val="001833C4"/>
    <w:rsid w:val="00187151"/>
    <w:rsid w:val="00187E99"/>
    <w:rsid w:val="00190F2C"/>
    <w:rsid w:val="001913A4"/>
    <w:rsid w:val="001953A7"/>
    <w:rsid w:val="001B2B78"/>
    <w:rsid w:val="001B65D8"/>
    <w:rsid w:val="001C6F18"/>
    <w:rsid w:val="001D28D4"/>
    <w:rsid w:val="001D332E"/>
    <w:rsid w:val="001D37EF"/>
    <w:rsid w:val="001D7BD8"/>
    <w:rsid w:val="001E0B84"/>
    <w:rsid w:val="001E20CE"/>
    <w:rsid w:val="001E5C65"/>
    <w:rsid w:val="0020244A"/>
    <w:rsid w:val="00203724"/>
    <w:rsid w:val="00207614"/>
    <w:rsid w:val="00213B0C"/>
    <w:rsid w:val="00213DA5"/>
    <w:rsid w:val="00216DF9"/>
    <w:rsid w:val="00222D79"/>
    <w:rsid w:val="00237FAD"/>
    <w:rsid w:val="002405D6"/>
    <w:rsid w:val="00242AB4"/>
    <w:rsid w:val="00242C21"/>
    <w:rsid w:val="002472FF"/>
    <w:rsid w:val="00247D39"/>
    <w:rsid w:val="0025447E"/>
    <w:rsid w:val="00257125"/>
    <w:rsid w:val="00257B0A"/>
    <w:rsid w:val="00265EC9"/>
    <w:rsid w:val="00270575"/>
    <w:rsid w:val="002748A8"/>
    <w:rsid w:val="0028157B"/>
    <w:rsid w:val="00281D35"/>
    <w:rsid w:val="00285F63"/>
    <w:rsid w:val="002877BE"/>
    <w:rsid w:val="0029614C"/>
    <w:rsid w:val="002A735E"/>
    <w:rsid w:val="002B3B16"/>
    <w:rsid w:val="002C3CC6"/>
    <w:rsid w:val="002C6D29"/>
    <w:rsid w:val="002E43D5"/>
    <w:rsid w:val="002E7509"/>
    <w:rsid w:val="002F3590"/>
    <w:rsid w:val="003009A2"/>
    <w:rsid w:val="00300E11"/>
    <w:rsid w:val="0030636A"/>
    <w:rsid w:val="00314531"/>
    <w:rsid w:val="003151B2"/>
    <w:rsid w:val="00345A0D"/>
    <w:rsid w:val="003552F1"/>
    <w:rsid w:val="00370C25"/>
    <w:rsid w:val="00371999"/>
    <w:rsid w:val="00375537"/>
    <w:rsid w:val="003841C0"/>
    <w:rsid w:val="00384C88"/>
    <w:rsid w:val="003855AF"/>
    <w:rsid w:val="00391A4C"/>
    <w:rsid w:val="00391DD8"/>
    <w:rsid w:val="003924C6"/>
    <w:rsid w:val="00395072"/>
    <w:rsid w:val="003B19FB"/>
    <w:rsid w:val="003B2A51"/>
    <w:rsid w:val="003C4CE9"/>
    <w:rsid w:val="003F5C48"/>
    <w:rsid w:val="00402164"/>
    <w:rsid w:val="00412050"/>
    <w:rsid w:val="00420C09"/>
    <w:rsid w:val="00421357"/>
    <w:rsid w:val="00421A48"/>
    <w:rsid w:val="0043069D"/>
    <w:rsid w:val="00431040"/>
    <w:rsid w:val="00431A65"/>
    <w:rsid w:val="00444A15"/>
    <w:rsid w:val="0045226F"/>
    <w:rsid w:val="004524B4"/>
    <w:rsid w:val="00457AFF"/>
    <w:rsid w:val="004644E1"/>
    <w:rsid w:val="00482A34"/>
    <w:rsid w:val="0048361B"/>
    <w:rsid w:val="00484FA0"/>
    <w:rsid w:val="00491BCD"/>
    <w:rsid w:val="004966F5"/>
    <w:rsid w:val="004B5B5F"/>
    <w:rsid w:val="004B64E1"/>
    <w:rsid w:val="004B68B9"/>
    <w:rsid w:val="004C15EF"/>
    <w:rsid w:val="004C16D0"/>
    <w:rsid w:val="004C3A54"/>
    <w:rsid w:val="004D751D"/>
    <w:rsid w:val="004E0260"/>
    <w:rsid w:val="004E34A5"/>
    <w:rsid w:val="004F3A9C"/>
    <w:rsid w:val="005064E6"/>
    <w:rsid w:val="00512B9E"/>
    <w:rsid w:val="00512E30"/>
    <w:rsid w:val="00514889"/>
    <w:rsid w:val="005165BB"/>
    <w:rsid w:val="005209A6"/>
    <w:rsid w:val="00520FFB"/>
    <w:rsid w:val="00530EC4"/>
    <w:rsid w:val="00533A24"/>
    <w:rsid w:val="00540862"/>
    <w:rsid w:val="00541CC3"/>
    <w:rsid w:val="00544CED"/>
    <w:rsid w:val="00561709"/>
    <w:rsid w:val="005628DA"/>
    <w:rsid w:val="00564F33"/>
    <w:rsid w:val="00572EFA"/>
    <w:rsid w:val="00575173"/>
    <w:rsid w:val="0058197E"/>
    <w:rsid w:val="00587FC8"/>
    <w:rsid w:val="00594AE3"/>
    <w:rsid w:val="00597634"/>
    <w:rsid w:val="005A38F0"/>
    <w:rsid w:val="005A78E2"/>
    <w:rsid w:val="005B2022"/>
    <w:rsid w:val="005B441D"/>
    <w:rsid w:val="005C0966"/>
    <w:rsid w:val="005C61E9"/>
    <w:rsid w:val="005E15FF"/>
    <w:rsid w:val="005E2379"/>
    <w:rsid w:val="005F1E6C"/>
    <w:rsid w:val="005F37B1"/>
    <w:rsid w:val="0060438B"/>
    <w:rsid w:val="00622E26"/>
    <w:rsid w:val="00626339"/>
    <w:rsid w:val="006271FF"/>
    <w:rsid w:val="00636638"/>
    <w:rsid w:val="00636E10"/>
    <w:rsid w:val="00636FF1"/>
    <w:rsid w:val="00642A60"/>
    <w:rsid w:val="00642EDB"/>
    <w:rsid w:val="00651729"/>
    <w:rsid w:val="00654829"/>
    <w:rsid w:val="00663905"/>
    <w:rsid w:val="0066780D"/>
    <w:rsid w:val="00671B81"/>
    <w:rsid w:val="0067363C"/>
    <w:rsid w:val="006829E5"/>
    <w:rsid w:val="00685BC6"/>
    <w:rsid w:val="00686FCC"/>
    <w:rsid w:val="00693D8A"/>
    <w:rsid w:val="006A4F50"/>
    <w:rsid w:val="006C1394"/>
    <w:rsid w:val="006C17E7"/>
    <w:rsid w:val="006C586F"/>
    <w:rsid w:val="006D1B8F"/>
    <w:rsid w:val="006D6DD3"/>
    <w:rsid w:val="006E4660"/>
    <w:rsid w:val="006E6AB3"/>
    <w:rsid w:val="006F2F96"/>
    <w:rsid w:val="006F5530"/>
    <w:rsid w:val="00700203"/>
    <w:rsid w:val="00707F0A"/>
    <w:rsid w:val="00711E3D"/>
    <w:rsid w:val="00724FA6"/>
    <w:rsid w:val="00736E84"/>
    <w:rsid w:val="00742C6F"/>
    <w:rsid w:val="00743CD9"/>
    <w:rsid w:val="00747D97"/>
    <w:rsid w:val="00750AA4"/>
    <w:rsid w:val="00756B24"/>
    <w:rsid w:val="007577A9"/>
    <w:rsid w:val="007578FA"/>
    <w:rsid w:val="00760CDB"/>
    <w:rsid w:val="00761BF3"/>
    <w:rsid w:val="00765D89"/>
    <w:rsid w:val="00766FC0"/>
    <w:rsid w:val="007702ED"/>
    <w:rsid w:val="007710B5"/>
    <w:rsid w:val="00776184"/>
    <w:rsid w:val="007814CD"/>
    <w:rsid w:val="0078214D"/>
    <w:rsid w:val="0078730D"/>
    <w:rsid w:val="007A49DD"/>
    <w:rsid w:val="007B6134"/>
    <w:rsid w:val="007B7776"/>
    <w:rsid w:val="007C1CBC"/>
    <w:rsid w:val="007D2AF1"/>
    <w:rsid w:val="007D3AD6"/>
    <w:rsid w:val="007D7C04"/>
    <w:rsid w:val="007E0EDA"/>
    <w:rsid w:val="007F13BB"/>
    <w:rsid w:val="007F1B62"/>
    <w:rsid w:val="007F208E"/>
    <w:rsid w:val="007F68D5"/>
    <w:rsid w:val="00802F4E"/>
    <w:rsid w:val="00805868"/>
    <w:rsid w:val="00807E38"/>
    <w:rsid w:val="008114A7"/>
    <w:rsid w:val="00823199"/>
    <w:rsid w:val="00827452"/>
    <w:rsid w:val="00841168"/>
    <w:rsid w:val="008420B2"/>
    <w:rsid w:val="008535C1"/>
    <w:rsid w:val="00854724"/>
    <w:rsid w:val="0086096E"/>
    <w:rsid w:val="00864CFA"/>
    <w:rsid w:val="00867B38"/>
    <w:rsid w:val="00870C6F"/>
    <w:rsid w:val="00895111"/>
    <w:rsid w:val="008B0126"/>
    <w:rsid w:val="008B563E"/>
    <w:rsid w:val="008C3895"/>
    <w:rsid w:val="008C4252"/>
    <w:rsid w:val="008D1961"/>
    <w:rsid w:val="008D1CAF"/>
    <w:rsid w:val="008D5522"/>
    <w:rsid w:val="008E2E24"/>
    <w:rsid w:val="008E57B2"/>
    <w:rsid w:val="008F1EAA"/>
    <w:rsid w:val="008F331C"/>
    <w:rsid w:val="0090109B"/>
    <w:rsid w:val="00910202"/>
    <w:rsid w:val="00912FEA"/>
    <w:rsid w:val="0091711E"/>
    <w:rsid w:val="0091784B"/>
    <w:rsid w:val="00920BB7"/>
    <w:rsid w:val="0092395B"/>
    <w:rsid w:val="009348E5"/>
    <w:rsid w:val="00941708"/>
    <w:rsid w:val="00941EF1"/>
    <w:rsid w:val="009451B5"/>
    <w:rsid w:val="00945AE5"/>
    <w:rsid w:val="00945F5B"/>
    <w:rsid w:val="009641A3"/>
    <w:rsid w:val="00973F9F"/>
    <w:rsid w:val="009759E3"/>
    <w:rsid w:val="00976D04"/>
    <w:rsid w:val="009808F7"/>
    <w:rsid w:val="00980D9E"/>
    <w:rsid w:val="009865A0"/>
    <w:rsid w:val="00987542"/>
    <w:rsid w:val="009879CF"/>
    <w:rsid w:val="00987C70"/>
    <w:rsid w:val="009A57C5"/>
    <w:rsid w:val="009B0973"/>
    <w:rsid w:val="009B769A"/>
    <w:rsid w:val="009C1A36"/>
    <w:rsid w:val="009C5892"/>
    <w:rsid w:val="009C68C4"/>
    <w:rsid w:val="009D16C7"/>
    <w:rsid w:val="009D2CCC"/>
    <w:rsid w:val="00A01CB6"/>
    <w:rsid w:val="00A061B0"/>
    <w:rsid w:val="00A3088E"/>
    <w:rsid w:val="00A36F35"/>
    <w:rsid w:val="00A41089"/>
    <w:rsid w:val="00A42B43"/>
    <w:rsid w:val="00A437A5"/>
    <w:rsid w:val="00A45FF9"/>
    <w:rsid w:val="00A46A04"/>
    <w:rsid w:val="00A46FE7"/>
    <w:rsid w:val="00A50664"/>
    <w:rsid w:val="00A50E51"/>
    <w:rsid w:val="00A52B4A"/>
    <w:rsid w:val="00A60C24"/>
    <w:rsid w:val="00A757E8"/>
    <w:rsid w:val="00A80AAD"/>
    <w:rsid w:val="00A811AD"/>
    <w:rsid w:val="00A924CF"/>
    <w:rsid w:val="00A967ED"/>
    <w:rsid w:val="00A979C9"/>
    <w:rsid w:val="00AA5B8F"/>
    <w:rsid w:val="00AB2257"/>
    <w:rsid w:val="00AB7C8B"/>
    <w:rsid w:val="00AC07C9"/>
    <w:rsid w:val="00AC2E0A"/>
    <w:rsid w:val="00AE3DAD"/>
    <w:rsid w:val="00AE5969"/>
    <w:rsid w:val="00AE7478"/>
    <w:rsid w:val="00AE7832"/>
    <w:rsid w:val="00AF2E57"/>
    <w:rsid w:val="00AF3EAD"/>
    <w:rsid w:val="00AF6EB1"/>
    <w:rsid w:val="00AF73DE"/>
    <w:rsid w:val="00B00436"/>
    <w:rsid w:val="00B01CF4"/>
    <w:rsid w:val="00B035A1"/>
    <w:rsid w:val="00B068AA"/>
    <w:rsid w:val="00B2121A"/>
    <w:rsid w:val="00B23B21"/>
    <w:rsid w:val="00B37B36"/>
    <w:rsid w:val="00B4666B"/>
    <w:rsid w:val="00B4672C"/>
    <w:rsid w:val="00B5132F"/>
    <w:rsid w:val="00B57109"/>
    <w:rsid w:val="00B75690"/>
    <w:rsid w:val="00B81C47"/>
    <w:rsid w:val="00B83C83"/>
    <w:rsid w:val="00B84373"/>
    <w:rsid w:val="00B87788"/>
    <w:rsid w:val="00B97D22"/>
    <w:rsid w:val="00BA2446"/>
    <w:rsid w:val="00BB239B"/>
    <w:rsid w:val="00BB64B7"/>
    <w:rsid w:val="00BC4045"/>
    <w:rsid w:val="00BC5513"/>
    <w:rsid w:val="00BE1963"/>
    <w:rsid w:val="00BE3876"/>
    <w:rsid w:val="00C01D2E"/>
    <w:rsid w:val="00C065A8"/>
    <w:rsid w:val="00C07B47"/>
    <w:rsid w:val="00C1099B"/>
    <w:rsid w:val="00C115D5"/>
    <w:rsid w:val="00C15F2A"/>
    <w:rsid w:val="00C170FF"/>
    <w:rsid w:val="00C239AC"/>
    <w:rsid w:val="00C307AE"/>
    <w:rsid w:val="00C32FE3"/>
    <w:rsid w:val="00C41EDD"/>
    <w:rsid w:val="00C452FB"/>
    <w:rsid w:val="00C56B0F"/>
    <w:rsid w:val="00C67D55"/>
    <w:rsid w:val="00C703C0"/>
    <w:rsid w:val="00C71A3C"/>
    <w:rsid w:val="00C758DB"/>
    <w:rsid w:val="00C76400"/>
    <w:rsid w:val="00CA1217"/>
    <w:rsid w:val="00CB1407"/>
    <w:rsid w:val="00CB24DD"/>
    <w:rsid w:val="00CC056A"/>
    <w:rsid w:val="00CC2DA0"/>
    <w:rsid w:val="00CC3BCC"/>
    <w:rsid w:val="00CC44D1"/>
    <w:rsid w:val="00CC457B"/>
    <w:rsid w:val="00CC4B87"/>
    <w:rsid w:val="00CE3301"/>
    <w:rsid w:val="00CF04F5"/>
    <w:rsid w:val="00CF6305"/>
    <w:rsid w:val="00D03314"/>
    <w:rsid w:val="00D2080E"/>
    <w:rsid w:val="00D21290"/>
    <w:rsid w:val="00D231A6"/>
    <w:rsid w:val="00D24598"/>
    <w:rsid w:val="00D27A10"/>
    <w:rsid w:val="00D336C6"/>
    <w:rsid w:val="00D34DF6"/>
    <w:rsid w:val="00D35543"/>
    <w:rsid w:val="00D35D5B"/>
    <w:rsid w:val="00D3771F"/>
    <w:rsid w:val="00D3785B"/>
    <w:rsid w:val="00D55E87"/>
    <w:rsid w:val="00D60E74"/>
    <w:rsid w:val="00D61A81"/>
    <w:rsid w:val="00D65A11"/>
    <w:rsid w:val="00D72FF6"/>
    <w:rsid w:val="00D77DDB"/>
    <w:rsid w:val="00D84686"/>
    <w:rsid w:val="00D85DEC"/>
    <w:rsid w:val="00D87F9A"/>
    <w:rsid w:val="00D9555D"/>
    <w:rsid w:val="00DA71EE"/>
    <w:rsid w:val="00DB70DD"/>
    <w:rsid w:val="00DB7F61"/>
    <w:rsid w:val="00DC0AF5"/>
    <w:rsid w:val="00DC105C"/>
    <w:rsid w:val="00DC43B8"/>
    <w:rsid w:val="00DD022F"/>
    <w:rsid w:val="00DD04D6"/>
    <w:rsid w:val="00DE05DE"/>
    <w:rsid w:val="00DE36DA"/>
    <w:rsid w:val="00DF5551"/>
    <w:rsid w:val="00E04D57"/>
    <w:rsid w:val="00E05AFE"/>
    <w:rsid w:val="00E05F67"/>
    <w:rsid w:val="00E21169"/>
    <w:rsid w:val="00E60991"/>
    <w:rsid w:val="00E642A5"/>
    <w:rsid w:val="00E73E5B"/>
    <w:rsid w:val="00E91ADF"/>
    <w:rsid w:val="00EA23F0"/>
    <w:rsid w:val="00EA2D86"/>
    <w:rsid w:val="00EB0D02"/>
    <w:rsid w:val="00EB276D"/>
    <w:rsid w:val="00EC282F"/>
    <w:rsid w:val="00ED4447"/>
    <w:rsid w:val="00EE0C86"/>
    <w:rsid w:val="00EF4D99"/>
    <w:rsid w:val="00EF67E8"/>
    <w:rsid w:val="00F02C6C"/>
    <w:rsid w:val="00F03933"/>
    <w:rsid w:val="00F05BD3"/>
    <w:rsid w:val="00F07324"/>
    <w:rsid w:val="00F11277"/>
    <w:rsid w:val="00F123B8"/>
    <w:rsid w:val="00F1280A"/>
    <w:rsid w:val="00F154D6"/>
    <w:rsid w:val="00F2395B"/>
    <w:rsid w:val="00F2530D"/>
    <w:rsid w:val="00F326E6"/>
    <w:rsid w:val="00F3550C"/>
    <w:rsid w:val="00F35E31"/>
    <w:rsid w:val="00F42CB3"/>
    <w:rsid w:val="00F4514E"/>
    <w:rsid w:val="00F53A26"/>
    <w:rsid w:val="00F63097"/>
    <w:rsid w:val="00F65B2B"/>
    <w:rsid w:val="00F670B7"/>
    <w:rsid w:val="00F85203"/>
    <w:rsid w:val="00F854CE"/>
    <w:rsid w:val="00F87EEF"/>
    <w:rsid w:val="00F91DBD"/>
    <w:rsid w:val="00F9507D"/>
    <w:rsid w:val="00FA55A5"/>
    <w:rsid w:val="00FA7181"/>
    <w:rsid w:val="00FB629A"/>
    <w:rsid w:val="00FC4EEA"/>
    <w:rsid w:val="00FD1D6C"/>
    <w:rsid w:val="00FE23F4"/>
    <w:rsid w:val="00FE4BEF"/>
    <w:rsid w:val="00FF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8EC4"/>
  <w15:docId w15:val="{48CAD5A4-DE44-4361-A972-72B95EE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088E"/>
    <w:rPr>
      <w:sz w:val="16"/>
      <w:szCs w:val="16"/>
    </w:rPr>
  </w:style>
  <w:style w:type="paragraph" w:styleId="CommentText">
    <w:name w:val="annotation text"/>
    <w:basedOn w:val="Normal"/>
    <w:link w:val="CommentTextChar"/>
    <w:uiPriority w:val="99"/>
    <w:semiHidden/>
    <w:unhideWhenUsed/>
    <w:rsid w:val="00A3088E"/>
    <w:pPr>
      <w:spacing w:line="240" w:lineRule="auto"/>
    </w:pPr>
    <w:rPr>
      <w:sz w:val="20"/>
      <w:szCs w:val="20"/>
    </w:rPr>
  </w:style>
  <w:style w:type="character" w:customStyle="1" w:styleId="CommentTextChar">
    <w:name w:val="Comment Text Char"/>
    <w:basedOn w:val="DefaultParagraphFont"/>
    <w:link w:val="CommentText"/>
    <w:uiPriority w:val="99"/>
    <w:semiHidden/>
    <w:rsid w:val="00A3088E"/>
    <w:rPr>
      <w:sz w:val="20"/>
      <w:szCs w:val="20"/>
    </w:rPr>
  </w:style>
  <w:style w:type="paragraph" w:styleId="CommentSubject">
    <w:name w:val="annotation subject"/>
    <w:basedOn w:val="CommentText"/>
    <w:next w:val="CommentText"/>
    <w:link w:val="CommentSubjectChar"/>
    <w:uiPriority w:val="99"/>
    <w:semiHidden/>
    <w:unhideWhenUsed/>
    <w:rsid w:val="00A3088E"/>
    <w:rPr>
      <w:b/>
      <w:bCs/>
    </w:rPr>
  </w:style>
  <w:style w:type="character" w:customStyle="1" w:styleId="CommentSubjectChar">
    <w:name w:val="Comment Subject Char"/>
    <w:basedOn w:val="CommentTextChar"/>
    <w:link w:val="CommentSubject"/>
    <w:uiPriority w:val="99"/>
    <w:semiHidden/>
    <w:rsid w:val="00A3088E"/>
    <w:rPr>
      <w:b/>
      <w:bCs/>
      <w:sz w:val="20"/>
      <w:szCs w:val="20"/>
    </w:rPr>
  </w:style>
  <w:style w:type="paragraph" w:styleId="BalloonText">
    <w:name w:val="Balloon Text"/>
    <w:basedOn w:val="Normal"/>
    <w:link w:val="BalloonTextChar"/>
    <w:uiPriority w:val="99"/>
    <w:semiHidden/>
    <w:unhideWhenUsed/>
    <w:rsid w:val="00A3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8E"/>
    <w:rPr>
      <w:rFonts w:ascii="Tahoma" w:hAnsi="Tahoma" w:cs="Tahoma"/>
      <w:sz w:val="16"/>
      <w:szCs w:val="16"/>
    </w:rPr>
  </w:style>
  <w:style w:type="paragraph" w:styleId="Header">
    <w:name w:val="header"/>
    <w:basedOn w:val="Normal"/>
    <w:link w:val="HeaderChar"/>
    <w:uiPriority w:val="99"/>
    <w:unhideWhenUsed/>
    <w:rsid w:val="0028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35"/>
  </w:style>
  <w:style w:type="paragraph" w:styleId="Footer">
    <w:name w:val="footer"/>
    <w:basedOn w:val="Normal"/>
    <w:link w:val="FooterChar"/>
    <w:uiPriority w:val="99"/>
    <w:unhideWhenUsed/>
    <w:rsid w:val="0028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35"/>
  </w:style>
  <w:style w:type="paragraph" w:styleId="NormalWeb">
    <w:name w:val="Normal (Web)"/>
    <w:basedOn w:val="Normal"/>
    <w:uiPriority w:val="99"/>
    <w:unhideWhenUsed/>
    <w:rsid w:val="003009A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969"/>
    <w:pPr>
      <w:ind w:left="720"/>
      <w:contextualSpacing/>
    </w:pPr>
  </w:style>
  <w:style w:type="paragraph" w:styleId="PlainText">
    <w:name w:val="Plain Text"/>
    <w:basedOn w:val="Normal"/>
    <w:link w:val="PlainTextChar"/>
    <w:uiPriority w:val="99"/>
    <w:unhideWhenUsed/>
    <w:rsid w:val="0066390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63905"/>
    <w:rPr>
      <w:rFonts w:ascii="Calibri" w:hAnsi="Calibri"/>
      <w:szCs w:val="21"/>
    </w:rPr>
  </w:style>
  <w:style w:type="character" w:customStyle="1" w:styleId="indented">
    <w:name w:val="indented"/>
    <w:basedOn w:val="DefaultParagraphFont"/>
    <w:rsid w:val="00093161"/>
  </w:style>
  <w:style w:type="paragraph" w:styleId="TOC2">
    <w:name w:val="toc 2"/>
    <w:basedOn w:val="Normal"/>
    <w:next w:val="Normal"/>
    <w:autoRedefine/>
    <w:uiPriority w:val="39"/>
    <w:qFormat/>
    <w:rsid w:val="00431A65"/>
    <w:pPr>
      <w:tabs>
        <w:tab w:val="right" w:leader="dot" w:pos="9350"/>
      </w:tabs>
      <w:autoSpaceDE w:val="0"/>
      <w:autoSpaceDN w:val="0"/>
      <w:adjustRightInd w:val="0"/>
      <w:spacing w:after="0" w:line="240" w:lineRule="auto"/>
      <w:ind w:left="1080" w:hanging="540"/>
      <w:jc w:val="both"/>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AFE"/>
  </w:style>
  <w:style w:type="character" w:styleId="Hyperlink">
    <w:name w:val="Hyperlink"/>
    <w:basedOn w:val="DefaultParagraphFont"/>
    <w:uiPriority w:val="99"/>
    <w:semiHidden/>
    <w:unhideWhenUsed/>
    <w:rsid w:val="00760CDB"/>
    <w:rPr>
      <w:color w:val="0000FF"/>
      <w:u w:val="single"/>
    </w:rPr>
  </w:style>
  <w:style w:type="paragraph" w:styleId="NoSpacing">
    <w:name w:val="No Spacing"/>
    <w:basedOn w:val="Normal"/>
    <w:link w:val="NoSpacingChar"/>
    <w:uiPriority w:val="1"/>
    <w:qFormat/>
    <w:rsid w:val="005A38F0"/>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5A38F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2083">
      <w:bodyDiv w:val="1"/>
      <w:marLeft w:val="0"/>
      <w:marRight w:val="0"/>
      <w:marTop w:val="0"/>
      <w:marBottom w:val="0"/>
      <w:divBdr>
        <w:top w:val="none" w:sz="0" w:space="0" w:color="auto"/>
        <w:left w:val="none" w:sz="0" w:space="0" w:color="auto"/>
        <w:bottom w:val="none" w:sz="0" w:space="0" w:color="auto"/>
        <w:right w:val="none" w:sz="0" w:space="0" w:color="auto"/>
      </w:divBdr>
    </w:div>
    <w:div w:id="126238650">
      <w:bodyDiv w:val="1"/>
      <w:marLeft w:val="0"/>
      <w:marRight w:val="0"/>
      <w:marTop w:val="0"/>
      <w:marBottom w:val="0"/>
      <w:divBdr>
        <w:top w:val="none" w:sz="0" w:space="0" w:color="auto"/>
        <w:left w:val="none" w:sz="0" w:space="0" w:color="auto"/>
        <w:bottom w:val="none" w:sz="0" w:space="0" w:color="auto"/>
        <w:right w:val="none" w:sz="0" w:space="0" w:color="auto"/>
      </w:divBdr>
      <w:divsChild>
        <w:div w:id="1548759497">
          <w:marLeft w:val="547"/>
          <w:marRight w:val="0"/>
          <w:marTop w:val="86"/>
          <w:marBottom w:val="0"/>
          <w:divBdr>
            <w:top w:val="none" w:sz="0" w:space="0" w:color="auto"/>
            <w:left w:val="none" w:sz="0" w:space="0" w:color="auto"/>
            <w:bottom w:val="none" w:sz="0" w:space="0" w:color="auto"/>
            <w:right w:val="none" w:sz="0" w:space="0" w:color="auto"/>
          </w:divBdr>
        </w:div>
      </w:divsChild>
    </w:div>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223881067">
      <w:bodyDiv w:val="1"/>
      <w:marLeft w:val="0"/>
      <w:marRight w:val="0"/>
      <w:marTop w:val="0"/>
      <w:marBottom w:val="0"/>
      <w:divBdr>
        <w:top w:val="none" w:sz="0" w:space="0" w:color="auto"/>
        <w:left w:val="none" w:sz="0" w:space="0" w:color="auto"/>
        <w:bottom w:val="none" w:sz="0" w:space="0" w:color="auto"/>
        <w:right w:val="none" w:sz="0" w:space="0" w:color="auto"/>
      </w:divBdr>
    </w:div>
    <w:div w:id="283394133">
      <w:bodyDiv w:val="1"/>
      <w:marLeft w:val="0"/>
      <w:marRight w:val="0"/>
      <w:marTop w:val="0"/>
      <w:marBottom w:val="0"/>
      <w:divBdr>
        <w:top w:val="none" w:sz="0" w:space="0" w:color="auto"/>
        <w:left w:val="none" w:sz="0" w:space="0" w:color="auto"/>
        <w:bottom w:val="none" w:sz="0" w:space="0" w:color="auto"/>
        <w:right w:val="none" w:sz="0" w:space="0" w:color="auto"/>
      </w:divBdr>
    </w:div>
    <w:div w:id="284654167">
      <w:bodyDiv w:val="1"/>
      <w:marLeft w:val="0"/>
      <w:marRight w:val="0"/>
      <w:marTop w:val="0"/>
      <w:marBottom w:val="0"/>
      <w:divBdr>
        <w:top w:val="none" w:sz="0" w:space="0" w:color="auto"/>
        <w:left w:val="none" w:sz="0" w:space="0" w:color="auto"/>
        <w:bottom w:val="none" w:sz="0" w:space="0" w:color="auto"/>
        <w:right w:val="none" w:sz="0" w:space="0" w:color="auto"/>
      </w:divBdr>
    </w:div>
    <w:div w:id="421146235">
      <w:bodyDiv w:val="1"/>
      <w:marLeft w:val="0"/>
      <w:marRight w:val="0"/>
      <w:marTop w:val="0"/>
      <w:marBottom w:val="0"/>
      <w:divBdr>
        <w:top w:val="none" w:sz="0" w:space="0" w:color="auto"/>
        <w:left w:val="none" w:sz="0" w:space="0" w:color="auto"/>
        <w:bottom w:val="none" w:sz="0" w:space="0" w:color="auto"/>
        <w:right w:val="none" w:sz="0" w:space="0" w:color="auto"/>
      </w:divBdr>
    </w:div>
    <w:div w:id="477455362">
      <w:bodyDiv w:val="1"/>
      <w:marLeft w:val="0"/>
      <w:marRight w:val="0"/>
      <w:marTop w:val="0"/>
      <w:marBottom w:val="0"/>
      <w:divBdr>
        <w:top w:val="none" w:sz="0" w:space="0" w:color="auto"/>
        <w:left w:val="none" w:sz="0" w:space="0" w:color="auto"/>
        <w:bottom w:val="none" w:sz="0" w:space="0" w:color="auto"/>
        <w:right w:val="none" w:sz="0" w:space="0" w:color="auto"/>
      </w:divBdr>
    </w:div>
    <w:div w:id="516849174">
      <w:bodyDiv w:val="1"/>
      <w:marLeft w:val="0"/>
      <w:marRight w:val="0"/>
      <w:marTop w:val="0"/>
      <w:marBottom w:val="0"/>
      <w:divBdr>
        <w:top w:val="none" w:sz="0" w:space="0" w:color="auto"/>
        <w:left w:val="none" w:sz="0" w:space="0" w:color="auto"/>
        <w:bottom w:val="none" w:sz="0" w:space="0" w:color="auto"/>
        <w:right w:val="none" w:sz="0" w:space="0" w:color="auto"/>
      </w:divBdr>
    </w:div>
    <w:div w:id="590815037">
      <w:bodyDiv w:val="1"/>
      <w:marLeft w:val="0"/>
      <w:marRight w:val="0"/>
      <w:marTop w:val="0"/>
      <w:marBottom w:val="0"/>
      <w:divBdr>
        <w:top w:val="none" w:sz="0" w:space="0" w:color="auto"/>
        <w:left w:val="none" w:sz="0" w:space="0" w:color="auto"/>
        <w:bottom w:val="none" w:sz="0" w:space="0" w:color="auto"/>
        <w:right w:val="none" w:sz="0" w:space="0" w:color="auto"/>
      </w:divBdr>
    </w:div>
    <w:div w:id="606737720">
      <w:bodyDiv w:val="1"/>
      <w:marLeft w:val="0"/>
      <w:marRight w:val="0"/>
      <w:marTop w:val="0"/>
      <w:marBottom w:val="0"/>
      <w:divBdr>
        <w:top w:val="none" w:sz="0" w:space="0" w:color="auto"/>
        <w:left w:val="none" w:sz="0" w:space="0" w:color="auto"/>
        <w:bottom w:val="none" w:sz="0" w:space="0" w:color="auto"/>
        <w:right w:val="none" w:sz="0" w:space="0" w:color="auto"/>
      </w:divBdr>
    </w:div>
    <w:div w:id="795491089">
      <w:bodyDiv w:val="1"/>
      <w:marLeft w:val="0"/>
      <w:marRight w:val="0"/>
      <w:marTop w:val="0"/>
      <w:marBottom w:val="0"/>
      <w:divBdr>
        <w:top w:val="none" w:sz="0" w:space="0" w:color="auto"/>
        <w:left w:val="none" w:sz="0" w:space="0" w:color="auto"/>
        <w:bottom w:val="none" w:sz="0" w:space="0" w:color="auto"/>
        <w:right w:val="none" w:sz="0" w:space="0" w:color="auto"/>
      </w:divBdr>
    </w:div>
    <w:div w:id="810750641">
      <w:bodyDiv w:val="1"/>
      <w:marLeft w:val="0"/>
      <w:marRight w:val="0"/>
      <w:marTop w:val="0"/>
      <w:marBottom w:val="0"/>
      <w:divBdr>
        <w:top w:val="none" w:sz="0" w:space="0" w:color="auto"/>
        <w:left w:val="none" w:sz="0" w:space="0" w:color="auto"/>
        <w:bottom w:val="none" w:sz="0" w:space="0" w:color="auto"/>
        <w:right w:val="none" w:sz="0" w:space="0" w:color="auto"/>
      </w:divBdr>
    </w:div>
    <w:div w:id="978193496">
      <w:bodyDiv w:val="1"/>
      <w:marLeft w:val="0"/>
      <w:marRight w:val="0"/>
      <w:marTop w:val="0"/>
      <w:marBottom w:val="0"/>
      <w:divBdr>
        <w:top w:val="none" w:sz="0" w:space="0" w:color="auto"/>
        <w:left w:val="none" w:sz="0" w:space="0" w:color="auto"/>
        <w:bottom w:val="none" w:sz="0" w:space="0" w:color="auto"/>
        <w:right w:val="none" w:sz="0" w:space="0" w:color="auto"/>
      </w:divBdr>
    </w:div>
    <w:div w:id="1263418099">
      <w:bodyDiv w:val="1"/>
      <w:marLeft w:val="0"/>
      <w:marRight w:val="0"/>
      <w:marTop w:val="0"/>
      <w:marBottom w:val="0"/>
      <w:divBdr>
        <w:top w:val="none" w:sz="0" w:space="0" w:color="auto"/>
        <w:left w:val="none" w:sz="0" w:space="0" w:color="auto"/>
        <w:bottom w:val="none" w:sz="0" w:space="0" w:color="auto"/>
        <w:right w:val="none" w:sz="0" w:space="0" w:color="auto"/>
      </w:divBdr>
    </w:div>
    <w:div w:id="1274633473">
      <w:bodyDiv w:val="1"/>
      <w:marLeft w:val="0"/>
      <w:marRight w:val="0"/>
      <w:marTop w:val="0"/>
      <w:marBottom w:val="0"/>
      <w:divBdr>
        <w:top w:val="none" w:sz="0" w:space="0" w:color="auto"/>
        <w:left w:val="none" w:sz="0" w:space="0" w:color="auto"/>
        <w:bottom w:val="none" w:sz="0" w:space="0" w:color="auto"/>
        <w:right w:val="none" w:sz="0" w:space="0" w:color="auto"/>
      </w:divBdr>
    </w:div>
    <w:div w:id="1389576735">
      <w:bodyDiv w:val="1"/>
      <w:marLeft w:val="0"/>
      <w:marRight w:val="0"/>
      <w:marTop w:val="0"/>
      <w:marBottom w:val="0"/>
      <w:divBdr>
        <w:top w:val="none" w:sz="0" w:space="0" w:color="auto"/>
        <w:left w:val="none" w:sz="0" w:space="0" w:color="auto"/>
        <w:bottom w:val="none" w:sz="0" w:space="0" w:color="auto"/>
        <w:right w:val="none" w:sz="0" w:space="0" w:color="auto"/>
      </w:divBdr>
    </w:div>
    <w:div w:id="1396053928">
      <w:bodyDiv w:val="1"/>
      <w:marLeft w:val="0"/>
      <w:marRight w:val="0"/>
      <w:marTop w:val="0"/>
      <w:marBottom w:val="0"/>
      <w:divBdr>
        <w:top w:val="none" w:sz="0" w:space="0" w:color="auto"/>
        <w:left w:val="none" w:sz="0" w:space="0" w:color="auto"/>
        <w:bottom w:val="none" w:sz="0" w:space="0" w:color="auto"/>
        <w:right w:val="none" w:sz="0" w:space="0" w:color="auto"/>
      </w:divBdr>
    </w:div>
    <w:div w:id="1500391720">
      <w:bodyDiv w:val="1"/>
      <w:marLeft w:val="0"/>
      <w:marRight w:val="0"/>
      <w:marTop w:val="0"/>
      <w:marBottom w:val="0"/>
      <w:divBdr>
        <w:top w:val="none" w:sz="0" w:space="0" w:color="auto"/>
        <w:left w:val="none" w:sz="0" w:space="0" w:color="auto"/>
        <w:bottom w:val="none" w:sz="0" w:space="0" w:color="auto"/>
        <w:right w:val="none" w:sz="0" w:space="0" w:color="auto"/>
      </w:divBdr>
    </w:div>
    <w:div w:id="1545092604">
      <w:bodyDiv w:val="1"/>
      <w:marLeft w:val="0"/>
      <w:marRight w:val="0"/>
      <w:marTop w:val="0"/>
      <w:marBottom w:val="0"/>
      <w:divBdr>
        <w:top w:val="none" w:sz="0" w:space="0" w:color="auto"/>
        <w:left w:val="none" w:sz="0" w:space="0" w:color="auto"/>
        <w:bottom w:val="none" w:sz="0" w:space="0" w:color="auto"/>
        <w:right w:val="none" w:sz="0" w:space="0" w:color="auto"/>
      </w:divBdr>
      <w:divsChild>
        <w:div w:id="1643735110">
          <w:marLeft w:val="547"/>
          <w:marRight w:val="0"/>
          <w:marTop w:val="86"/>
          <w:marBottom w:val="0"/>
          <w:divBdr>
            <w:top w:val="none" w:sz="0" w:space="0" w:color="auto"/>
            <w:left w:val="none" w:sz="0" w:space="0" w:color="auto"/>
            <w:bottom w:val="none" w:sz="0" w:space="0" w:color="auto"/>
            <w:right w:val="none" w:sz="0" w:space="0" w:color="auto"/>
          </w:divBdr>
        </w:div>
      </w:divsChild>
    </w:div>
    <w:div w:id="1607729385">
      <w:bodyDiv w:val="1"/>
      <w:marLeft w:val="0"/>
      <w:marRight w:val="0"/>
      <w:marTop w:val="0"/>
      <w:marBottom w:val="0"/>
      <w:divBdr>
        <w:top w:val="none" w:sz="0" w:space="0" w:color="auto"/>
        <w:left w:val="none" w:sz="0" w:space="0" w:color="auto"/>
        <w:bottom w:val="none" w:sz="0" w:space="0" w:color="auto"/>
        <w:right w:val="none" w:sz="0" w:space="0" w:color="auto"/>
      </w:divBdr>
    </w:div>
    <w:div w:id="1707952460">
      <w:bodyDiv w:val="1"/>
      <w:marLeft w:val="0"/>
      <w:marRight w:val="0"/>
      <w:marTop w:val="0"/>
      <w:marBottom w:val="0"/>
      <w:divBdr>
        <w:top w:val="none" w:sz="0" w:space="0" w:color="auto"/>
        <w:left w:val="none" w:sz="0" w:space="0" w:color="auto"/>
        <w:bottom w:val="none" w:sz="0" w:space="0" w:color="auto"/>
        <w:right w:val="none" w:sz="0" w:space="0" w:color="auto"/>
      </w:divBdr>
    </w:div>
    <w:div w:id="1744181145">
      <w:bodyDiv w:val="1"/>
      <w:marLeft w:val="0"/>
      <w:marRight w:val="0"/>
      <w:marTop w:val="0"/>
      <w:marBottom w:val="0"/>
      <w:divBdr>
        <w:top w:val="none" w:sz="0" w:space="0" w:color="auto"/>
        <w:left w:val="none" w:sz="0" w:space="0" w:color="auto"/>
        <w:bottom w:val="none" w:sz="0" w:space="0" w:color="auto"/>
        <w:right w:val="none" w:sz="0" w:space="0" w:color="auto"/>
      </w:divBdr>
    </w:div>
    <w:div w:id="1818105524">
      <w:bodyDiv w:val="1"/>
      <w:marLeft w:val="0"/>
      <w:marRight w:val="0"/>
      <w:marTop w:val="0"/>
      <w:marBottom w:val="0"/>
      <w:divBdr>
        <w:top w:val="none" w:sz="0" w:space="0" w:color="auto"/>
        <w:left w:val="none" w:sz="0" w:space="0" w:color="auto"/>
        <w:bottom w:val="none" w:sz="0" w:space="0" w:color="auto"/>
        <w:right w:val="none" w:sz="0" w:space="0" w:color="auto"/>
      </w:divBdr>
    </w:div>
    <w:div w:id="1938127032">
      <w:bodyDiv w:val="1"/>
      <w:marLeft w:val="0"/>
      <w:marRight w:val="0"/>
      <w:marTop w:val="0"/>
      <w:marBottom w:val="0"/>
      <w:divBdr>
        <w:top w:val="none" w:sz="0" w:space="0" w:color="auto"/>
        <w:left w:val="none" w:sz="0" w:space="0" w:color="auto"/>
        <w:bottom w:val="none" w:sz="0" w:space="0" w:color="auto"/>
        <w:right w:val="none" w:sz="0" w:space="0" w:color="auto"/>
      </w:divBdr>
    </w:div>
    <w:div w:id="19495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C82FE-B264-4C91-964D-AB613E66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Snelick</dc:creator>
  <cp:lastModifiedBy>Taylor, Sheryl L. (Fed)</cp:lastModifiedBy>
  <cp:revision>15</cp:revision>
  <cp:lastPrinted>2016-02-25T19:43:00Z</cp:lastPrinted>
  <dcterms:created xsi:type="dcterms:W3CDTF">2016-07-13T16:42:00Z</dcterms:created>
  <dcterms:modified xsi:type="dcterms:W3CDTF">2016-07-20T14:21:00Z</dcterms:modified>
</cp:coreProperties>
</file>