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E594B" w14:textId="6A13EC2D" w:rsidR="007A49DD" w:rsidRPr="00EC2954" w:rsidRDefault="00A757E8" w:rsidP="001968DC">
      <w:pPr>
        <w:jc w:val="center"/>
        <w:rPr>
          <w:b/>
          <w:sz w:val="28"/>
          <w:szCs w:val="28"/>
          <w:u w:val="single"/>
        </w:rPr>
      </w:pPr>
      <w:r>
        <w:rPr>
          <w:b/>
          <w:sz w:val="28"/>
          <w:szCs w:val="28"/>
          <w:u w:val="single"/>
        </w:rPr>
        <w:t>Syndromic Surveillance</w:t>
      </w:r>
      <w:r w:rsidR="00973F9F" w:rsidRPr="00973F9F">
        <w:rPr>
          <w:b/>
          <w:sz w:val="28"/>
          <w:szCs w:val="28"/>
          <w:u w:val="single"/>
        </w:rPr>
        <w:t xml:space="preserve"> Test </w:t>
      </w:r>
      <w:r>
        <w:rPr>
          <w:b/>
          <w:sz w:val="28"/>
          <w:szCs w:val="28"/>
          <w:u w:val="single"/>
        </w:rPr>
        <w:t>Suite</w:t>
      </w:r>
      <w:r w:rsidR="00973F9F" w:rsidRPr="00973F9F">
        <w:rPr>
          <w:b/>
          <w:sz w:val="28"/>
          <w:szCs w:val="28"/>
          <w:u w:val="single"/>
        </w:rPr>
        <w:t xml:space="preserve"> </w:t>
      </w:r>
      <w:r w:rsidR="00973F9F" w:rsidRPr="00EC2954">
        <w:rPr>
          <w:b/>
          <w:sz w:val="28"/>
          <w:szCs w:val="28"/>
          <w:u w:val="single"/>
        </w:rPr>
        <w:t xml:space="preserve">Release Notes for </w:t>
      </w:r>
      <w:r w:rsidR="000756FC" w:rsidRPr="00EC2954">
        <w:rPr>
          <w:b/>
          <w:sz w:val="28"/>
          <w:szCs w:val="28"/>
          <w:u w:val="single"/>
        </w:rPr>
        <w:t>1.</w:t>
      </w:r>
      <w:r w:rsidR="00B64AE8" w:rsidRPr="00EC2954">
        <w:rPr>
          <w:b/>
          <w:sz w:val="28"/>
          <w:szCs w:val="28"/>
          <w:u w:val="single"/>
        </w:rPr>
        <w:t>7</w:t>
      </w:r>
      <w:r w:rsidR="00CE3301" w:rsidRPr="00EC2954">
        <w:rPr>
          <w:b/>
          <w:sz w:val="28"/>
          <w:szCs w:val="28"/>
          <w:u w:val="single"/>
        </w:rPr>
        <w:t>.</w:t>
      </w:r>
      <w:r w:rsidR="00F11198" w:rsidRPr="00EC2954">
        <w:rPr>
          <w:b/>
          <w:sz w:val="28"/>
          <w:szCs w:val="28"/>
          <w:u w:val="single"/>
        </w:rPr>
        <w:t>1</w:t>
      </w:r>
      <w:r w:rsidR="00041F71" w:rsidRPr="00EC2954">
        <w:rPr>
          <w:b/>
          <w:sz w:val="28"/>
          <w:szCs w:val="28"/>
          <w:u w:val="single"/>
        </w:rPr>
        <w:t xml:space="preserve"> </w:t>
      </w:r>
      <w:r w:rsidR="00387361" w:rsidRPr="00EC2954">
        <w:rPr>
          <w:b/>
          <w:sz w:val="28"/>
          <w:szCs w:val="28"/>
          <w:u w:val="single"/>
        </w:rPr>
        <w:t>November 2</w:t>
      </w:r>
      <w:r w:rsidR="005E0F83">
        <w:rPr>
          <w:b/>
          <w:sz w:val="28"/>
          <w:szCs w:val="28"/>
          <w:u w:val="single"/>
        </w:rPr>
        <w:t>0</w:t>
      </w:r>
      <w:r w:rsidR="005628DA" w:rsidRPr="00EC2954">
        <w:rPr>
          <w:b/>
          <w:sz w:val="28"/>
          <w:szCs w:val="28"/>
          <w:u w:val="single"/>
        </w:rPr>
        <w:t>,</w:t>
      </w:r>
      <w:r w:rsidR="000756FC" w:rsidRPr="00EC2954">
        <w:rPr>
          <w:b/>
          <w:sz w:val="28"/>
          <w:szCs w:val="28"/>
          <w:u w:val="single"/>
        </w:rPr>
        <w:t xml:space="preserve"> 201</w:t>
      </w:r>
      <w:r w:rsidR="00EA1B4A" w:rsidRPr="00EC2954">
        <w:rPr>
          <w:b/>
          <w:sz w:val="28"/>
          <w:szCs w:val="28"/>
          <w:u w:val="single"/>
        </w:rPr>
        <w:t>9</w:t>
      </w:r>
    </w:p>
    <w:p w14:paraId="2F58F1E1" w14:textId="57B4A1E9" w:rsidR="00CC2DA0" w:rsidRPr="00553C1F" w:rsidRDefault="004B64E1" w:rsidP="00553C1F">
      <w:pPr>
        <w:jc w:val="center"/>
        <w:rPr>
          <w:b/>
        </w:rPr>
      </w:pPr>
      <w:r w:rsidRPr="00553C1F">
        <w:rPr>
          <w:b/>
        </w:rPr>
        <w:t xml:space="preserve">Test </w:t>
      </w:r>
      <w:r w:rsidR="00412050" w:rsidRPr="00553C1F">
        <w:rPr>
          <w:b/>
        </w:rPr>
        <w:t>Data</w:t>
      </w:r>
    </w:p>
    <w:tbl>
      <w:tblPr>
        <w:tblStyle w:val="TableGrid"/>
        <w:tblW w:w="0" w:type="auto"/>
        <w:tblLayout w:type="fixed"/>
        <w:tblLook w:val="04A0" w:firstRow="1" w:lastRow="0" w:firstColumn="1" w:lastColumn="0" w:noHBand="0" w:noVBand="1"/>
      </w:tblPr>
      <w:tblGrid>
        <w:gridCol w:w="3595"/>
        <w:gridCol w:w="4140"/>
        <w:gridCol w:w="4410"/>
      </w:tblGrid>
      <w:tr w:rsidR="00412050" w14:paraId="43FAB0AF" w14:textId="77777777" w:rsidTr="003D0454">
        <w:trPr>
          <w:tblHeader/>
        </w:trPr>
        <w:tc>
          <w:tcPr>
            <w:tcW w:w="3595" w:type="dxa"/>
          </w:tcPr>
          <w:p w14:paraId="5BEA1C90" w14:textId="427488CC" w:rsidR="00412050" w:rsidRPr="00412050" w:rsidRDefault="00412050">
            <w:pPr>
              <w:rPr>
                <w:b/>
              </w:rPr>
            </w:pPr>
            <w:bookmarkStart w:id="0" w:name="_Hlk23850527"/>
            <w:r w:rsidRPr="00412050">
              <w:rPr>
                <w:b/>
              </w:rPr>
              <w:t>Test Case</w:t>
            </w:r>
            <w:r w:rsidR="003D0454">
              <w:rPr>
                <w:b/>
              </w:rPr>
              <w:t xml:space="preserve"> / ADT Profile</w:t>
            </w:r>
          </w:p>
        </w:tc>
        <w:tc>
          <w:tcPr>
            <w:tcW w:w="4140" w:type="dxa"/>
          </w:tcPr>
          <w:p w14:paraId="3F56B98C" w14:textId="33E3F561" w:rsidR="00412050" w:rsidRPr="00412050" w:rsidRDefault="00412050">
            <w:pPr>
              <w:rPr>
                <w:b/>
              </w:rPr>
            </w:pPr>
            <w:r w:rsidRPr="00412050">
              <w:rPr>
                <w:b/>
              </w:rPr>
              <w:t>Issue</w:t>
            </w:r>
          </w:p>
        </w:tc>
        <w:tc>
          <w:tcPr>
            <w:tcW w:w="4410" w:type="dxa"/>
          </w:tcPr>
          <w:p w14:paraId="7D1905A6" w14:textId="4693A07E" w:rsidR="00412050" w:rsidRPr="00412050" w:rsidRDefault="00412050">
            <w:pPr>
              <w:rPr>
                <w:b/>
              </w:rPr>
            </w:pPr>
            <w:r w:rsidRPr="00412050">
              <w:rPr>
                <w:b/>
              </w:rPr>
              <w:t>Resolution</w:t>
            </w:r>
          </w:p>
        </w:tc>
      </w:tr>
      <w:tr w:rsidR="00F47853" w14:paraId="56C3D315" w14:textId="77777777" w:rsidTr="003D0454">
        <w:trPr>
          <w:trHeight w:val="323"/>
        </w:trPr>
        <w:tc>
          <w:tcPr>
            <w:tcW w:w="3595" w:type="dxa"/>
          </w:tcPr>
          <w:p w14:paraId="290E743D" w14:textId="77777777" w:rsidR="0020662E" w:rsidRDefault="0020662E" w:rsidP="005F0223">
            <w:pPr>
              <w:rPr>
                <w:rStyle w:val="ng-binding"/>
              </w:rPr>
            </w:pPr>
            <w:r>
              <w:rPr>
                <w:rStyle w:val="ng-binding"/>
              </w:rPr>
              <w:t xml:space="preserve">Test Case: </w:t>
            </w:r>
          </w:p>
          <w:p w14:paraId="667F3C4E" w14:textId="2D080E04" w:rsidR="0020662E" w:rsidRDefault="0020662E" w:rsidP="0020662E">
            <w:pPr>
              <w:ind w:left="342"/>
              <w:rPr>
                <w:rStyle w:val="ng-binding"/>
              </w:rPr>
            </w:pPr>
            <w:r>
              <w:rPr>
                <w:rStyle w:val="ng-binding"/>
              </w:rPr>
              <w:t>SS-ED-2_ED_Visit_Patient_Dies</w:t>
            </w:r>
          </w:p>
          <w:p w14:paraId="2C9873DE" w14:textId="77777777" w:rsidR="0020662E" w:rsidRDefault="0020662E" w:rsidP="005F0223">
            <w:pPr>
              <w:rPr>
                <w:rStyle w:val="ng-binding"/>
              </w:rPr>
            </w:pPr>
            <w:r>
              <w:rPr>
                <w:rStyle w:val="ng-binding"/>
              </w:rPr>
              <w:t xml:space="preserve">Test Step: </w:t>
            </w:r>
          </w:p>
          <w:p w14:paraId="02474894" w14:textId="71322A94" w:rsidR="00F47853" w:rsidRPr="005D77E0" w:rsidRDefault="0020662E" w:rsidP="0020662E">
            <w:pPr>
              <w:ind w:left="342"/>
              <w:rPr>
                <w:color w:val="FF0000"/>
              </w:rPr>
            </w:pPr>
            <w:bookmarkStart w:id="1" w:name="_Hlk515439994"/>
            <w:r>
              <w:rPr>
                <w:rStyle w:val="ng-binding"/>
              </w:rPr>
              <w:t>SS-ED-2.1_Registration_A04</w:t>
            </w:r>
            <w:r w:rsidRPr="005D77E0">
              <w:rPr>
                <w:color w:val="FF0000"/>
              </w:rPr>
              <w:t xml:space="preserve"> </w:t>
            </w:r>
            <w:bookmarkEnd w:id="1"/>
          </w:p>
        </w:tc>
        <w:tc>
          <w:tcPr>
            <w:tcW w:w="4140" w:type="dxa"/>
          </w:tcPr>
          <w:p w14:paraId="03B811CA" w14:textId="733B23CD" w:rsidR="00CE0BD1" w:rsidRPr="0020662E" w:rsidRDefault="0020662E" w:rsidP="0037561B">
            <w:pPr>
              <w:rPr>
                <w:color w:val="FF0000"/>
              </w:rPr>
            </w:pPr>
            <w:r>
              <w:rPr>
                <w:rFonts w:cs="Helvetica"/>
                <w:color w:val="000000"/>
                <w:szCs w:val="23"/>
                <w:shd w:val="clear" w:color="auto" w:fill="FFFFFF"/>
              </w:rPr>
              <w:t xml:space="preserve">The </w:t>
            </w:r>
            <w:r w:rsidRPr="00900562">
              <w:rPr>
                <w:rFonts w:cs="Helvetica"/>
                <w:b/>
                <w:color w:val="000000"/>
                <w:szCs w:val="23"/>
                <w:shd w:val="clear" w:color="auto" w:fill="FFFFFF"/>
              </w:rPr>
              <w:t>Test Story</w:t>
            </w:r>
            <w:r>
              <w:rPr>
                <w:rFonts w:cs="Helvetica"/>
                <w:color w:val="000000"/>
                <w:szCs w:val="23"/>
                <w:shd w:val="clear" w:color="auto" w:fill="FFFFFF"/>
              </w:rPr>
              <w:t xml:space="preserve"> has a typo: </w:t>
            </w:r>
            <w:bookmarkStart w:id="2" w:name="_Hlk515440018"/>
            <w:r>
              <w:rPr>
                <w:rFonts w:cs="Helvetica"/>
                <w:color w:val="000000"/>
                <w:szCs w:val="23"/>
                <w:shd w:val="clear" w:color="auto" w:fill="FFFFFF"/>
              </w:rPr>
              <w:t xml:space="preserve">ICD-10 CM code </w:t>
            </w:r>
            <w:r w:rsidRPr="0020662E">
              <w:rPr>
                <w:rFonts w:cs="Helvetica"/>
                <w:color w:val="000000"/>
                <w:szCs w:val="23"/>
                <w:shd w:val="clear" w:color="auto" w:fill="FFFFFF"/>
              </w:rPr>
              <w:t xml:space="preserve">V31.4XXA </w:t>
            </w:r>
            <w:r>
              <w:rPr>
                <w:rFonts w:cs="Helvetica"/>
                <w:color w:val="000000"/>
                <w:szCs w:val="23"/>
                <w:shd w:val="clear" w:color="auto" w:fill="FFFFFF"/>
              </w:rPr>
              <w:t xml:space="preserve">should be </w:t>
            </w:r>
            <w:r w:rsidRPr="0020662E">
              <w:rPr>
                <w:rFonts w:cs="Helvetica"/>
                <w:color w:val="000000"/>
                <w:szCs w:val="23"/>
                <w:shd w:val="clear" w:color="auto" w:fill="FFFFFF"/>
              </w:rPr>
              <w:t>V</w:t>
            </w:r>
            <w:r>
              <w:rPr>
                <w:rFonts w:cs="Helvetica"/>
                <w:color w:val="000000"/>
                <w:szCs w:val="23"/>
                <w:shd w:val="clear" w:color="auto" w:fill="FFFFFF"/>
              </w:rPr>
              <w:t>13</w:t>
            </w:r>
            <w:r w:rsidRPr="0020662E">
              <w:rPr>
                <w:rFonts w:cs="Helvetica"/>
                <w:color w:val="000000"/>
                <w:szCs w:val="23"/>
                <w:shd w:val="clear" w:color="auto" w:fill="FFFFFF"/>
              </w:rPr>
              <w:t xml:space="preserve">.4XXA </w:t>
            </w:r>
            <w:r>
              <w:rPr>
                <w:rFonts w:cs="Helvetica"/>
                <w:color w:val="000000"/>
                <w:szCs w:val="23"/>
                <w:shd w:val="clear" w:color="auto" w:fill="FFFFFF"/>
              </w:rPr>
              <w:t>for the Working Diagnosis “</w:t>
            </w:r>
            <w:r w:rsidRPr="0020662E">
              <w:rPr>
                <w:rFonts w:cs="Helvetica"/>
                <w:color w:val="000000"/>
                <w:szCs w:val="23"/>
                <w:shd w:val="clear" w:color="auto" w:fill="FFFFFF"/>
              </w:rPr>
              <w:t>Pedal cycle driver injured in collision with car, pick-up truck or van in traffic accident, initial encounter</w:t>
            </w:r>
            <w:r>
              <w:rPr>
                <w:rFonts w:cs="Helvetica"/>
                <w:color w:val="000000"/>
                <w:szCs w:val="23"/>
                <w:shd w:val="clear" w:color="auto" w:fill="FFFFFF"/>
              </w:rPr>
              <w:t>”</w:t>
            </w:r>
            <w:bookmarkEnd w:id="2"/>
          </w:p>
        </w:tc>
        <w:tc>
          <w:tcPr>
            <w:tcW w:w="4410" w:type="dxa"/>
            <w:shd w:val="clear" w:color="auto" w:fill="auto"/>
          </w:tcPr>
          <w:p w14:paraId="478F1274" w14:textId="619A79DB" w:rsidR="00DC2EDF" w:rsidRPr="00387361" w:rsidRDefault="00B850A4" w:rsidP="005F0223">
            <w:pPr>
              <w:rPr>
                <w:rFonts w:cs="Arial"/>
              </w:rPr>
            </w:pPr>
            <w:r w:rsidRPr="00387361">
              <w:rPr>
                <w:rFonts w:cs="Helvetica"/>
                <w:szCs w:val="23"/>
                <w:shd w:val="clear" w:color="auto" w:fill="FFFFFF"/>
              </w:rPr>
              <w:t xml:space="preserve">The </w:t>
            </w:r>
            <w:r w:rsidRPr="00387361">
              <w:rPr>
                <w:rFonts w:cs="Helvetica"/>
                <w:b/>
                <w:szCs w:val="23"/>
                <w:shd w:val="clear" w:color="auto" w:fill="FFFFFF"/>
              </w:rPr>
              <w:t>Test Story</w:t>
            </w:r>
            <w:r w:rsidRPr="00387361">
              <w:rPr>
                <w:rFonts w:cs="Helvetica"/>
                <w:szCs w:val="23"/>
                <w:shd w:val="clear" w:color="auto" w:fill="FFFFFF"/>
              </w:rPr>
              <w:t xml:space="preserve"> has been corrected: ICD-10 CM code V31.4XXA has been changed to V13.4XXA </w:t>
            </w:r>
          </w:p>
        </w:tc>
      </w:tr>
      <w:tr w:rsidR="009E5DB0" w14:paraId="5039897F" w14:textId="77777777" w:rsidTr="00DC2EDF">
        <w:trPr>
          <w:trHeight w:val="323"/>
        </w:trPr>
        <w:tc>
          <w:tcPr>
            <w:tcW w:w="3595" w:type="dxa"/>
            <w:shd w:val="clear" w:color="auto" w:fill="FFFFFF" w:themeFill="background1"/>
          </w:tcPr>
          <w:p w14:paraId="02DF79B7" w14:textId="1F7B2B43" w:rsidR="00DC2EDF" w:rsidRPr="0037561B" w:rsidRDefault="0037561B" w:rsidP="009E5DB0">
            <w:pPr>
              <w:rPr>
                <w:rFonts w:cs="Helvetica"/>
                <w:shd w:val="clear" w:color="auto" w:fill="F9F9F9"/>
              </w:rPr>
            </w:pPr>
            <w:r w:rsidRPr="0037561B">
              <w:rPr>
                <w:rFonts w:cs="Helvetica"/>
                <w:shd w:val="clear" w:color="auto" w:fill="F9F9F9"/>
              </w:rPr>
              <w:t>All ADT Profiles in Context-free Validation</w:t>
            </w:r>
          </w:p>
        </w:tc>
        <w:tc>
          <w:tcPr>
            <w:tcW w:w="4140" w:type="dxa"/>
          </w:tcPr>
          <w:p w14:paraId="524D1FBF" w14:textId="186733AC" w:rsidR="009E5DB0" w:rsidRPr="0037561B" w:rsidRDefault="0037561B" w:rsidP="009E5DB0">
            <w:pPr>
              <w:rPr>
                <w:rFonts w:cs="Arial"/>
              </w:rPr>
            </w:pPr>
            <w:r w:rsidRPr="0037561B">
              <w:rPr>
                <w:rFonts w:cs="Arial"/>
              </w:rPr>
              <w:t xml:space="preserve">In the pdf versions of the </w:t>
            </w:r>
            <w:r w:rsidRPr="0037561B">
              <w:rPr>
                <w:rFonts w:cs="Arial"/>
                <w:b/>
                <w:bCs/>
              </w:rPr>
              <w:t>Validation Reports</w:t>
            </w:r>
            <w:r w:rsidRPr="0037561B">
              <w:rPr>
                <w:rFonts w:cs="Arial"/>
              </w:rPr>
              <w:t xml:space="preserve"> that are generated from validation of a test message</w:t>
            </w:r>
            <w:r w:rsidRPr="0037561B">
              <w:rPr>
                <w:rFonts w:cs="Arial"/>
                <w:bCs/>
              </w:rPr>
              <w:t>, t</w:t>
            </w:r>
            <w:r w:rsidRPr="0037561B">
              <w:rPr>
                <w:rFonts w:cs="Arial"/>
              </w:rPr>
              <w:t xml:space="preserve">he right text margin </w:t>
            </w:r>
            <w:r w:rsidR="00B41B93">
              <w:rPr>
                <w:rFonts w:cs="Arial"/>
              </w:rPr>
              <w:t xml:space="preserve">border </w:t>
            </w:r>
            <w:r w:rsidRPr="0037561B">
              <w:rPr>
                <w:rFonts w:cs="Arial"/>
              </w:rPr>
              <w:t>is set out beyond the edge of the display rectangle</w:t>
            </w:r>
            <w:r w:rsidR="00B41B93">
              <w:rPr>
                <w:rFonts w:cs="Arial"/>
              </w:rPr>
              <w:t xml:space="preserve"> and long text is truncated</w:t>
            </w:r>
            <w:r w:rsidRPr="0037561B">
              <w:rPr>
                <w:rFonts w:cs="Arial"/>
              </w:rPr>
              <w:t xml:space="preserve"> for the </w:t>
            </w:r>
            <w:r w:rsidRPr="0037561B">
              <w:rPr>
                <w:rFonts w:cs="Arial"/>
                <w:b/>
                <w:bCs/>
              </w:rPr>
              <w:t>Validation Alerts</w:t>
            </w:r>
            <w:r w:rsidRPr="0037561B">
              <w:rPr>
                <w:rFonts w:cs="Arial"/>
              </w:rPr>
              <w:t xml:space="preserve"> </w:t>
            </w:r>
            <w:r w:rsidRPr="0037561B">
              <w:rPr>
                <w:rFonts w:cs="Arial"/>
                <w:b/>
                <w:bCs/>
              </w:rPr>
              <w:t>section of the report</w:t>
            </w:r>
            <w:r w:rsidRPr="0037561B">
              <w:rPr>
                <w:rFonts w:cs="Arial"/>
              </w:rPr>
              <w:t xml:space="preserve">. </w:t>
            </w:r>
          </w:p>
        </w:tc>
        <w:tc>
          <w:tcPr>
            <w:tcW w:w="4410" w:type="dxa"/>
          </w:tcPr>
          <w:p w14:paraId="73C7BA0D" w14:textId="2A1C1470" w:rsidR="009E5DB0" w:rsidRPr="00936D61" w:rsidRDefault="0037561B" w:rsidP="009E5DB0">
            <w:pPr>
              <w:rPr>
                <w:rFonts w:cs="Helvetica"/>
                <w:shd w:val="clear" w:color="auto" w:fill="F9F9F9"/>
              </w:rPr>
            </w:pPr>
            <w:r w:rsidRPr="00936D61">
              <w:rPr>
                <w:rFonts w:cs="Arial"/>
              </w:rPr>
              <w:t xml:space="preserve">This issue in the pdf versions of the </w:t>
            </w:r>
            <w:r w:rsidRPr="00936D61">
              <w:rPr>
                <w:rFonts w:cs="Arial"/>
                <w:b/>
                <w:bCs/>
              </w:rPr>
              <w:t>Validation Reports</w:t>
            </w:r>
            <w:r w:rsidRPr="00936D61">
              <w:rPr>
                <w:rFonts w:cs="Arial"/>
                <w:bCs/>
              </w:rPr>
              <w:t xml:space="preserve"> has been corrected.</w:t>
            </w:r>
          </w:p>
        </w:tc>
      </w:tr>
      <w:tr w:rsidR="00D069AA" w14:paraId="1A49039C" w14:textId="77777777" w:rsidTr="00271DFA">
        <w:trPr>
          <w:trHeight w:val="323"/>
        </w:trPr>
        <w:tc>
          <w:tcPr>
            <w:tcW w:w="3595" w:type="dxa"/>
          </w:tcPr>
          <w:p w14:paraId="23B46DE6" w14:textId="20A8D703" w:rsidR="00D069AA" w:rsidRDefault="00D069AA" w:rsidP="00D069AA">
            <w:r>
              <w:t xml:space="preserve">Context-free and Context-based Validation: </w:t>
            </w:r>
            <w:proofErr w:type="spellStart"/>
            <w:r w:rsidRPr="007E641B">
              <w:rPr>
                <w:rFonts w:eastAsia="Times New Roman" w:cstheme="minorHAnsi"/>
                <w:color w:val="000000"/>
                <w:szCs w:val="18"/>
                <w:bdr w:val="none" w:sz="0" w:space="0" w:color="auto" w:frame="1"/>
              </w:rPr>
              <w:t>PHVS_SmokingStatus_MU</w:t>
            </w:r>
            <w:proofErr w:type="spellEnd"/>
            <w:r w:rsidRPr="007E641B">
              <w:rPr>
                <w:rFonts w:eastAsia="Times New Roman" w:cstheme="minorHAnsi"/>
                <w:color w:val="000000"/>
                <w:szCs w:val="18"/>
                <w:bdr w:val="none" w:sz="0" w:space="0" w:color="auto" w:frame="1"/>
              </w:rPr>
              <w:t xml:space="preserve"> (Smoking Status) Value Set</w:t>
            </w:r>
          </w:p>
          <w:p w14:paraId="0F27B0E1" w14:textId="77777777" w:rsidR="00D069AA" w:rsidRDefault="00D069AA" w:rsidP="00D069AA"/>
          <w:p w14:paraId="3E91FE3C" w14:textId="00B95B98" w:rsidR="00D069AA" w:rsidRPr="00D83649" w:rsidRDefault="00D069AA" w:rsidP="00D069AA">
            <w:r w:rsidRPr="007E641B">
              <w:rPr>
                <w:rFonts w:cstheme="minorHAnsi"/>
                <w:color w:val="000000"/>
                <w:szCs w:val="18"/>
                <w:shd w:val="clear" w:color="auto" w:fill="FFFFFF"/>
              </w:rPr>
              <w:t>428041000124106</w:t>
            </w:r>
          </w:p>
        </w:tc>
        <w:tc>
          <w:tcPr>
            <w:tcW w:w="4140" w:type="dxa"/>
          </w:tcPr>
          <w:p w14:paraId="1EA7C6B6" w14:textId="77777777" w:rsidR="00D069AA" w:rsidRDefault="00D069AA" w:rsidP="00D069AA">
            <w:pPr>
              <w:shd w:val="clear" w:color="auto" w:fill="FFFFFF"/>
              <w:rPr>
                <w:rFonts w:eastAsia="Times New Roman" w:cstheme="minorHAnsi"/>
                <w:color w:val="000000"/>
                <w:szCs w:val="18"/>
                <w:bdr w:val="none" w:sz="0" w:space="0" w:color="auto" w:frame="1"/>
              </w:rPr>
            </w:pPr>
            <w:r>
              <w:rPr>
                <w:rFonts w:eastAsia="Times New Roman" w:cstheme="minorHAnsi"/>
                <w:color w:val="000000"/>
                <w:szCs w:val="18"/>
                <w:bdr w:val="none" w:sz="0" w:space="0" w:color="auto" w:frame="1"/>
                <w:shd w:val="clear" w:color="auto" w:fill="FFFFFF"/>
              </w:rPr>
              <w:t>T</w:t>
            </w:r>
            <w:r w:rsidRPr="007E641B">
              <w:rPr>
                <w:rFonts w:eastAsia="Times New Roman" w:cstheme="minorHAnsi"/>
                <w:color w:val="000000"/>
                <w:szCs w:val="18"/>
                <w:bdr w:val="none" w:sz="0" w:space="0" w:color="auto" w:frame="1"/>
                <w:shd w:val="clear" w:color="auto" w:fill="FFFFFF"/>
              </w:rPr>
              <w:t xml:space="preserve">he </w:t>
            </w:r>
            <w:r>
              <w:rPr>
                <w:rFonts w:eastAsia="Times New Roman" w:cstheme="minorHAnsi"/>
                <w:color w:val="000000"/>
                <w:szCs w:val="18"/>
                <w:bdr w:val="none" w:sz="0" w:space="0" w:color="auto" w:frame="1"/>
                <w:shd w:val="clear" w:color="auto" w:fill="FFFFFF"/>
              </w:rPr>
              <w:t>SNOMED CT (</w:t>
            </w:r>
            <w:r w:rsidRPr="007E641B">
              <w:rPr>
                <w:rFonts w:eastAsia="Times New Roman" w:cstheme="minorHAnsi"/>
                <w:color w:val="000000"/>
                <w:szCs w:val="18"/>
                <w:bdr w:val="none" w:sz="0" w:space="0" w:color="auto" w:frame="1"/>
                <w:shd w:val="clear" w:color="auto" w:fill="FFFFFF"/>
              </w:rPr>
              <w:t>SCT</w:t>
            </w:r>
            <w:r>
              <w:rPr>
                <w:rFonts w:eastAsia="Times New Roman" w:cstheme="minorHAnsi"/>
                <w:color w:val="000000"/>
                <w:szCs w:val="18"/>
                <w:bdr w:val="none" w:sz="0" w:space="0" w:color="auto" w:frame="1"/>
                <w:shd w:val="clear" w:color="auto" w:fill="FFFFFF"/>
              </w:rPr>
              <w:t>)</w:t>
            </w:r>
            <w:r w:rsidRPr="007E641B">
              <w:rPr>
                <w:rFonts w:eastAsia="Times New Roman" w:cstheme="minorHAnsi"/>
                <w:color w:val="000000"/>
                <w:szCs w:val="18"/>
                <w:bdr w:val="none" w:sz="0" w:space="0" w:color="auto" w:frame="1"/>
                <w:shd w:val="clear" w:color="auto" w:fill="FFFFFF"/>
              </w:rPr>
              <w:t xml:space="preserve"> code “428041000124106” is listed </w:t>
            </w:r>
            <w:r w:rsidRPr="007E641B">
              <w:rPr>
                <w:rFonts w:eastAsia="Times New Roman" w:cstheme="minorHAnsi"/>
                <w:color w:val="000000"/>
                <w:szCs w:val="18"/>
                <w:u w:val="single"/>
                <w:bdr w:val="none" w:sz="0" w:space="0" w:color="auto" w:frame="1"/>
                <w:shd w:val="clear" w:color="auto" w:fill="FFFFFF"/>
              </w:rPr>
              <w:t>twice</w:t>
            </w:r>
            <w:r w:rsidRPr="007E641B">
              <w:rPr>
                <w:rFonts w:eastAsia="Times New Roman" w:cstheme="minorHAnsi"/>
                <w:color w:val="000000"/>
                <w:szCs w:val="18"/>
                <w:bdr w:val="none" w:sz="0" w:space="0" w:color="auto" w:frame="1"/>
                <w:shd w:val="clear" w:color="auto" w:fill="FFFFFF"/>
              </w:rPr>
              <w:t> in the </w:t>
            </w:r>
            <w:proofErr w:type="spellStart"/>
            <w:r w:rsidRPr="007E641B">
              <w:rPr>
                <w:rFonts w:eastAsia="Times New Roman" w:cstheme="minorHAnsi"/>
                <w:color w:val="000000"/>
                <w:szCs w:val="18"/>
                <w:bdr w:val="none" w:sz="0" w:space="0" w:color="auto" w:frame="1"/>
              </w:rPr>
              <w:t>PHVS_SmokingStatus_MU</w:t>
            </w:r>
            <w:proofErr w:type="spellEnd"/>
            <w:r w:rsidRPr="007E641B">
              <w:rPr>
                <w:rFonts w:eastAsia="Times New Roman" w:cstheme="minorHAnsi"/>
                <w:color w:val="000000"/>
                <w:szCs w:val="18"/>
                <w:bdr w:val="none" w:sz="0" w:space="0" w:color="auto" w:frame="1"/>
              </w:rPr>
              <w:t xml:space="preserve"> (Smoking Status) Value Set. </w:t>
            </w:r>
          </w:p>
          <w:p w14:paraId="01D3213D" w14:textId="15FE7ECD" w:rsidR="00D069AA" w:rsidRPr="000857AB" w:rsidRDefault="00D069AA" w:rsidP="00D069AA">
            <w:pPr>
              <w:shd w:val="clear" w:color="auto" w:fill="FFFFFF"/>
              <w:rPr>
                <w:rFonts w:eastAsia="Times New Roman" w:cstheme="minorHAnsi"/>
                <w:color w:val="222222"/>
                <w:szCs w:val="20"/>
              </w:rPr>
            </w:pPr>
            <w:r w:rsidRPr="007E641B">
              <w:rPr>
                <w:rFonts w:eastAsia="Times New Roman" w:cstheme="minorHAnsi"/>
                <w:color w:val="000000"/>
                <w:szCs w:val="18"/>
                <w:bdr w:val="none" w:sz="0" w:space="0" w:color="auto" w:frame="1"/>
              </w:rPr>
              <w:t xml:space="preserve">This duplicate entry is causing </w:t>
            </w:r>
            <w:r>
              <w:rPr>
                <w:rFonts w:eastAsia="Times New Roman" w:cstheme="minorHAnsi"/>
                <w:color w:val="000000"/>
                <w:szCs w:val="18"/>
                <w:bdr w:val="none" w:sz="0" w:space="0" w:color="auto" w:frame="1"/>
              </w:rPr>
              <w:t>an</w:t>
            </w:r>
            <w:r w:rsidRPr="007E641B">
              <w:rPr>
                <w:rFonts w:eastAsia="Times New Roman" w:cstheme="minorHAnsi"/>
                <w:color w:val="000000"/>
                <w:szCs w:val="18"/>
                <w:bdr w:val="none" w:sz="0" w:space="0" w:color="auto" w:frame="1"/>
              </w:rPr>
              <w:t xml:space="preserve"> error notification to be generated</w:t>
            </w:r>
            <w:r>
              <w:rPr>
                <w:rFonts w:eastAsia="Times New Roman" w:cstheme="minorHAnsi"/>
                <w:color w:val="000000"/>
                <w:szCs w:val="18"/>
                <w:bdr w:val="none" w:sz="0" w:space="0" w:color="auto" w:frame="1"/>
              </w:rPr>
              <w:t xml:space="preserve"> when </w:t>
            </w:r>
            <w:r w:rsidRPr="007E641B">
              <w:rPr>
                <w:rFonts w:eastAsia="Times New Roman" w:cstheme="minorHAnsi"/>
                <w:color w:val="000000"/>
                <w:szCs w:val="18"/>
                <w:bdr w:val="none" w:sz="0" w:space="0" w:color="auto" w:frame="1"/>
              </w:rPr>
              <w:t>the data value in OBX-3.1 is 72166-2 and the data value in OBX-5.1 (Observation Value Identifier) is </w:t>
            </w:r>
            <w:r w:rsidRPr="007E641B">
              <w:rPr>
                <w:rFonts w:eastAsia="Times New Roman" w:cstheme="minorHAnsi"/>
                <w:color w:val="000000"/>
                <w:szCs w:val="18"/>
                <w:bdr w:val="none" w:sz="0" w:space="0" w:color="auto" w:frame="1"/>
                <w:shd w:val="clear" w:color="auto" w:fill="FFFFFF"/>
              </w:rPr>
              <w:t>428041000124106</w:t>
            </w:r>
            <w:r w:rsidRPr="007E641B">
              <w:rPr>
                <w:rFonts w:eastAsia="Times New Roman" w:cstheme="minorHAnsi"/>
                <w:color w:val="000000"/>
                <w:szCs w:val="18"/>
                <w:bdr w:val="none" w:sz="0" w:space="0" w:color="auto" w:frame="1"/>
              </w:rPr>
              <w:t>.</w:t>
            </w:r>
          </w:p>
        </w:tc>
        <w:tc>
          <w:tcPr>
            <w:tcW w:w="4410" w:type="dxa"/>
          </w:tcPr>
          <w:p w14:paraId="1BAEC1AE" w14:textId="0FEC8C3F" w:rsidR="00D069AA" w:rsidRPr="00387361" w:rsidRDefault="00D069AA" w:rsidP="00D069AA">
            <w:pPr>
              <w:shd w:val="clear" w:color="auto" w:fill="FFFFFF"/>
              <w:rPr>
                <w:rFonts w:cstheme="minorHAnsi"/>
                <w:shd w:val="clear" w:color="auto" w:fill="FFFFFF"/>
              </w:rPr>
            </w:pPr>
            <w:r w:rsidRPr="00387361">
              <w:rPr>
                <w:rFonts w:eastAsia="Times New Roman" w:cstheme="minorHAnsi"/>
                <w:szCs w:val="18"/>
                <w:bdr w:val="none" w:sz="0" w:space="0" w:color="auto" w:frame="1"/>
                <w:shd w:val="clear" w:color="auto" w:fill="FFFFFF"/>
              </w:rPr>
              <w:t>One of the instances of the SCT code “428041000124106” has been deleted from the </w:t>
            </w:r>
            <w:proofErr w:type="spellStart"/>
            <w:r w:rsidRPr="00387361">
              <w:rPr>
                <w:rFonts w:eastAsia="Times New Roman" w:cstheme="minorHAnsi"/>
                <w:szCs w:val="18"/>
                <w:bdr w:val="none" w:sz="0" w:space="0" w:color="auto" w:frame="1"/>
              </w:rPr>
              <w:t>PHVS_SmokingStatus_MU</w:t>
            </w:r>
            <w:proofErr w:type="spellEnd"/>
            <w:r w:rsidRPr="00387361">
              <w:rPr>
                <w:rFonts w:eastAsia="Times New Roman" w:cstheme="minorHAnsi"/>
                <w:szCs w:val="18"/>
                <w:bdr w:val="none" w:sz="0" w:space="0" w:color="auto" w:frame="1"/>
              </w:rPr>
              <w:t xml:space="preserve"> (Smoking Status) Value Set in the NIST Syndromic Surveillance test tool. </w:t>
            </w:r>
          </w:p>
        </w:tc>
      </w:tr>
      <w:bookmarkEnd w:id="0"/>
    </w:tbl>
    <w:p w14:paraId="51999E5C" w14:textId="77777777" w:rsidR="000857AB" w:rsidRDefault="000857AB" w:rsidP="00553C1F">
      <w:pPr>
        <w:jc w:val="center"/>
        <w:rPr>
          <w:b/>
        </w:rPr>
      </w:pPr>
    </w:p>
    <w:p w14:paraId="062DBC3F" w14:textId="702E8DA3" w:rsidR="00420C09" w:rsidRPr="00553C1F" w:rsidRDefault="00987C70" w:rsidP="00553C1F">
      <w:pPr>
        <w:jc w:val="center"/>
        <w:rPr>
          <w:b/>
        </w:rPr>
      </w:pPr>
      <w:r w:rsidRPr="00553C1F">
        <w:rPr>
          <w:b/>
        </w:rPr>
        <w:t xml:space="preserve">Specific </w:t>
      </w:r>
      <w:r w:rsidR="00420C09" w:rsidRPr="00553C1F">
        <w:rPr>
          <w:b/>
        </w:rPr>
        <w:t>Validation</w:t>
      </w:r>
    </w:p>
    <w:tbl>
      <w:tblPr>
        <w:tblStyle w:val="TableGrid"/>
        <w:tblW w:w="0" w:type="auto"/>
        <w:tblLayout w:type="fixed"/>
        <w:tblLook w:val="04A0" w:firstRow="1" w:lastRow="0" w:firstColumn="1" w:lastColumn="0" w:noHBand="0" w:noVBand="1"/>
      </w:tblPr>
      <w:tblGrid>
        <w:gridCol w:w="5575"/>
        <w:gridCol w:w="6570"/>
      </w:tblGrid>
      <w:tr w:rsidR="008C4252" w14:paraId="3F1D3BB4" w14:textId="77777777" w:rsidTr="00145C34">
        <w:trPr>
          <w:tblHeader/>
        </w:trPr>
        <w:tc>
          <w:tcPr>
            <w:tcW w:w="5575" w:type="dxa"/>
            <w:tcBorders>
              <w:bottom w:val="single" w:sz="4" w:space="0" w:color="auto"/>
            </w:tcBorders>
          </w:tcPr>
          <w:p w14:paraId="239B6D11" w14:textId="77777777" w:rsidR="00D65A11" w:rsidRPr="00412050" w:rsidRDefault="00D65A11" w:rsidP="005F0223">
            <w:pPr>
              <w:rPr>
                <w:b/>
              </w:rPr>
            </w:pPr>
            <w:bookmarkStart w:id="3" w:name="_Hlk25143798"/>
            <w:r w:rsidRPr="00412050">
              <w:rPr>
                <w:b/>
              </w:rPr>
              <w:t>Issue</w:t>
            </w:r>
          </w:p>
        </w:tc>
        <w:tc>
          <w:tcPr>
            <w:tcW w:w="6570" w:type="dxa"/>
            <w:tcBorders>
              <w:bottom w:val="single" w:sz="4" w:space="0" w:color="auto"/>
            </w:tcBorders>
          </w:tcPr>
          <w:p w14:paraId="1CB3F726" w14:textId="45EAA112" w:rsidR="00D65A11" w:rsidRPr="00412050" w:rsidRDefault="00D65A11" w:rsidP="005F0223">
            <w:pPr>
              <w:rPr>
                <w:b/>
              </w:rPr>
            </w:pPr>
            <w:r w:rsidRPr="00412050">
              <w:rPr>
                <w:b/>
              </w:rPr>
              <w:t>Resolution</w:t>
            </w:r>
          </w:p>
        </w:tc>
      </w:tr>
      <w:tr w:rsidR="005D77E0" w14:paraId="01D71536" w14:textId="77777777" w:rsidTr="003D0454">
        <w:tc>
          <w:tcPr>
            <w:tcW w:w="5575" w:type="dxa"/>
          </w:tcPr>
          <w:p w14:paraId="13357E5D" w14:textId="77777777" w:rsidR="004C0546" w:rsidRDefault="004C0546" w:rsidP="000B78AD">
            <w:pPr>
              <w:jc w:val="both"/>
              <w:rPr>
                <w:rFonts w:cstheme="minorHAnsi"/>
                <w:color w:val="000000"/>
                <w:shd w:val="clear" w:color="auto" w:fill="FFFFFF"/>
              </w:rPr>
            </w:pPr>
            <w:r w:rsidRPr="004C0546">
              <w:rPr>
                <w:rFonts w:cstheme="minorHAnsi"/>
              </w:rPr>
              <w:t xml:space="preserve">Value Set </w:t>
            </w:r>
            <w:proofErr w:type="spellStart"/>
            <w:r w:rsidRPr="004C0546">
              <w:rPr>
                <w:rFonts w:cstheme="minorHAnsi"/>
                <w:color w:val="000000"/>
                <w:shd w:val="clear" w:color="auto" w:fill="FFFFFF"/>
              </w:rPr>
              <w:t>Disease&amp;Diagnosis</w:t>
            </w:r>
            <w:proofErr w:type="spellEnd"/>
            <w:r w:rsidRPr="004C0546">
              <w:rPr>
                <w:rFonts w:cstheme="minorHAnsi"/>
                <w:color w:val="000000"/>
                <w:shd w:val="clear" w:color="auto" w:fill="FFFFFF"/>
              </w:rPr>
              <w:t xml:space="preserve"> (ICD-9 CM)&amp;Diagnosis (ICD-10 CM)</w:t>
            </w:r>
            <w:r w:rsidRPr="004C0546">
              <w:rPr>
                <w:rFonts w:cstheme="minorHAnsi"/>
                <w:color w:val="000000"/>
                <w:shd w:val="clear" w:color="auto" w:fill="FFFFFF"/>
              </w:rPr>
              <w:t xml:space="preserve"> has a typo: </w:t>
            </w:r>
          </w:p>
          <w:p w14:paraId="465DE176" w14:textId="47EBAF29" w:rsidR="000B78AD" w:rsidRPr="004C0546" w:rsidRDefault="004C0546" w:rsidP="004C0546">
            <w:pPr>
              <w:ind w:left="333"/>
              <w:jc w:val="both"/>
              <w:rPr>
                <w:rFonts w:cstheme="minorHAnsi"/>
                <w:color w:val="FF0000"/>
                <w:shd w:val="clear" w:color="auto" w:fill="FFFF00"/>
              </w:rPr>
            </w:pPr>
            <w:r w:rsidRPr="004C0546">
              <w:rPr>
                <w:rFonts w:cstheme="minorHAnsi"/>
              </w:rPr>
              <w:lastRenderedPageBreak/>
              <w:t>the ICD-10-CM code H16.329</w:t>
            </w:r>
            <w:r>
              <w:rPr>
                <w:rFonts w:cstheme="minorHAnsi"/>
              </w:rPr>
              <w:t>/</w:t>
            </w:r>
            <w:r w:rsidRPr="004C0546">
              <w:rPr>
                <w:rFonts w:cstheme="minorHAnsi"/>
              </w:rPr>
              <w:t xml:space="preserve">H16329 </w:t>
            </w:r>
            <w:r>
              <w:rPr>
                <w:rFonts w:cstheme="minorHAnsi"/>
              </w:rPr>
              <w:t xml:space="preserve">is listed for </w:t>
            </w:r>
            <w:r w:rsidRPr="004C0546">
              <w:rPr>
                <w:rFonts w:eastAsia="Times New Roman" w:cstheme="minorHAnsi"/>
                <w:bCs/>
                <w:color w:val="000000"/>
                <w:lang w:val="en"/>
              </w:rPr>
              <w:t>“</w:t>
            </w:r>
            <w:r w:rsidRPr="004C0546">
              <w:rPr>
                <w:rFonts w:cstheme="minorHAnsi"/>
                <w:color w:val="000000"/>
                <w:shd w:val="clear" w:color="auto" w:fill="FFFFFF"/>
              </w:rPr>
              <w:t>Acquired stenosis of external ear canal secondary to inflammation and infection, unspecified ear”</w:t>
            </w:r>
            <w:r>
              <w:rPr>
                <w:rFonts w:cstheme="minorHAnsi"/>
                <w:color w:val="000000"/>
                <w:shd w:val="clear" w:color="auto" w:fill="FFFFFF"/>
              </w:rPr>
              <w:t>, but this code should</w:t>
            </w:r>
            <w:r w:rsidRPr="004C0546">
              <w:rPr>
                <w:rFonts w:eastAsia="Times New Roman" w:cstheme="minorHAnsi"/>
                <w:bCs/>
                <w:color w:val="000000"/>
                <w:lang w:val="en"/>
              </w:rPr>
              <w:t xml:space="preserve"> be </w:t>
            </w:r>
            <w:r w:rsidRPr="004C0546">
              <w:rPr>
                <w:rStyle w:val="identifierdetail1"/>
                <w:rFonts w:asciiTheme="minorHAnsi" w:hAnsiTheme="minorHAnsi" w:cstheme="minorHAnsi"/>
                <w:bCs/>
                <w:color w:val="000000"/>
                <w:kern w:val="36"/>
                <w:sz w:val="22"/>
                <w:szCs w:val="22"/>
                <w:lang w:val="en"/>
              </w:rPr>
              <w:t>H61.329</w:t>
            </w:r>
            <w:r>
              <w:rPr>
                <w:rStyle w:val="identifierdetail1"/>
                <w:rFonts w:asciiTheme="minorHAnsi" w:hAnsiTheme="minorHAnsi" w:cstheme="minorHAnsi"/>
                <w:bCs/>
                <w:color w:val="000000"/>
                <w:kern w:val="36"/>
                <w:sz w:val="22"/>
                <w:szCs w:val="22"/>
                <w:lang w:val="en"/>
              </w:rPr>
              <w:t>/</w:t>
            </w:r>
            <w:r w:rsidRPr="004C0546">
              <w:rPr>
                <w:rStyle w:val="identifierdetail1"/>
                <w:rFonts w:asciiTheme="minorHAnsi" w:hAnsiTheme="minorHAnsi" w:cstheme="minorHAnsi"/>
                <w:bCs/>
                <w:color w:val="000000"/>
                <w:kern w:val="36"/>
                <w:sz w:val="22"/>
                <w:szCs w:val="22"/>
                <w:lang w:val="en"/>
              </w:rPr>
              <w:t xml:space="preserve"> H61329</w:t>
            </w:r>
          </w:p>
        </w:tc>
        <w:tc>
          <w:tcPr>
            <w:tcW w:w="6570" w:type="dxa"/>
          </w:tcPr>
          <w:p w14:paraId="26C9B829" w14:textId="77777777" w:rsidR="004353E3" w:rsidRPr="00387361" w:rsidRDefault="004C0546" w:rsidP="004353E3">
            <w:pPr>
              <w:jc w:val="both"/>
              <w:rPr>
                <w:rFonts w:cstheme="minorHAnsi"/>
                <w:shd w:val="clear" w:color="auto" w:fill="FFFFFF"/>
              </w:rPr>
            </w:pPr>
            <w:r w:rsidRPr="00387361">
              <w:rPr>
                <w:rFonts w:cstheme="minorHAnsi"/>
              </w:rPr>
              <w:lastRenderedPageBreak/>
              <w:t xml:space="preserve">Value Set </w:t>
            </w:r>
            <w:proofErr w:type="spellStart"/>
            <w:r w:rsidRPr="00387361">
              <w:rPr>
                <w:rFonts w:cstheme="minorHAnsi"/>
                <w:shd w:val="clear" w:color="auto" w:fill="FFFFFF"/>
              </w:rPr>
              <w:t>Disease&amp;Diagnosis</w:t>
            </w:r>
            <w:proofErr w:type="spellEnd"/>
            <w:r w:rsidRPr="00387361">
              <w:rPr>
                <w:rFonts w:cstheme="minorHAnsi"/>
                <w:shd w:val="clear" w:color="auto" w:fill="FFFFFF"/>
              </w:rPr>
              <w:t xml:space="preserve"> (ICD-9 CM)&amp;Diagnosis (ICD-10 CM) has</w:t>
            </w:r>
            <w:r w:rsidRPr="00387361">
              <w:rPr>
                <w:rFonts w:cstheme="minorHAnsi"/>
                <w:shd w:val="clear" w:color="auto" w:fill="FFFFFF"/>
              </w:rPr>
              <w:t xml:space="preserve"> been updated: </w:t>
            </w:r>
          </w:p>
          <w:p w14:paraId="6B3C42AF" w14:textId="6C6B641B" w:rsidR="004C0546" w:rsidRPr="00387361" w:rsidRDefault="004C0546" w:rsidP="004C0546">
            <w:pPr>
              <w:ind w:left="345"/>
              <w:jc w:val="both"/>
              <w:rPr>
                <w:rFonts w:cs="Arial"/>
              </w:rPr>
            </w:pPr>
            <w:r w:rsidRPr="00387361">
              <w:rPr>
                <w:rFonts w:cstheme="minorHAnsi"/>
              </w:rPr>
              <w:lastRenderedPageBreak/>
              <w:t xml:space="preserve">the ICD-10-CM code H16.329/H16329 </w:t>
            </w:r>
            <w:r w:rsidRPr="00387361">
              <w:rPr>
                <w:rFonts w:cstheme="minorHAnsi"/>
              </w:rPr>
              <w:t xml:space="preserve">has been changed to </w:t>
            </w:r>
            <w:r w:rsidRPr="00387361">
              <w:rPr>
                <w:rStyle w:val="identifierdetail1"/>
                <w:rFonts w:asciiTheme="minorHAnsi" w:hAnsiTheme="minorHAnsi" w:cstheme="minorHAnsi"/>
                <w:b/>
                <w:bCs/>
                <w:kern w:val="36"/>
                <w:sz w:val="22"/>
                <w:szCs w:val="22"/>
                <w:lang w:val="en"/>
              </w:rPr>
              <w:t>H61.329/H61329</w:t>
            </w:r>
            <w:r w:rsidRPr="00387361">
              <w:rPr>
                <w:rFonts w:cstheme="minorHAnsi"/>
              </w:rPr>
              <w:t xml:space="preserve"> for </w:t>
            </w:r>
            <w:r w:rsidRPr="00387361">
              <w:rPr>
                <w:rFonts w:eastAsia="Times New Roman" w:cstheme="minorHAnsi"/>
                <w:bCs/>
                <w:lang w:val="en"/>
              </w:rPr>
              <w:t>“</w:t>
            </w:r>
            <w:r w:rsidRPr="00387361">
              <w:rPr>
                <w:rFonts w:cstheme="minorHAnsi"/>
                <w:shd w:val="clear" w:color="auto" w:fill="FFFFFF"/>
              </w:rPr>
              <w:t>Acquired stenosis of external ear canal secondary to inflammation and infection, unspecified ear”</w:t>
            </w:r>
          </w:p>
        </w:tc>
      </w:tr>
      <w:bookmarkEnd w:id="3"/>
    </w:tbl>
    <w:p w14:paraId="3930DD92" w14:textId="77777777" w:rsidR="00EA1B4A" w:rsidRDefault="00EA1B4A" w:rsidP="007A49DD">
      <w:pPr>
        <w:spacing w:after="120" w:line="240" w:lineRule="auto"/>
      </w:pPr>
    </w:p>
    <w:p w14:paraId="6A2B5F6A" w14:textId="1DE86E77" w:rsidR="007A49DD" w:rsidRPr="00553C1F" w:rsidRDefault="007A49DD" w:rsidP="00553C1F">
      <w:pPr>
        <w:spacing w:after="120" w:line="240" w:lineRule="auto"/>
        <w:jc w:val="center"/>
        <w:rPr>
          <w:b/>
        </w:rPr>
      </w:pPr>
      <w:r w:rsidRPr="00553C1F">
        <w:rPr>
          <w:b/>
        </w:rPr>
        <w:t>Documentation</w:t>
      </w:r>
    </w:p>
    <w:tbl>
      <w:tblPr>
        <w:tblStyle w:val="TableGrid"/>
        <w:tblW w:w="0" w:type="auto"/>
        <w:tblInd w:w="-5" w:type="dxa"/>
        <w:tblLook w:val="04A0" w:firstRow="1" w:lastRow="0" w:firstColumn="1" w:lastColumn="0" w:noHBand="0" w:noVBand="1"/>
      </w:tblPr>
      <w:tblGrid>
        <w:gridCol w:w="5850"/>
        <w:gridCol w:w="6750"/>
      </w:tblGrid>
      <w:tr w:rsidR="007A49DD" w14:paraId="78715BB5" w14:textId="77777777" w:rsidTr="00387361">
        <w:trPr>
          <w:cantSplit/>
          <w:tblHeader/>
        </w:trPr>
        <w:tc>
          <w:tcPr>
            <w:tcW w:w="5850" w:type="dxa"/>
            <w:tcBorders>
              <w:bottom w:val="single" w:sz="4" w:space="0" w:color="auto"/>
            </w:tcBorders>
          </w:tcPr>
          <w:p w14:paraId="1CF867D0" w14:textId="77777777" w:rsidR="007A49DD" w:rsidRPr="00412050" w:rsidRDefault="007A49DD" w:rsidP="005F0223">
            <w:pPr>
              <w:rPr>
                <w:b/>
              </w:rPr>
            </w:pPr>
            <w:r w:rsidRPr="00412050">
              <w:rPr>
                <w:b/>
              </w:rPr>
              <w:t>Issue</w:t>
            </w:r>
          </w:p>
        </w:tc>
        <w:tc>
          <w:tcPr>
            <w:tcW w:w="6750" w:type="dxa"/>
            <w:tcBorders>
              <w:bottom w:val="single" w:sz="4" w:space="0" w:color="auto"/>
            </w:tcBorders>
          </w:tcPr>
          <w:p w14:paraId="00B3452C" w14:textId="1657CBA8" w:rsidR="007A49DD" w:rsidRPr="00412050" w:rsidRDefault="007A49DD" w:rsidP="005F0223">
            <w:pPr>
              <w:rPr>
                <w:b/>
              </w:rPr>
            </w:pPr>
            <w:r w:rsidRPr="00412050">
              <w:rPr>
                <w:b/>
              </w:rPr>
              <w:t>Resolution</w:t>
            </w:r>
          </w:p>
        </w:tc>
      </w:tr>
      <w:tr w:rsidR="005A38F0" w:rsidRPr="005A38F0" w14:paraId="57676DCE" w14:textId="77777777" w:rsidTr="00387361">
        <w:trPr>
          <w:cantSplit/>
        </w:trPr>
        <w:tc>
          <w:tcPr>
            <w:tcW w:w="5850" w:type="dxa"/>
            <w:tcBorders>
              <w:bottom w:val="single" w:sz="4" w:space="0" w:color="auto"/>
            </w:tcBorders>
            <w:shd w:val="clear" w:color="auto" w:fill="auto"/>
          </w:tcPr>
          <w:p w14:paraId="7C90674D" w14:textId="561B2FE1" w:rsidR="005A38F0" w:rsidRPr="00586DFE" w:rsidRDefault="00B85582" w:rsidP="00B85582">
            <w:r w:rsidRPr="00B85582">
              <w:t>No Known Issues Document is available on the Documentation tab; known issues need to be explained.</w:t>
            </w:r>
          </w:p>
        </w:tc>
        <w:tc>
          <w:tcPr>
            <w:tcW w:w="6750" w:type="dxa"/>
            <w:tcBorders>
              <w:bottom w:val="single" w:sz="4" w:space="0" w:color="auto"/>
            </w:tcBorders>
          </w:tcPr>
          <w:p w14:paraId="4AD7E48A" w14:textId="193341B6" w:rsidR="005A38F0" w:rsidRPr="00936D61" w:rsidRDefault="00B85582" w:rsidP="00B85582">
            <w:pPr>
              <w:ind w:left="-90"/>
              <w:rPr>
                <w:rFonts w:cs="Arial"/>
              </w:rPr>
            </w:pPr>
            <w:r w:rsidRPr="00936D61">
              <w:t>A Known Issues Document, with two known issues and their current recommended solutions, has been added to the Documentation tab</w:t>
            </w:r>
          </w:p>
        </w:tc>
      </w:tr>
    </w:tbl>
    <w:p w14:paraId="45E0F3DE" w14:textId="770D0AC4" w:rsidR="00934E5F" w:rsidRDefault="00934E5F" w:rsidP="00553C1F">
      <w:pPr>
        <w:jc w:val="center"/>
        <w:rPr>
          <w:b/>
        </w:rPr>
      </w:pPr>
    </w:p>
    <w:p w14:paraId="53FE5375" w14:textId="0BBEDD7C" w:rsidR="00987C70" w:rsidRPr="00553C1F" w:rsidRDefault="00987C70" w:rsidP="00553C1F">
      <w:pPr>
        <w:jc w:val="center"/>
        <w:rPr>
          <w:b/>
        </w:rPr>
      </w:pPr>
      <w:r w:rsidRPr="00553C1F">
        <w:rPr>
          <w:b/>
        </w:rPr>
        <w:t>User Interface</w:t>
      </w:r>
    </w:p>
    <w:tbl>
      <w:tblPr>
        <w:tblStyle w:val="TableGrid"/>
        <w:tblW w:w="12955" w:type="dxa"/>
        <w:tblLook w:val="04A0" w:firstRow="1" w:lastRow="0" w:firstColumn="1" w:lastColumn="0" w:noHBand="0" w:noVBand="1"/>
      </w:tblPr>
      <w:tblGrid>
        <w:gridCol w:w="4491"/>
        <w:gridCol w:w="8464"/>
      </w:tblGrid>
      <w:tr w:rsidR="00987C70" w14:paraId="1F46722B" w14:textId="77777777" w:rsidTr="00145C34">
        <w:trPr>
          <w:tblHeader/>
        </w:trPr>
        <w:tc>
          <w:tcPr>
            <w:tcW w:w="4491" w:type="dxa"/>
          </w:tcPr>
          <w:p w14:paraId="5ED49FD2" w14:textId="77777777" w:rsidR="00987C70" w:rsidRPr="00412050" w:rsidRDefault="00987C70" w:rsidP="005F0223">
            <w:pPr>
              <w:rPr>
                <w:b/>
              </w:rPr>
            </w:pPr>
            <w:r w:rsidRPr="00412050">
              <w:rPr>
                <w:b/>
              </w:rPr>
              <w:t>Issue</w:t>
            </w:r>
          </w:p>
        </w:tc>
        <w:tc>
          <w:tcPr>
            <w:tcW w:w="8464" w:type="dxa"/>
          </w:tcPr>
          <w:p w14:paraId="1E041FD8" w14:textId="3085F163" w:rsidR="00987C70" w:rsidRPr="00412050" w:rsidRDefault="00987C70" w:rsidP="005F0223">
            <w:pPr>
              <w:rPr>
                <w:b/>
              </w:rPr>
            </w:pPr>
            <w:r w:rsidRPr="00412050">
              <w:rPr>
                <w:b/>
              </w:rPr>
              <w:t>Resolution</w:t>
            </w:r>
          </w:p>
        </w:tc>
      </w:tr>
      <w:tr w:rsidR="00F2395B" w14:paraId="46A2237B" w14:textId="77777777" w:rsidTr="00145C34">
        <w:tc>
          <w:tcPr>
            <w:tcW w:w="4491" w:type="dxa"/>
          </w:tcPr>
          <w:p w14:paraId="6C96A725" w14:textId="7F2AE519" w:rsidR="008420B2" w:rsidRPr="00575173" w:rsidRDefault="007710B5" w:rsidP="00F2395B">
            <w:r>
              <w:t>None</w:t>
            </w:r>
          </w:p>
        </w:tc>
        <w:tc>
          <w:tcPr>
            <w:tcW w:w="8464" w:type="dxa"/>
          </w:tcPr>
          <w:p w14:paraId="6A973A3D" w14:textId="374D42EE" w:rsidR="008420B2" w:rsidRPr="00575173" w:rsidRDefault="008420B2" w:rsidP="00642A60"/>
        </w:tc>
      </w:tr>
    </w:tbl>
    <w:p w14:paraId="5538000C" w14:textId="2F33FB21" w:rsidR="007D7C04" w:rsidRDefault="007D7C04" w:rsidP="001E20CE">
      <w:pPr>
        <w:spacing w:after="120"/>
      </w:pPr>
    </w:p>
    <w:p w14:paraId="6066A872" w14:textId="1F025030" w:rsidR="00C758DB" w:rsidRPr="00553C1F" w:rsidRDefault="00C758DB" w:rsidP="00553C1F">
      <w:pPr>
        <w:jc w:val="center"/>
        <w:rPr>
          <w:b/>
        </w:rPr>
      </w:pPr>
      <w:r w:rsidRPr="00553C1F">
        <w:rPr>
          <w:b/>
        </w:rPr>
        <w:t>Core</w:t>
      </w:r>
      <w:r w:rsidR="0048361B" w:rsidRPr="00553C1F">
        <w:rPr>
          <w:b/>
        </w:rPr>
        <w:t xml:space="preserve"> Functionality</w:t>
      </w:r>
    </w:p>
    <w:tbl>
      <w:tblPr>
        <w:tblStyle w:val="TableGrid"/>
        <w:tblW w:w="0" w:type="auto"/>
        <w:tblLook w:val="04A0" w:firstRow="1" w:lastRow="0" w:firstColumn="1" w:lastColumn="0" w:noHBand="0" w:noVBand="1"/>
      </w:tblPr>
      <w:tblGrid>
        <w:gridCol w:w="6193"/>
        <w:gridCol w:w="6757"/>
      </w:tblGrid>
      <w:tr w:rsidR="00C75A0C" w14:paraId="2D00B8AE" w14:textId="77777777" w:rsidTr="00255AA6">
        <w:trPr>
          <w:tblHeader/>
        </w:trPr>
        <w:tc>
          <w:tcPr>
            <w:tcW w:w="6193" w:type="dxa"/>
          </w:tcPr>
          <w:p w14:paraId="5D590051" w14:textId="5CBE9915" w:rsidR="00C758DB" w:rsidRPr="00412050" w:rsidRDefault="00C758DB" w:rsidP="005F0223">
            <w:pPr>
              <w:rPr>
                <w:b/>
              </w:rPr>
            </w:pPr>
            <w:r w:rsidRPr="00412050">
              <w:rPr>
                <w:b/>
              </w:rPr>
              <w:t>Issue</w:t>
            </w:r>
          </w:p>
        </w:tc>
        <w:tc>
          <w:tcPr>
            <w:tcW w:w="6757" w:type="dxa"/>
          </w:tcPr>
          <w:p w14:paraId="3A6E1AA3" w14:textId="77777777" w:rsidR="00C758DB" w:rsidRPr="00412050" w:rsidRDefault="00C758DB" w:rsidP="005F0223">
            <w:pPr>
              <w:rPr>
                <w:b/>
              </w:rPr>
            </w:pPr>
            <w:r w:rsidRPr="00412050">
              <w:rPr>
                <w:b/>
              </w:rPr>
              <w:t>Resolution</w:t>
            </w:r>
          </w:p>
        </w:tc>
      </w:tr>
      <w:tr w:rsidR="00C75A0C" w14:paraId="65D037DC" w14:textId="77777777" w:rsidTr="00DE1FE2">
        <w:tc>
          <w:tcPr>
            <w:tcW w:w="6193" w:type="dxa"/>
          </w:tcPr>
          <w:p w14:paraId="0FB9C068" w14:textId="65C79451" w:rsidR="00C758DB" w:rsidRPr="00C75A0C" w:rsidRDefault="00C758DB" w:rsidP="005F0223">
            <w:pPr>
              <w:rPr>
                <w:i/>
                <w:color w:val="FF0000"/>
              </w:rPr>
            </w:pPr>
          </w:p>
        </w:tc>
        <w:tc>
          <w:tcPr>
            <w:tcW w:w="6757" w:type="dxa"/>
          </w:tcPr>
          <w:p w14:paraId="64171D69" w14:textId="311C16AF" w:rsidR="00C758DB" w:rsidRPr="00C75A0C" w:rsidRDefault="00C758DB" w:rsidP="005F0223">
            <w:pPr>
              <w:rPr>
                <w:i/>
                <w:color w:val="FF0000"/>
              </w:rPr>
            </w:pPr>
          </w:p>
        </w:tc>
      </w:tr>
    </w:tbl>
    <w:p w14:paraId="7FFBD047" w14:textId="7AA3EFFB" w:rsidR="00C758DB" w:rsidRDefault="00C758DB" w:rsidP="00420C09"/>
    <w:tbl>
      <w:tblPr>
        <w:tblStyle w:val="TableGrid"/>
        <w:tblW w:w="12955" w:type="dxa"/>
        <w:tblLook w:val="04A0" w:firstRow="1" w:lastRow="0" w:firstColumn="1" w:lastColumn="0" w:noHBand="0" w:noVBand="1"/>
      </w:tblPr>
      <w:tblGrid>
        <w:gridCol w:w="12955"/>
      </w:tblGrid>
      <w:tr w:rsidR="00242AB4" w14:paraId="0C1EB9EB" w14:textId="77777777" w:rsidTr="00145C34">
        <w:tc>
          <w:tcPr>
            <w:tcW w:w="12955" w:type="dxa"/>
          </w:tcPr>
          <w:p w14:paraId="7A72406E" w14:textId="5690AB8A" w:rsidR="00242AB4" w:rsidRPr="0037561B" w:rsidRDefault="00242AB4" w:rsidP="005F0223">
            <w:pPr>
              <w:rPr>
                <w:b/>
              </w:rPr>
            </w:pPr>
            <w:r w:rsidRPr="0037561B">
              <w:rPr>
                <w:b/>
              </w:rPr>
              <w:t>Improvements/Features</w:t>
            </w:r>
          </w:p>
        </w:tc>
      </w:tr>
      <w:tr w:rsidR="003009A2" w14:paraId="53F9C300" w14:textId="77777777" w:rsidTr="00145C34">
        <w:tc>
          <w:tcPr>
            <w:tcW w:w="12955" w:type="dxa"/>
          </w:tcPr>
          <w:p w14:paraId="11CF2CE3" w14:textId="33341687" w:rsidR="003009A2" w:rsidRPr="0037561B" w:rsidRDefault="007710B5" w:rsidP="00760CDB">
            <w:r w:rsidRPr="0037561B">
              <w:t>None</w:t>
            </w:r>
          </w:p>
        </w:tc>
      </w:tr>
    </w:tbl>
    <w:p w14:paraId="218C9D42" w14:textId="1336B132" w:rsidR="00EA23F0" w:rsidRDefault="00D00D09" w:rsidP="00D00D09">
      <w:pPr>
        <w:tabs>
          <w:tab w:val="left" w:pos="5355"/>
        </w:tabs>
      </w:pPr>
      <w:r>
        <w:tab/>
      </w:r>
    </w:p>
    <w:p w14:paraId="34387F8A" w14:textId="7681A9B2" w:rsidR="00D00D09" w:rsidRDefault="00D00D09" w:rsidP="00D00D09">
      <w:pPr>
        <w:tabs>
          <w:tab w:val="left" w:pos="5355"/>
        </w:tabs>
      </w:pPr>
    </w:p>
    <w:p w14:paraId="67580653" w14:textId="36F79750" w:rsidR="00D00D09" w:rsidRDefault="00D00D09" w:rsidP="00D00D09">
      <w:pPr>
        <w:tabs>
          <w:tab w:val="left" w:pos="5355"/>
        </w:tabs>
      </w:pPr>
    </w:p>
    <w:p w14:paraId="5374A6E3" w14:textId="77777777" w:rsidR="00D00D09" w:rsidRDefault="00D00D09" w:rsidP="00D00D09">
      <w:pPr>
        <w:tabs>
          <w:tab w:val="left" w:pos="5355"/>
        </w:tabs>
      </w:pPr>
      <w:bookmarkStart w:id="4" w:name="_GoBack"/>
      <w:bookmarkEnd w:id="4"/>
    </w:p>
    <w:p w14:paraId="29D3E61F" w14:textId="19213B5B" w:rsidR="004C15EF" w:rsidRPr="00553C1F" w:rsidRDefault="004C15EF" w:rsidP="00553C1F">
      <w:pPr>
        <w:jc w:val="center"/>
        <w:rPr>
          <w:b/>
        </w:rPr>
      </w:pPr>
      <w:r w:rsidRPr="00553C1F">
        <w:rPr>
          <w:b/>
        </w:rPr>
        <w:lastRenderedPageBreak/>
        <w:t>Issues for a Future Release</w:t>
      </w:r>
    </w:p>
    <w:tbl>
      <w:tblPr>
        <w:tblStyle w:val="TableGrid"/>
        <w:tblW w:w="12955" w:type="dxa"/>
        <w:tblLook w:val="04A0" w:firstRow="1" w:lastRow="0" w:firstColumn="1" w:lastColumn="0" w:noHBand="0" w:noVBand="1"/>
      </w:tblPr>
      <w:tblGrid>
        <w:gridCol w:w="3325"/>
        <w:gridCol w:w="9630"/>
      </w:tblGrid>
      <w:tr w:rsidR="00EA1B4A" w14:paraId="252AFDCE" w14:textId="77777777" w:rsidTr="00F17578">
        <w:trPr>
          <w:cantSplit/>
        </w:trPr>
        <w:tc>
          <w:tcPr>
            <w:tcW w:w="3325" w:type="dxa"/>
          </w:tcPr>
          <w:p w14:paraId="6F3DB25D" w14:textId="77777777" w:rsidR="00EA1B4A" w:rsidRPr="00412050" w:rsidRDefault="00EA1B4A" w:rsidP="00F17578">
            <w:pPr>
              <w:rPr>
                <w:b/>
              </w:rPr>
            </w:pPr>
            <w:r>
              <w:rPr>
                <w:b/>
              </w:rPr>
              <w:t>Test Case/if Applicable</w:t>
            </w:r>
          </w:p>
        </w:tc>
        <w:tc>
          <w:tcPr>
            <w:tcW w:w="9630" w:type="dxa"/>
          </w:tcPr>
          <w:p w14:paraId="2CF09904" w14:textId="77777777" w:rsidR="00EA1B4A" w:rsidRPr="00412050" w:rsidRDefault="00EA1B4A" w:rsidP="00F17578">
            <w:pPr>
              <w:rPr>
                <w:b/>
              </w:rPr>
            </w:pPr>
            <w:r>
              <w:rPr>
                <w:b/>
              </w:rPr>
              <w:t>Issue</w:t>
            </w:r>
          </w:p>
        </w:tc>
      </w:tr>
      <w:tr w:rsidR="00EA1B4A" w14:paraId="5FB95923" w14:textId="77777777" w:rsidTr="00F17578">
        <w:trPr>
          <w:cantSplit/>
        </w:trPr>
        <w:tc>
          <w:tcPr>
            <w:tcW w:w="3325" w:type="dxa"/>
          </w:tcPr>
          <w:p w14:paraId="7D578905" w14:textId="77777777" w:rsidR="00EA1B4A" w:rsidRPr="00276865" w:rsidRDefault="00EA1B4A" w:rsidP="00F17578">
            <w:pPr>
              <w:rPr>
                <w:rStyle w:val="indented"/>
              </w:rPr>
            </w:pPr>
            <w:r w:rsidRPr="00276865">
              <w:rPr>
                <w:rStyle w:val="indented"/>
              </w:rPr>
              <w:t>SS-UC-1_UC_Visit_Influenza_Child</w:t>
            </w:r>
          </w:p>
          <w:p w14:paraId="22308612" w14:textId="77777777" w:rsidR="00EA1B4A" w:rsidRDefault="00EA1B4A" w:rsidP="00F17578"/>
        </w:tc>
        <w:tc>
          <w:tcPr>
            <w:tcW w:w="9630" w:type="dxa"/>
          </w:tcPr>
          <w:p w14:paraId="3A9420C1" w14:textId="77777777" w:rsidR="00EA1B4A" w:rsidRPr="003915B4" w:rsidRDefault="00EA1B4A" w:rsidP="00F17578">
            <w:pPr>
              <w:autoSpaceDN w:val="0"/>
              <w:jc w:val="both"/>
              <w:rPr>
                <w:rFonts w:cs="Arial"/>
              </w:rPr>
            </w:pPr>
            <w:r>
              <w:rPr>
                <w:rFonts w:cs="Arial"/>
              </w:rPr>
              <w:t>ICD-9 CM</w:t>
            </w:r>
            <w:r w:rsidRPr="00D8629D">
              <w:rPr>
                <w:rFonts w:cs="Arial"/>
              </w:rPr>
              <w:t xml:space="preserve"> code</w:t>
            </w:r>
            <w:r>
              <w:rPr>
                <w:rFonts w:cs="Arial"/>
              </w:rPr>
              <w:t xml:space="preserve"> data in the example messages</w:t>
            </w:r>
            <w:r w:rsidRPr="00D8629D">
              <w:rPr>
                <w:rFonts w:cs="Arial"/>
              </w:rPr>
              <w:t xml:space="preserve"> will be rep</w:t>
            </w:r>
            <w:r>
              <w:rPr>
                <w:rFonts w:cs="Arial"/>
              </w:rPr>
              <w:t xml:space="preserve">laced with equivalent ICD-10 CM code data </w:t>
            </w:r>
            <w:r w:rsidRPr="00D8629D">
              <w:rPr>
                <w:rFonts w:cs="Arial"/>
              </w:rPr>
              <w:t xml:space="preserve">(provided by </w:t>
            </w:r>
            <w:r>
              <w:rPr>
                <w:rFonts w:cs="Arial"/>
              </w:rPr>
              <w:t xml:space="preserve">the CDC subject matter experts) and these ICD-10 CM code data will be validated automatically by the Tool; equivalent </w:t>
            </w:r>
            <w:r w:rsidRPr="00D8629D">
              <w:rPr>
                <w:rFonts w:cs="Arial"/>
              </w:rPr>
              <w:t>SNOMED CT code</w:t>
            </w:r>
            <w:r>
              <w:rPr>
                <w:rFonts w:cs="Arial"/>
              </w:rPr>
              <w:t xml:space="preserve"> data </w:t>
            </w:r>
            <w:r w:rsidRPr="00D8629D">
              <w:rPr>
                <w:rFonts w:cs="Arial"/>
              </w:rPr>
              <w:t xml:space="preserve">(provided by </w:t>
            </w:r>
            <w:r>
              <w:rPr>
                <w:rFonts w:cs="Arial"/>
              </w:rPr>
              <w:t>the CDC subject matter experts) also will be validated automatically by the Tool and will be listed in the Notes for Testers</w:t>
            </w:r>
          </w:p>
        </w:tc>
      </w:tr>
      <w:tr w:rsidR="00EA1B4A" w14:paraId="09C5DACE" w14:textId="77777777" w:rsidTr="00F17578">
        <w:trPr>
          <w:cantSplit/>
        </w:trPr>
        <w:tc>
          <w:tcPr>
            <w:tcW w:w="3325" w:type="dxa"/>
          </w:tcPr>
          <w:p w14:paraId="649D896D" w14:textId="77777777" w:rsidR="00EA1B4A" w:rsidRDefault="00EA1B4A" w:rsidP="00F17578">
            <w:pPr>
              <w:rPr>
                <w:rStyle w:val="indented"/>
              </w:rPr>
            </w:pPr>
            <w:r>
              <w:rPr>
                <w:rStyle w:val="indented"/>
              </w:rPr>
              <w:t>Test Case: SS-ED-2_ED_Visit_Patient_Dies</w:t>
            </w:r>
          </w:p>
          <w:p w14:paraId="0AAE0227" w14:textId="77777777" w:rsidR="00EA1B4A" w:rsidRPr="00276865" w:rsidRDefault="00EA1B4A" w:rsidP="00F17578">
            <w:pPr>
              <w:rPr>
                <w:rStyle w:val="indented"/>
              </w:rPr>
            </w:pPr>
            <w:r>
              <w:rPr>
                <w:rStyle w:val="indented"/>
              </w:rPr>
              <w:t>Test Step: SS-ED-2.3_Discharge_A03</w:t>
            </w:r>
          </w:p>
        </w:tc>
        <w:tc>
          <w:tcPr>
            <w:tcW w:w="9630" w:type="dxa"/>
          </w:tcPr>
          <w:p w14:paraId="509546B1" w14:textId="77777777" w:rsidR="00EA1B4A" w:rsidRPr="00A0762E" w:rsidRDefault="00EA1B4A" w:rsidP="00F17578">
            <w:r>
              <w:rPr>
                <w:rFonts w:cs="Arial"/>
              </w:rPr>
              <w:t xml:space="preserve">Code </w:t>
            </w:r>
            <w:r w:rsidRPr="00A0762E">
              <w:rPr>
                <w:rFonts w:cs="Arial"/>
              </w:rPr>
              <w:t>S060X8A</w:t>
            </w:r>
            <w:r>
              <w:rPr>
                <w:rFonts w:cs="Arial"/>
              </w:rPr>
              <w:t xml:space="preserve">, which is used in the test data, is no longer included in the ICD-10 CM coding system; this code will be replaced with an equivalent active ICD-10 CM code in a future release of the NIST Tool. Meanwhile, HIT developers should </w:t>
            </w:r>
            <w:r>
              <w:t>use an ICD-10 CM code for an equivalent diagnosis in their test message, and the Testers will ignore the error notification and visually inspect the message during certification testing to verify that the code is valid.</w:t>
            </w:r>
          </w:p>
        </w:tc>
      </w:tr>
    </w:tbl>
    <w:p w14:paraId="24FE863B" w14:textId="58F93877" w:rsidR="001320BE" w:rsidRDefault="001320BE"/>
    <w:sectPr w:rsidR="001320BE" w:rsidSect="003D0454">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17A06" w14:textId="77777777" w:rsidR="00566522" w:rsidRDefault="00566522" w:rsidP="00281D35">
      <w:pPr>
        <w:spacing w:after="0" w:line="240" w:lineRule="auto"/>
      </w:pPr>
      <w:r>
        <w:separator/>
      </w:r>
    </w:p>
  </w:endnote>
  <w:endnote w:type="continuationSeparator" w:id="0">
    <w:p w14:paraId="0E9BF307" w14:textId="77777777" w:rsidR="00566522" w:rsidRDefault="00566522" w:rsidP="00281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6276559"/>
      <w:docPartObj>
        <w:docPartGallery w:val="Page Numbers (Bottom of Page)"/>
        <w:docPartUnique/>
      </w:docPartObj>
    </w:sdtPr>
    <w:sdtEndPr>
      <w:rPr>
        <w:noProof/>
      </w:rPr>
    </w:sdtEndPr>
    <w:sdtContent>
      <w:p w14:paraId="4EC98952" w14:textId="699658A9" w:rsidR="005F0223" w:rsidRDefault="005F0223">
        <w:pPr>
          <w:pStyle w:val="Footer"/>
          <w:jc w:val="right"/>
        </w:pPr>
        <w:r>
          <w:fldChar w:fldCharType="begin"/>
        </w:r>
        <w:r>
          <w:instrText xml:space="preserve"> PAGE   \* MERGEFORMAT </w:instrText>
        </w:r>
        <w:r>
          <w:fldChar w:fldCharType="separate"/>
        </w:r>
        <w:r w:rsidR="0037561B">
          <w:rPr>
            <w:noProof/>
          </w:rPr>
          <w:t>1</w:t>
        </w:r>
        <w:r>
          <w:rPr>
            <w:noProof/>
          </w:rPr>
          <w:fldChar w:fldCharType="end"/>
        </w:r>
      </w:p>
    </w:sdtContent>
  </w:sdt>
  <w:p w14:paraId="24A5E93B" w14:textId="77777777" w:rsidR="005F0223" w:rsidRDefault="005F0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512DD" w14:textId="77777777" w:rsidR="00566522" w:rsidRDefault="00566522" w:rsidP="00281D35">
      <w:pPr>
        <w:spacing w:after="0" w:line="240" w:lineRule="auto"/>
      </w:pPr>
      <w:r>
        <w:separator/>
      </w:r>
    </w:p>
  </w:footnote>
  <w:footnote w:type="continuationSeparator" w:id="0">
    <w:p w14:paraId="6A17337D" w14:textId="77777777" w:rsidR="00566522" w:rsidRDefault="00566522" w:rsidP="00281D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12473"/>
    <w:multiLevelType w:val="multilevel"/>
    <w:tmpl w:val="3778715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13380551"/>
    <w:multiLevelType w:val="hybridMultilevel"/>
    <w:tmpl w:val="30C68BB4"/>
    <w:lvl w:ilvl="0" w:tplc="04090001">
      <w:start w:val="1"/>
      <w:numFmt w:val="bullet"/>
      <w:lvlText w:val=""/>
      <w:lvlJc w:val="left"/>
      <w:pPr>
        <w:ind w:left="989" w:hanging="360"/>
      </w:pPr>
      <w:rPr>
        <w:rFonts w:ascii="Symbol" w:hAnsi="Symbol" w:hint="default"/>
      </w:rPr>
    </w:lvl>
    <w:lvl w:ilvl="1" w:tplc="04090003" w:tentative="1">
      <w:start w:val="1"/>
      <w:numFmt w:val="bullet"/>
      <w:lvlText w:val="o"/>
      <w:lvlJc w:val="left"/>
      <w:pPr>
        <w:ind w:left="1709" w:hanging="360"/>
      </w:pPr>
      <w:rPr>
        <w:rFonts w:ascii="Courier New" w:hAnsi="Courier New" w:cs="Courier New" w:hint="default"/>
      </w:rPr>
    </w:lvl>
    <w:lvl w:ilvl="2" w:tplc="04090005" w:tentative="1">
      <w:start w:val="1"/>
      <w:numFmt w:val="bullet"/>
      <w:lvlText w:val=""/>
      <w:lvlJc w:val="left"/>
      <w:pPr>
        <w:ind w:left="2429" w:hanging="360"/>
      </w:pPr>
      <w:rPr>
        <w:rFonts w:ascii="Wingdings" w:hAnsi="Wingdings" w:hint="default"/>
      </w:rPr>
    </w:lvl>
    <w:lvl w:ilvl="3" w:tplc="04090001" w:tentative="1">
      <w:start w:val="1"/>
      <w:numFmt w:val="bullet"/>
      <w:lvlText w:val=""/>
      <w:lvlJc w:val="left"/>
      <w:pPr>
        <w:ind w:left="3149" w:hanging="360"/>
      </w:pPr>
      <w:rPr>
        <w:rFonts w:ascii="Symbol" w:hAnsi="Symbol" w:hint="default"/>
      </w:rPr>
    </w:lvl>
    <w:lvl w:ilvl="4" w:tplc="04090003" w:tentative="1">
      <w:start w:val="1"/>
      <w:numFmt w:val="bullet"/>
      <w:lvlText w:val="o"/>
      <w:lvlJc w:val="left"/>
      <w:pPr>
        <w:ind w:left="3869" w:hanging="360"/>
      </w:pPr>
      <w:rPr>
        <w:rFonts w:ascii="Courier New" w:hAnsi="Courier New" w:cs="Courier New" w:hint="default"/>
      </w:rPr>
    </w:lvl>
    <w:lvl w:ilvl="5" w:tplc="04090005" w:tentative="1">
      <w:start w:val="1"/>
      <w:numFmt w:val="bullet"/>
      <w:lvlText w:val=""/>
      <w:lvlJc w:val="left"/>
      <w:pPr>
        <w:ind w:left="4589" w:hanging="360"/>
      </w:pPr>
      <w:rPr>
        <w:rFonts w:ascii="Wingdings" w:hAnsi="Wingdings" w:hint="default"/>
      </w:rPr>
    </w:lvl>
    <w:lvl w:ilvl="6" w:tplc="04090001" w:tentative="1">
      <w:start w:val="1"/>
      <w:numFmt w:val="bullet"/>
      <w:lvlText w:val=""/>
      <w:lvlJc w:val="left"/>
      <w:pPr>
        <w:ind w:left="5309" w:hanging="360"/>
      </w:pPr>
      <w:rPr>
        <w:rFonts w:ascii="Symbol" w:hAnsi="Symbol" w:hint="default"/>
      </w:rPr>
    </w:lvl>
    <w:lvl w:ilvl="7" w:tplc="04090003" w:tentative="1">
      <w:start w:val="1"/>
      <w:numFmt w:val="bullet"/>
      <w:lvlText w:val="o"/>
      <w:lvlJc w:val="left"/>
      <w:pPr>
        <w:ind w:left="6029" w:hanging="360"/>
      </w:pPr>
      <w:rPr>
        <w:rFonts w:ascii="Courier New" w:hAnsi="Courier New" w:cs="Courier New" w:hint="default"/>
      </w:rPr>
    </w:lvl>
    <w:lvl w:ilvl="8" w:tplc="04090005" w:tentative="1">
      <w:start w:val="1"/>
      <w:numFmt w:val="bullet"/>
      <w:lvlText w:val=""/>
      <w:lvlJc w:val="left"/>
      <w:pPr>
        <w:ind w:left="6749" w:hanging="360"/>
      </w:pPr>
      <w:rPr>
        <w:rFonts w:ascii="Wingdings" w:hAnsi="Wingdings" w:hint="default"/>
      </w:rPr>
    </w:lvl>
  </w:abstractNum>
  <w:abstractNum w:abstractNumId="2" w15:restartNumberingAfterBreak="0">
    <w:nsid w:val="2CF61D7C"/>
    <w:multiLevelType w:val="hybridMultilevel"/>
    <w:tmpl w:val="9DCE6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3D1233C"/>
    <w:multiLevelType w:val="hybridMultilevel"/>
    <w:tmpl w:val="15AA5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18725B0"/>
    <w:multiLevelType w:val="hybridMultilevel"/>
    <w:tmpl w:val="34449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F95280"/>
    <w:multiLevelType w:val="hybridMultilevel"/>
    <w:tmpl w:val="9E8A7C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84000F4"/>
    <w:multiLevelType w:val="hybridMultilevel"/>
    <w:tmpl w:val="60E80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2B1DD6"/>
    <w:multiLevelType w:val="hybridMultilevel"/>
    <w:tmpl w:val="B4001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B8073A"/>
    <w:multiLevelType w:val="hybridMultilevel"/>
    <w:tmpl w:val="E404F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B0A6757"/>
    <w:multiLevelType w:val="hybridMultilevel"/>
    <w:tmpl w:val="DD687F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4270ADD"/>
    <w:multiLevelType w:val="multilevel"/>
    <w:tmpl w:val="032869D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64A730A1"/>
    <w:multiLevelType w:val="hybridMultilevel"/>
    <w:tmpl w:val="B52274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BAA1CB3"/>
    <w:multiLevelType w:val="hybridMultilevel"/>
    <w:tmpl w:val="4A40FF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702D45F2"/>
    <w:multiLevelType w:val="hybridMultilevel"/>
    <w:tmpl w:val="34867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CE5E44"/>
    <w:multiLevelType w:val="hybridMultilevel"/>
    <w:tmpl w:val="C0FE40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3E908E7"/>
    <w:multiLevelType w:val="hybridMultilevel"/>
    <w:tmpl w:val="CB96B0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9F919DD"/>
    <w:multiLevelType w:val="hybridMultilevel"/>
    <w:tmpl w:val="EAE601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DF2040C"/>
    <w:multiLevelType w:val="multilevel"/>
    <w:tmpl w:val="DB46ACB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18" w15:restartNumberingAfterBreak="0">
    <w:nsid w:val="7E153F72"/>
    <w:multiLevelType w:val="hybridMultilevel"/>
    <w:tmpl w:val="3D5090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3"/>
  </w:num>
  <w:num w:numId="4">
    <w:abstractNumId w:val="8"/>
  </w:num>
  <w:num w:numId="5">
    <w:abstractNumId w:val="10"/>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9"/>
  </w:num>
  <w:num w:numId="9">
    <w:abstractNumId w:val="12"/>
  </w:num>
  <w:num w:numId="10">
    <w:abstractNumId w:val="5"/>
  </w:num>
  <w:num w:numId="11">
    <w:abstractNumId w:val="15"/>
  </w:num>
  <w:num w:numId="12">
    <w:abstractNumId w:val="1"/>
  </w:num>
  <w:num w:numId="13">
    <w:abstractNumId w:val="18"/>
  </w:num>
  <w:num w:numId="14">
    <w:abstractNumId w:val="11"/>
  </w:num>
  <w:num w:numId="15">
    <w:abstractNumId w:val="17"/>
  </w:num>
  <w:num w:numId="16">
    <w:abstractNumId w:val="0"/>
  </w:num>
  <w:num w:numId="17">
    <w:abstractNumId w:val="13"/>
  </w:num>
  <w:num w:numId="18">
    <w:abstractNumId w:val="4"/>
  </w:num>
  <w:num w:numId="19">
    <w:abstractNumId w:val="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A2657761-F6DD-4725-A581-29C178CB1B1D}"/>
    <w:docVar w:name="dgnword-eventsink" w:val="106374112"/>
  </w:docVars>
  <w:rsids>
    <w:rsidRoot w:val="00E04D57"/>
    <w:rsid w:val="00000110"/>
    <w:rsid w:val="00001365"/>
    <w:rsid w:val="00003E79"/>
    <w:rsid w:val="00004DF6"/>
    <w:rsid w:val="00010023"/>
    <w:rsid w:val="00010D8B"/>
    <w:rsid w:val="000154B6"/>
    <w:rsid w:val="0002204D"/>
    <w:rsid w:val="00025E50"/>
    <w:rsid w:val="00031A53"/>
    <w:rsid w:val="00041F71"/>
    <w:rsid w:val="00051A67"/>
    <w:rsid w:val="00064FC9"/>
    <w:rsid w:val="000756FC"/>
    <w:rsid w:val="000839D8"/>
    <w:rsid w:val="000842F5"/>
    <w:rsid w:val="000857AB"/>
    <w:rsid w:val="00085B48"/>
    <w:rsid w:val="00093161"/>
    <w:rsid w:val="000945B7"/>
    <w:rsid w:val="000A5C8B"/>
    <w:rsid w:val="000A60CA"/>
    <w:rsid w:val="000B2ED9"/>
    <w:rsid w:val="000B4373"/>
    <w:rsid w:val="000B4CE9"/>
    <w:rsid w:val="000B6724"/>
    <w:rsid w:val="000B6D15"/>
    <w:rsid w:val="000B78AD"/>
    <w:rsid w:val="000C7944"/>
    <w:rsid w:val="000E00A9"/>
    <w:rsid w:val="000E1793"/>
    <w:rsid w:val="000E6E7A"/>
    <w:rsid w:val="000F040E"/>
    <w:rsid w:val="001009B7"/>
    <w:rsid w:val="001037DE"/>
    <w:rsid w:val="001075F7"/>
    <w:rsid w:val="00120DE3"/>
    <w:rsid w:val="001256C6"/>
    <w:rsid w:val="00127D5B"/>
    <w:rsid w:val="001320BE"/>
    <w:rsid w:val="00133F79"/>
    <w:rsid w:val="001346D6"/>
    <w:rsid w:val="00136877"/>
    <w:rsid w:val="00145C34"/>
    <w:rsid w:val="00152137"/>
    <w:rsid w:val="0016226B"/>
    <w:rsid w:val="00162701"/>
    <w:rsid w:val="001723F5"/>
    <w:rsid w:val="001769C2"/>
    <w:rsid w:val="001779A4"/>
    <w:rsid w:val="0018227D"/>
    <w:rsid w:val="001833C4"/>
    <w:rsid w:val="00187151"/>
    <w:rsid w:val="00187D26"/>
    <w:rsid w:val="00187E99"/>
    <w:rsid w:val="00190F2C"/>
    <w:rsid w:val="001913A4"/>
    <w:rsid w:val="001953A7"/>
    <w:rsid w:val="001968DC"/>
    <w:rsid w:val="001B2B78"/>
    <w:rsid w:val="001B6252"/>
    <w:rsid w:val="001C6F18"/>
    <w:rsid w:val="001D28D4"/>
    <w:rsid w:val="001D332E"/>
    <w:rsid w:val="001D37EF"/>
    <w:rsid w:val="001D6694"/>
    <w:rsid w:val="001D7BD8"/>
    <w:rsid w:val="001E0B84"/>
    <w:rsid w:val="001E20CE"/>
    <w:rsid w:val="001E5C65"/>
    <w:rsid w:val="0020244A"/>
    <w:rsid w:val="00203724"/>
    <w:rsid w:val="0020662E"/>
    <w:rsid w:val="00207614"/>
    <w:rsid w:val="00213B0C"/>
    <w:rsid w:val="00213DA5"/>
    <w:rsid w:val="00216DF9"/>
    <w:rsid w:val="00222D79"/>
    <w:rsid w:val="002370D8"/>
    <w:rsid w:val="00237FAD"/>
    <w:rsid w:val="002405D6"/>
    <w:rsid w:val="00242AB4"/>
    <w:rsid w:val="00242C21"/>
    <w:rsid w:val="002472FF"/>
    <w:rsid w:val="00247D39"/>
    <w:rsid w:val="002509D3"/>
    <w:rsid w:val="0025447E"/>
    <w:rsid w:val="00255AA6"/>
    <w:rsid w:val="00257125"/>
    <w:rsid w:val="002575E6"/>
    <w:rsid w:val="00265EC9"/>
    <w:rsid w:val="00270575"/>
    <w:rsid w:val="00271DFA"/>
    <w:rsid w:val="002748A8"/>
    <w:rsid w:val="0028157B"/>
    <w:rsid w:val="00281D35"/>
    <w:rsid w:val="00285F63"/>
    <w:rsid w:val="002877BE"/>
    <w:rsid w:val="0029614C"/>
    <w:rsid w:val="002A735E"/>
    <w:rsid w:val="002B3B16"/>
    <w:rsid w:val="002C3CC6"/>
    <w:rsid w:val="002C6D29"/>
    <w:rsid w:val="002E43D5"/>
    <w:rsid w:val="002E64F2"/>
    <w:rsid w:val="002E7509"/>
    <w:rsid w:val="002F3590"/>
    <w:rsid w:val="003009A2"/>
    <w:rsid w:val="00300E11"/>
    <w:rsid w:val="0030636A"/>
    <w:rsid w:val="00314531"/>
    <w:rsid w:val="003151B2"/>
    <w:rsid w:val="00324F45"/>
    <w:rsid w:val="003552F1"/>
    <w:rsid w:val="00371999"/>
    <w:rsid w:val="00375537"/>
    <w:rsid w:val="0037561B"/>
    <w:rsid w:val="003841C0"/>
    <w:rsid w:val="00384C88"/>
    <w:rsid w:val="003855AF"/>
    <w:rsid w:val="00386BB6"/>
    <w:rsid w:val="00387361"/>
    <w:rsid w:val="00391A4C"/>
    <w:rsid w:val="00391DD8"/>
    <w:rsid w:val="003924C6"/>
    <w:rsid w:val="003928F7"/>
    <w:rsid w:val="00395072"/>
    <w:rsid w:val="003B19FB"/>
    <w:rsid w:val="003B2A51"/>
    <w:rsid w:val="003B4129"/>
    <w:rsid w:val="003C4CE9"/>
    <w:rsid w:val="003D0454"/>
    <w:rsid w:val="003E6C86"/>
    <w:rsid w:val="003F4067"/>
    <w:rsid w:val="003F45BA"/>
    <w:rsid w:val="00405422"/>
    <w:rsid w:val="0040557D"/>
    <w:rsid w:val="00412050"/>
    <w:rsid w:val="00420C09"/>
    <w:rsid w:val="00421357"/>
    <w:rsid w:val="00421A48"/>
    <w:rsid w:val="00431040"/>
    <w:rsid w:val="00431A65"/>
    <w:rsid w:val="004353E3"/>
    <w:rsid w:val="00444A15"/>
    <w:rsid w:val="004524B4"/>
    <w:rsid w:val="00457AFF"/>
    <w:rsid w:val="004644E1"/>
    <w:rsid w:val="00482A34"/>
    <w:rsid w:val="0048361B"/>
    <w:rsid w:val="00484FA0"/>
    <w:rsid w:val="00491BCD"/>
    <w:rsid w:val="004966F5"/>
    <w:rsid w:val="004B5B5F"/>
    <w:rsid w:val="004B64E1"/>
    <w:rsid w:val="004B68B9"/>
    <w:rsid w:val="004B6A0D"/>
    <w:rsid w:val="004C0546"/>
    <w:rsid w:val="004C15EF"/>
    <w:rsid w:val="004C16D0"/>
    <w:rsid w:val="004C3A54"/>
    <w:rsid w:val="004D751D"/>
    <w:rsid w:val="004E0260"/>
    <w:rsid w:val="004E0725"/>
    <w:rsid w:val="004E34A5"/>
    <w:rsid w:val="004E7962"/>
    <w:rsid w:val="004F0BDB"/>
    <w:rsid w:val="004F3A9C"/>
    <w:rsid w:val="005064E6"/>
    <w:rsid w:val="00512B9E"/>
    <w:rsid w:val="00512E30"/>
    <w:rsid w:val="00514889"/>
    <w:rsid w:val="005165BB"/>
    <w:rsid w:val="005208BD"/>
    <w:rsid w:val="005209A6"/>
    <w:rsid w:val="00520FFB"/>
    <w:rsid w:val="00530EC4"/>
    <w:rsid w:val="00533A24"/>
    <w:rsid w:val="00540862"/>
    <w:rsid w:val="00541CC3"/>
    <w:rsid w:val="00542A83"/>
    <w:rsid w:val="00544CED"/>
    <w:rsid w:val="00553C1F"/>
    <w:rsid w:val="00561709"/>
    <w:rsid w:val="005628DA"/>
    <w:rsid w:val="00564F33"/>
    <w:rsid w:val="00566522"/>
    <w:rsid w:val="005675EE"/>
    <w:rsid w:val="00572EFA"/>
    <w:rsid w:val="00575173"/>
    <w:rsid w:val="0058197E"/>
    <w:rsid w:val="00586DFE"/>
    <w:rsid w:val="00587FC8"/>
    <w:rsid w:val="00593C27"/>
    <w:rsid w:val="00594AE3"/>
    <w:rsid w:val="00597634"/>
    <w:rsid w:val="005A38F0"/>
    <w:rsid w:val="005A78E2"/>
    <w:rsid w:val="005B2022"/>
    <w:rsid w:val="005B441D"/>
    <w:rsid w:val="005C0966"/>
    <w:rsid w:val="005C61E9"/>
    <w:rsid w:val="005D6C36"/>
    <w:rsid w:val="005D77E0"/>
    <w:rsid w:val="005E0F83"/>
    <w:rsid w:val="005E15FF"/>
    <w:rsid w:val="005E2379"/>
    <w:rsid w:val="005F0223"/>
    <w:rsid w:val="005F3CC6"/>
    <w:rsid w:val="0060438B"/>
    <w:rsid w:val="00604E0F"/>
    <w:rsid w:val="00611C1B"/>
    <w:rsid w:val="00622E26"/>
    <w:rsid w:val="00626339"/>
    <w:rsid w:val="006271FF"/>
    <w:rsid w:val="00636638"/>
    <w:rsid w:val="00636E10"/>
    <w:rsid w:val="00636FF1"/>
    <w:rsid w:val="006422B4"/>
    <w:rsid w:val="00642A60"/>
    <w:rsid w:val="00642EDB"/>
    <w:rsid w:val="00651729"/>
    <w:rsid w:val="0065242B"/>
    <w:rsid w:val="00652A77"/>
    <w:rsid w:val="00654829"/>
    <w:rsid w:val="006620F8"/>
    <w:rsid w:val="00663905"/>
    <w:rsid w:val="0066780D"/>
    <w:rsid w:val="00671B81"/>
    <w:rsid w:val="0067363C"/>
    <w:rsid w:val="0068084B"/>
    <w:rsid w:val="006829E5"/>
    <w:rsid w:val="00685BC6"/>
    <w:rsid w:val="00686FCC"/>
    <w:rsid w:val="006A4F50"/>
    <w:rsid w:val="006C03E2"/>
    <w:rsid w:val="006C1394"/>
    <w:rsid w:val="006C17E7"/>
    <w:rsid w:val="006C586F"/>
    <w:rsid w:val="006D1B8F"/>
    <w:rsid w:val="006D6DD3"/>
    <w:rsid w:val="006E4660"/>
    <w:rsid w:val="006E6AB3"/>
    <w:rsid w:val="006F2F96"/>
    <w:rsid w:val="006F5530"/>
    <w:rsid w:val="00700203"/>
    <w:rsid w:val="00707F0A"/>
    <w:rsid w:val="00711E3D"/>
    <w:rsid w:val="00724FA6"/>
    <w:rsid w:val="00727022"/>
    <w:rsid w:val="00736E84"/>
    <w:rsid w:val="00740849"/>
    <w:rsid w:val="00742C6F"/>
    <w:rsid w:val="00750AA4"/>
    <w:rsid w:val="00755B20"/>
    <w:rsid w:val="00756B24"/>
    <w:rsid w:val="007577A9"/>
    <w:rsid w:val="007578FA"/>
    <w:rsid w:val="00760CDB"/>
    <w:rsid w:val="00761BF3"/>
    <w:rsid w:val="00765D89"/>
    <w:rsid w:val="00766FC0"/>
    <w:rsid w:val="007702ED"/>
    <w:rsid w:val="007710B5"/>
    <w:rsid w:val="0077590A"/>
    <w:rsid w:val="00776184"/>
    <w:rsid w:val="007814CD"/>
    <w:rsid w:val="0078214D"/>
    <w:rsid w:val="0078284E"/>
    <w:rsid w:val="00784BD2"/>
    <w:rsid w:val="0078730D"/>
    <w:rsid w:val="007A49DD"/>
    <w:rsid w:val="007B6134"/>
    <w:rsid w:val="007B7776"/>
    <w:rsid w:val="007C1CBC"/>
    <w:rsid w:val="007C6D78"/>
    <w:rsid w:val="007D2AF1"/>
    <w:rsid w:val="007D3AD6"/>
    <w:rsid w:val="007D7C04"/>
    <w:rsid w:val="007E0EDA"/>
    <w:rsid w:val="007E641B"/>
    <w:rsid w:val="007F13BB"/>
    <w:rsid w:val="007F1B62"/>
    <w:rsid w:val="007F208E"/>
    <w:rsid w:val="007F68D5"/>
    <w:rsid w:val="00802F4E"/>
    <w:rsid w:val="00805868"/>
    <w:rsid w:val="00807E38"/>
    <w:rsid w:val="008114A7"/>
    <w:rsid w:val="00823199"/>
    <w:rsid w:val="00827452"/>
    <w:rsid w:val="00832813"/>
    <w:rsid w:val="00841168"/>
    <w:rsid w:val="008420B2"/>
    <w:rsid w:val="008535C1"/>
    <w:rsid w:val="00854724"/>
    <w:rsid w:val="0086096E"/>
    <w:rsid w:val="00864CFA"/>
    <w:rsid w:val="00867B38"/>
    <w:rsid w:val="00870C6F"/>
    <w:rsid w:val="00895111"/>
    <w:rsid w:val="008A67F0"/>
    <w:rsid w:val="008B0126"/>
    <w:rsid w:val="008B563E"/>
    <w:rsid w:val="008C3895"/>
    <w:rsid w:val="008C4252"/>
    <w:rsid w:val="008D1961"/>
    <w:rsid w:val="008D1CAF"/>
    <w:rsid w:val="008D5522"/>
    <w:rsid w:val="008D6C6D"/>
    <w:rsid w:val="008E0DBB"/>
    <w:rsid w:val="008E2E0E"/>
    <w:rsid w:val="008E2E24"/>
    <w:rsid w:val="008E57B2"/>
    <w:rsid w:val="008F1EAA"/>
    <w:rsid w:val="00900562"/>
    <w:rsid w:val="0090109B"/>
    <w:rsid w:val="00903991"/>
    <w:rsid w:val="00912FEA"/>
    <w:rsid w:val="0091711E"/>
    <w:rsid w:val="0091784B"/>
    <w:rsid w:val="00920BB7"/>
    <w:rsid w:val="0092395B"/>
    <w:rsid w:val="0092638A"/>
    <w:rsid w:val="009348E5"/>
    <w:rsid w:val="00934E5F"/>
    <w:rsid w:val="00936D61"/>
    <w:rsid w:val="00941708"/>
    <w:rsid w:val="00941EF1"/>
    <w:rsid w:val="009451B5"/>
    <w:rsid w:val="00945AE5"/>
    <w:rsid w:val="00945F5B"/>
    <w:rsid w:val="009641A3"/>
    <w:rsid w:val="00973F9F"/>
    <w:rsid w:val="009759E3"/>
    <w:rsid w:val="00976D04"/>
    <w:rsid w:val="009808F7"/>
    <w:rsid w:val="00980D9E"/>
    <w:rsid w:val="009865A0"/>
    <w:rsid w:val="009879CF"/>
    <w:rsid w:val="00987C70"/>
    <w:rsid w:val="009A57C5"/>
    <w:rsid w:val="009B769A"/>
    <w:rsid w:val="009B79EB"/>
    <w:rsid w:val="009C5892"/>
    <w:rsid w:val="009D16C7"/>
    <w:rsid w:val="009D5B27"/>
    <w:rsid w:val="009E4AA1"/>
    <w:rsid w:val="009E5DB0"/>
    <w:rsid w:val="009F32BE"/>
    <w:rsid w:val="00A061B0"/>
    <w:rsid w:val="00A101F6"/>
    <w:rsid w:val="00A15C85"/>
    <w:rsid w:val="00A3088E"/>
    <w:rsid w:val="00A31182"/>
    <w:rsid w:val="00A41089"/>
    <w:rsid w:val="00A42B43"/>
    <w:rsid w:val="00A437A5"/>
    <w:rsid w:val="00A45FF9"/>
    <w:rsid w:val="00A46A04"/>
    <w:rsid w:val="00A46FE7"/>
    <w:rsid w:val="00A50664"/>
    <w:rsid w:val="00A50E51"/>
    <w:rsid w:val="00A52B4A"/>
    <w:rsid w:val="00A60C24"/>
    <w:rsid w:val="00A640CC"/>
    <w:rsid w:val="00A757E8"/>
    <w:rsid w:val="00A80AAD"/>
    <w:rsid w:val="00A811AD"/>
    <w:rsid w:val="00A849EF"/>
    <w:rsid w:val="00A924CF"/>
    <w:rsid w:val="00A967ED"/>
    <w:rsid w:val="00A979C9"/>
    <w:rsid w:val="00AA5B8F"/>
    <w:rsid w:val="00AB2257"/>
    <w:rsid w:val="00AB7C8B"/>
    <w:rsid w:val="00AC07C9"/>
    <w:rsid w:val="00AC2E0A"/>
    <w:rsid w:val="00AC3410"/>
    <w:rsid w:val="00AE3DAD"/>
    <w:rsid w:val="00AE5969"/>
    <w:rsid w:val="00AE7478"/>
    <w:rsid w:val="00AE7832"/>
    <w:rsid w:val="00AF2E57"/>
    <w:rsid w:val="00AF3EAD"/>
    <w:rsid w:val="00AF73DE"/>
    <w:rsid w:val="00B00436"/>
    <w:rsid w:val="00B01CF4"/>
    <w:rsid w:val="00B035A1"/>
    <w:rsid w:val="00B068AA"/>
    <w:rsid w:val="00B2121A"/>
    <w:rsid w:val="00B23B21"/>
    <w:rsid w:val="00B2769D"/>
    <w:rsid w:val="00B37B36"/>
    <w:rsid w:val="00B41B93"/>
    <w:rsid w:val="00B4666B"/>
    <w:rsid w:val="00B4672C"/>
    <w:rsid w:val="00B5132F"/>
    <w:rsid w:val="00B57109"/>
    <w:rsid w:val="00B64AE8"/>
    <w:rsid w:val="00B70A4C"/>
    <w:rsid w:val="00B726B8"/>
    <w:rsid w:val="00B81C47"/>
    <w:rsid w:val="00B84373"/>
    <w:rsid w:val="00B850A4"/>
    <w:rsid w:val="00B85582"/>
    <w:rsid w:val="00B8595C"/>
    <w:rsid w:val="00B87788"/>
    <w:rsid w:val="00B9433F"/>
    <w:rsid w:val="00B97D22"/>
    <w:rsid w:val="00BA2446"/>
    <w:rsid w:val="00BA3830"/>
    <w:rsid w:val="00BB0032"/>
    <w:rsid w:val="00BB64B7"/>
    <w:rsid w:val="00BC05B2"/>
    <w:rsid w:val="00BC4045"/>
    <w:rsid w:val="00BC5513"/>
    <w:rsid w:val="00BE1963"/>
    <w:rsid w:val="00BE3876"/>
    <w:rsid w:val="00C01D2E"/>
    <w:rsid w:val="00C065A8"/>
    <w:rsid w:val="00C07B47"/>
    <w:rsid w:val="00C1099B"/>
    <w:rsid w:val="00C115D5"/>
    <w:rsid w:val="00C15F2A"/>
    <w:rsid w:val="00C170FF"/>
    <w:rsid w:val="00C239AC"/>
    <w:rsid w:val="00C307AE"/>
    <w:rsid w:val="00C32FE3"/>
    <w:rsid w:val="00C41EDD"/>
    <w:rsid w:val="00C452FB"/>
    <w:rsid w:val="00C53B82"/>
    <w:rsid w:val="00C56B0F"/>
    <w:rsid w:val="00C665BA"/>
    <w:rsid w:val="00C67D55"/>
    <w:rsid w:val="00C703C0"/>
    <w:rsid w:val="00C71A3C"/>
    <w:rsid w:val="00C758DB"/>
    <w:rsid w:val="00C75A0C"/>
    <w:rsid w:val="00C76400"/>
    <w:rsid w:val="00CA1217"/>
    <w:rsid w:val="00CA251A"/>
    <w:rsid w:val="00CB1407"/>
    <w:rsid w:val="00CB24DD"/>
    <w:rsid w:val="00CB311B"/>
    <w:rsid w:val="00CC056A"/>
    <w:rsid w:val="00CC2DA0"/>
    <w:rsid w:val="00CC3BCC"/>
    <w:rsid w:val="00CC44D1"/>
    <w:rsid w:val="00CC457B"/>
    <w:rsid w:val="00CC4B87"/>
    <w:rsid w:val="00CE0BD1"/>
    <w:rsid w:val="00CE3301"/>
    <w:rsid w:val="00CF04F5"/>
    <w:rsid w:val="00CF6305"/>
    <w:rsid w:val="00D00D09"/>
    <w:rsid w:val="00D03314"/>
    <w:rsid w:val="00D0404D"/>
    <w:rsid w:val="00D069AA"/>
    <w:rsid w:val="00D11C21"/>
    <w:rsid w:val="00D2080E"/>
    <w:rsid w:val="00D20F94"/>
    <w:rsid w:val="00D21290"/>
    <w:rsid w:val="00D24598"/>
    <w:rsid w:val="00D27A10"/>
    <w:rsid w:val="00D336C6"/>
    <w:rsid w:val="00D34DF6"/>
    <w:rsid w:val="00D35543"/>
    <w:rsid w:val="00D35BBC"/>
    <w:rsid w:val="00D35D5B"/>
    <w:rsid w:val="00D3771F"/>
    <w:rsid w:val="00D3785B"/>
    <w:rsid w:val="00D46BA3"/>
    <w:rsid w:val="00D5291D"/>
    <w:rsid w:val="00D55E87"/>
    <w:rsid w:val="00D5626E"/>
    <w:rsid w:val="00D60E74"/>
    <w:rsid w:val="00D61A81"/>
    <w:rsid w:val="00D65A11"/>
    <w:rsid w:val="00D72FF6"/>
    <w:rsid w:val="00D77DDB"/>
    <w:rsid w:val="00D83649"/>
    <w:rsid w:val="00D84686"/>
    <w:rsid w:val="00D85DEC"/>
    <w:rsid w:val="00D87F9A"/>
    <w:rsid w:val="00D9555D"/>
    <w:rsid w:val="00DA71EE"/>
    <w:rsid w:val="00DB5272"/>
    <w:rsid w:val="00DB7048"/>
    <w:rsid w:val="00DB70DD"/>
    <w:rsid w:val="00DB7F61"/>
    <w:rsid w:val="00DC0AF5"/>
    <w:rsid w:val="00DC105C"/>
    <w:rsid w:val="00DC2EDF"/>
    <w:rsid w:val="00DC43B8"/>
    <w:rsid w:val="00DC78D2"/>
    <w:rsid w:val="00DD022F"/>
    <w:rsid w:val="00DD1092"/>
    <w:rsid w:val="00DD53D5"/>
    <w:rsid w:val="00DE05DE"/>
    <w:rsid w:val="00DE1FE2"/>
    <w:rsid w:val="00DE36DA"/>
    <w:rsid w:val="00DF5551"/>
    <w:rsid w:val="00E00A4F"/>
    <w:rsid w:val="00E04D57"/>
    <w:rsid w:val="00E05AFE"/>
    <w:rsid w:val="00E05F67"/>
    <w:rsid w:val="00E21169"/>
    <w:rsid w:val="00E5704F"/>
    <w:rsid w:val="00E61E38"/>
    <w:rsid w:val="00E642A5"/>
    <w:rsid w:val="00E73E5B"/>
    <w:rsid w:val="00E90515"/>
    <w:rsid w:val="00E91ADF"/>
    <w:rsid w:val="00EA1B4A"/>
    <w:rsid w:val="00EA23F0"/>
    <w:rsid w:val="00EA2D86"/>
    <w:rsid w:val="00EB0D02"/>
    <w:rsid w:val="00EB276D"/>
    <w:rsid w:val="00EB31B4"/>
    <w:rsid w:val="00EC2954"/>
    <w:rsid w:val="00ED4447"/>
    <w:rsid w:val="00EE0C86"/>
    <w:rsid w:val="00EF4D99"/>
    <w:rsid w:val="00F03933"/>
    <w:rsid w:val="00F05BD3"/>
    <w:rsid w:val="00F11198"/>
    <w:rsid w:val="00F11277"/>
    <w:rsid w:val="00F123B8"/>
    <w:rsid w:val="00F1280A"/>
    <w:rsid w:val="00F154D6"/>
    <w:rsid w:val="00F2395B"/>
    <w:rsid w:val="00F2530D"/>
    <w:rsid w:val="00F326E6"/>
    <w:rsid w:val="00F3550C"/>
    <w:rsid w:val="00F35E31"/>
    <w:rsid w:val="00F42CB3"/>
    <w:rsid w:val="00F4514E"/>
    <w:rsid w:val="00F47853"/>
    <w:rsid w:val="00F53A26"/>
    <w:rsid w:val="00F63097"/>
    <w:rsid w:val="00F65B2B"/>
    <w:rsid w:val="00F670B7"/>
    <w:rsid w:val="00F722E2"/>
    <w:rsid w:val="00F85203"/>
    <w:rsid w:val="00F854CE"/>
    <w:rsid w:val="00F87EEF"/>
    <w:rsid w:val="00F91DBD"/>
    <w:rsid w:val="00F9507D"/>
    <w:rsid w:val="00F9693D"/>
    <w:rsid w:val="00FA55A5"/>
    <w:rsid w:val="00FA7181"/>
    <w:rsid w:val="00FB629A"/>
    <w:rsid w:val="00FC4EEA"/>
    <w:rsid w:val="00FD1D6C"/>
    <w:rsid w:val="00FE23F4"/>
    <w:rsid w:val="00FE4BEF"/>
    <w:rsid w:val="00FF0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C8EC4"/>
  <w15:docId w15:val="{48CAD5A4-DE44-4361-A972-72B95EEEE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2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3088E"/>
    <w:rPr>
      <w:sz w:val="16"/>
      <w:szCs w:val="16"/>
    </w:rPr>
  </w:style>
  <w:style w:type="paragraph" w:styleId="CommentText">
    <w:name w:val="annotation text"/>
    <w:basedOn w:val="Normal"/>
    <w:link w:val="CommentTextChar"/>
    <w:uiPriority w:val="99"/>
    <w:semiHidden/>
    <w:unhideWhenUsed/>
    <w:rsid w:val="00A3088E"/>
    <w:pPr>
      <w:spacing w:line="240" w:lineRule="auto"/>
    </w:pPr>
    <w:rPr>
      <w:sz w:val="20"/>
      <w:szCs w:val="20"/>
    </w:rPr>
  </w:style>
  <w:style w:type="character" w:customStyle="1" w:styleId="CommentTextChar">
    <w:name w:val="Comment Text Char"/>
    <w:basedOn w:val="DefaultParagraphFont"/>
    <w:link w:val="CommentText"/>
    <w:uiPriority w:val="99"/>
    <w:semiHidden/>
    <w:rsid w:val="00A3088E"/>
    <w:rPr>
      <w:sz w:val="20"/>
      <w:szCs w:val="20"/>
    </w:rPr>
  </w:style>
  <w:style w:type="paragraph" w:styleId="CommentSubject">
    <w:name w:val="annotation subject"/>
    <w:basedOn w:val="CommentText"/>
    <w:next w:val="CommentText"/>
    <w:link w:val="CommentSubjectChar"/>
    <w:uiPriority w:val="99"/>
    <w:semiHidden/>
    <w:unhideWhenUsed/>
    <w:rsid w:val="00A3088E"/>
    <w:rPr>
      <w:b/>
      <w:bCs/>
    </w:rPr>
  </w:style>
  <w:style w:type="character" w:customStyle="1" w:styleId="CommentSubjectChar">
    <w:name w:val="Comment Subject Char"/>
    <w:basedOn w:val="CommentTextChar"/>
    <w:link w:val="CommentSubject"/>
    <w:uiPriority w:val="99"/>
    <w:semiHidden/>
    <w:rsid w:val="00A3088E"/>
    <w:rPr>
      <w:b/>
      <w:bCs/>
      <w:sz w:val="20"/>
      <w:szCs w:val="20"/>
    </w:rPr>
  </w:style>
  <w:style w:type="paragraph" w:styleId="BalloonText">
    <w:name w:val="Balloon Text"/>
    <w:basedOn w:val="Normal"/>
    <w:link w:val="BalloonTextChar"/>
    <w:uiPriority w:val="99"/>
    <w:semiHidden/>
    <w:unhideWhenUsed/>
    <w:rsid w:val="00A308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88E"/>
    <w:rPr>
      <w:rFonts w:ascii="Tahoma" w:hAnsi="Tahoma" w:cs="Tahoma"/>
      <w:sz w:val="16"/>
      <w:szCs w:val="16"/>
    </w:rPr>
  </w:style>
  <w:style w:type="paragraph" w:styleId="Header">
    <w:name w:val="header"/>
    <w:basedOn w:val="Normal"/>
    <w:link w:val="HeaderChar"/>
    <w:uiPriority w:val="99"/>
    <w:unhideWhenUsed/>
    <w:rsid w:val="00281D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D35"/>
  </w:style>
  <w:style w:type="paragraph" w:styleId="Footer">
    <w:name w:val="footer"/>
    <w:basedOn w:val="Normal"/>
    <w:link w:val="FooterChar"/>
    <w:uiPriority w:val="99"/>
    <w:unhideWhenUsed/>
    <w:rsid w:val="00281D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D35"/>
  </w:style>
  <w:style w:type="paragraph" w:styleId="NormalWeb">
    <w:name w:val="Normal (Web)"/>
    <w:basedOn w:val="Normal"/>
    <w:uiPriority w:val="99"/>
    <w:unhideWhenUsed/>
    <w:rsid w:val="003009A2"/>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E5969"/>
    <w:pPr>
      <w:ind w:left="720"/>
      <w:contextualSpacing/>
    </w:pPr>
  </w:style>
  <w:style w:type="paragraph" w:styleId="PlainText">
    <w:name w:val="Plain Text"/>
    <w:basedOn w:val="Normal"/>
    <w:link w:val="PlainTextChar"/>
    <w:uiPriority w:val="99"/>
    <w:unhideWhenUsed/>
    <w:rsid w:val="00663905"/>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663905"/>
    <w:rPr>
      <w:rFonts w:ascii="Calibri" w:hAnsi="Calibri"/>
      <w:szCs w:val="21"/>
    </w:rPr>
  </w:style>
  <w:style w:type="character" w:customStyle="1" w:styleId="indented">
    <w:name w:val="indented"/>
    <w:basedOn w:val="DefaultParagraphFont"/>
    <w:rsid w:val="00093161"/>
  </w:style>
  <w:style w:type="paragraph" w:styleId="TOC2">
    <w:name w:val="toc 2"/>
    <w:basedOn w:val="Normal"/>
    <w:next w:val="Normal"/>
    <w:autoRedefine/>
    <w:uiPriority w:val="39"/>
    <w:qFormat/>
    <w:rsid w:val="00431A65"/>
    <w:pPr>
      <w:tabs>
        <w:tab w:val="right" w:leader="dot" w:pos="9350"/>
      </w:tabs>
      <w:autoSpaceDE w:val="0"/>
      <w:autoSpaceDN w:val="0"/>
      <w:adjustRightInd w:val="0"/>
      <w:spacing w:after="0" w:line="240" w:lineRule="auto"/>
      <w:ind w:left="1080" w:hanging="540"/>
      <w:jc w:val="both"/>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05AFE"/>
  </w:style>
  <w:style w:type="character" w:styleId="Hyperlink">
    <w:name w:val="Hyperlink"/>
    <w:basedOn w:val="DefaultParagraphFont"/>
    <w:uiPriority w:val="99"/>
    <w:semiHidden/>
    <w:unhideWhenUsed/>
    <w:rsid w:val="00760CDB"/>
    <w:rPr>
      <w:color w:val="0000FF"/>
      <w:u w:val="single"/>
    </w:rPr>
  </w:style>
  <w:style w:type="paragraph" w:styleId="NoSpacing">
    <w:name w:val="No Spacing"/>
    <w:basedOn w:val="Normal"/>
    <w:link w:val="NoSpacingChar"/>
    <w:uiPriority w:val="1"/>
    <w:qFormat/>
    <w:rsid w:val="005A38F0"/>
    <w:pPr>
      <w:spacing w:after="0" w:line="240" w:lineRule="auto"/>
    </w:pPr>
    <w:rPr>
      <w:rFonts w:asciiTheme="majorHAnsi" w:eastAsiaTheme="majorEastAsia" w:hAnsiTheme="majorHAnsi" w:cstheme="majorBidi"/>
    </w:rPr>
  </w:style>
  <w:style w:type="character" w:customStyle="1" w:styleId="NoSpacingChar">
    <w:name w:val="No Spacing Char"/>
    <w:basedOn w:val="DefaultParagraphFont"/>
    <w:link w:val="NoSpacing"/>
    <w:uiPriority w:val="1"/>
    <w:rsid w:val="005A38F0"/>
    <w:rPr>
      <w:rFonts w:asciiTheme="majorHAnsi" w:eastAsiaTheme="majorEastAsia" w:hAnsiTheme="majorHAnsi" w:cstheme="majorBidi"/>
    </w:rPr>
  </w:style>
  <w:style w:type="character" w:customStyle="1" w:styleId="ng-binding">
    <w:name w:val="ng-binding"/>
    <w:basedOn w:val="DefaultParagraphFont"/>
    <w:rsid w:val="00586DFE"/>
  </w:style>
  <w:style w:type="character" w:customStyle="1" w:styleId="identifierdetail1">
    <w:name w:val="identifierdetail1"/>
    <w:basedOn w:val="DefaultParagraphFont"/>
    <w:rsid w:val="004C0546"/>
    <w:rPr>
      <w:rFonts w:ascii="Consolas" w:hAnsi="Consolas" w:hint="default"/>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7247">
      <w:bodyDiv w:val="1"/>
      <w:marLeft w:val="0"/>
      <w:marRight w:val="0"/>
      <w:marTop w:val="0"/>
      <w:marBottom w:val="0"/>
      <w:divBdr>
        <w:top w:val="none" w:sz="0" w:space="0" w:color="auto"/>
        <w:left w:val="none" w:sz="0" w:space="0" w:color="auto"/>
        <w:bottom w:val="none" w:sz="0" w:space="0" w:color="auto"/>
        <w:right w:val="none" w:sz="0" w:space="0" w:color="auto"/>
      </w:divBdr>
    </w:div>
    <w:div w:id="87312083">
      <w:bodyDiv w:val="1"/>
      <w:marLeft w:val="0"/>
      <w:marRight w:val="0"/>
      <w:marTop w:val="0"/>
      <w:marBottom w:val="0"/>
      <w:divBdr>
        <w:top w:val="none" w:sz="0" w:space="0" w:color="auto"/>
        <w:left w:val="none" w:sz="0" w:space="0" w:color="auto"/>
        <w:bottom w:val="none" w:sz="0" w:space="0" w:color="auto"/>
        <w:right w:val="none" w:sz="0" w:space="0" w:color="auto"/>
      </w:divBdr>
    </w:div>
    <w:div w:id="161435815">
      <w:bodyDiv w:val="1"/>
      <w:marLeft w:val="0"/>
      <w:marRight w:val="0"/>
      <w:marTop w:val="0"/>
      <w:marBottom w:val="0"/>
      <w:divBdr>
        <w:top w:val="none" w:sz="0" w:space="0" w:color="auto"/>
        <w:left w:val="none" w:sz="0" w:space="0" w:color="auto"/>
        <w:bottom w:val="none" w:sz="0" w:space="0" w:color="auto"/>
        <w:right w:val="none" w:sz="0" w:space="0" w:color="auto"/>
      </w:divBdr>
    </w:div>
    <w:div w:id="223881067">
      <w:bodyDiv w:val="1"/>
      <w:marLeft w:val="0"/>
      <w:marRight w:val="0"/>
      <w:marTop w:val="0"/>
      <w:marBottom w:val="0"/>
      <w:divBdr>
        <w:top w:val="none" w:sz="0" w:space="0" w:color="auto"/>
        <w:left w:val="none" w:sz="0" w:space="0" w:color="auto"/>
        <w:bottom w:val="none" w:sz="0" w:space="0" w:color="auto"/>
        <w:right w:val="none" w:sz="0" w:space="0" w:color="auto"/>
      </w:divBdr>
    </w:div>
    <w:div w:id="283394133">
      <w:bodyDiv w:val="1"/>
      <w:marLeft w:val="0"/>
      <w:marRight w:val="0"/>
      <w:marTop w:val="0"/>
      <w:marBottom w:val="0"/>
      <w:divBdr>
        <w:top w:val="none" w:sz="0" w:space="0" w:color="auto"/>
        <w:left w:val="none" w:sz="0" w:space="0" w:color="auto"/>
        <w:bottom w:val="none" w:sz="0" w:space="0" w:color="auto"/>
        <w:right w:val="none" w:sz="0" w:space="0" w:color="auto"/>
      </w:divBdr>
    </w:div>
    <w:div w:id="284654167">
      <w:bodyDiv w:val="1"/>
      <w:marLeft w:val="0"/>
      <w:marRight w:val="0"/>
      <w:marTop w:val="0"/>
      <w:marBottom w:val="0"/>
      <w:divBdr>
        <w:top w:val="none" w:sz="0" w:space="0" w:color="auto"/>
        <w:left w:val="none" w:sz="0" w:space="0" w:color="auto"/>
        <w:bottom w:val="none" w:sz="0" w:space="0" w:color="auto"/>
        <w:right w:val="none" w:sz="0" w:space="0" w:color="auto"/>
      </w:divBdr>
    </w:div>
    <w:div w:id="421146235">
      <w:bodyDiv w:val="1"/>
      <w:marLeft w:val="0"/>
      <w:marRight w:val="0"/>
      <w:marTop w:val="0"/>
      <w:marBottom w:val="0"/>
      <w:divBdr>
        <w:top w:val="none" w:sz="0" w:space="0" w:color="auto"/>
        <w:left w:val="none" w:sz="0" w:space="0" w:color="auto"/>
        <w:bottom w:val="none" w:sz="0" w:space="0" w:color="auto"/>
        <w:right w:val="none" w:sz="0" w:space="0" w:color="auto"/>
      </w:divBdr>
    </w:div>
    <w:div w:id="477455362">
      <w:bodyDiv w:val="1"/>
      <w:marLeft w:val="0"/>
      <w:marRight w:val="0"/>
      <w:marTop w:val="0"/>
      <w:marBottom w:val="0"/>
      <w:divBdr>
        <w:top w:val="none" w:sz="0" w:space="0" w:color="auto"/>
        <w:left w:val="none" w:sz="0" w:space="0" w:color="auto"/>
        <w:bottom w:val="none" w:sz="0" w:space="0" w:color="auto"/>
        <w:right w:val="none" w:sz="0" w:space="0" w:color="auto"/>
      </w:divBdr>
    </w:div>
    <w:div w:id="516849174">
      <w:bodyDiv w:val="1"/>
      <w:marLeft w:val="0"/>
      <w:marRight w:val="0"/>
      <w:marTop w:val="0"/>
      <w:marBottom w:val="0"/>
      <w:divBdr>
        <w:top w:val="none" w:sz="0" w:space="0" w:color="auto"/>
        <w:left w:val="none" w:sz="0" w:space="0" w:color="auto"/>
        <w:bottom w:val="none" w:sz="0" w:space="0" w:color="auto"/>
        <w:right w:val="none" w:sz="0" w:space="0" w:color="auto"/>
      </w:divBdr>
    </w:div>
    <w:div w:id="543366837">
      <w:bodyDiv w:val="1"/>
      <w:marLeft w:val="0"/>
      <w:marRight w:val="0"/>
      <w:marTop w:val="0"/>
      <w:marBottom w:val="0"/>
      <w:divBdr>
        <w:top w:val="none" w:sz="0" w:space="0" w:color="auto"/>
        <w:left w:val="none" w:sz="0" w:space="0" w:color="auto"/>
        <w:bottom w:val="none" w:sz="0" w:space="0" w:color="auto"/>
        <w:right w:val="none" w:sz="0" w:space="0" w:color="auto"/>
      </w:divBdr>
    </w:div>
    <w:div w:id="590815037">
      <w:bodyDiv w:val="1"/>
      <w:marLeft w:val="0"/>
      <w:marRight w:val="0"/>
      <w:marTop w:val="0"/>
      <w:marBottom w:val="0"/>
      <w:divBdr>
        <w:top w:val="none" w:sz="0" w:space="0" w:color="auto"/>
        <w:left w:val="none" w:sz="0" w:space="0" w:color="auto"/>
        <w:bottom w:val="none" w:sz="0" w:space="0" w:color="auto"/>
        <w:right w:val="none" w:sz="0" w:space="0" w:color="auto"/>
      </w:divBdr>
    </w:div>
    <w:div w:id="604264587">
      <w:bodyDiv w:val="1"/>
      <w:marLeft w:val="0"/>
      <w:marRight w:val="0"/>
      <w:marTop w:val="0"/>
      <w:marBottom w:val="0"/>
      <w:divBdr>
        <w:top w:val="none" w:sz="0" w:space="0" w:color="auto"/>
        <w:left w:val="none" w:sz="0" w:space="0" w:color="auto"/>
        <w:bottom w:val="none" w:sz="0" w:space="0" w:color="auto"/>
        <w:right w:val="none" w:sz="0" w:space="0" w:color="auto"/>
      </w:divBdr>
    </w:div>
    <w:div w:id="606737720">
      <w:bodyDiv w:val="1"/>
      <w:marLeft w:val="0"/>
      <w:marRight w:val="0"/>
      <w:marTop w:val="0"/>
      <w:marBottom w:val="0"/>
      <w:divBdr>
        <w:top w:val="none" w:sz="0" w:space="0" w:color="auto"/>
        <w:left w:val="none" w:sz="0" w:space="0" w:color="auto"/>
        <w:bottom w:val="none" w:sz="0" w:space="0" w:color="auto"/>
        <w:right w:val="none" w:sz="0" w:space="0" w:color="auto"/>
      </w:divBdr>
    </w:div>
    <w:div w:id="731588293">
      <w:bodyDiv w:val="1"/>
      <w:marLeft w:val="0"/>
      <w:marRight w:val="0"/>
      <w:marTop w:val="0"/>
      <w:marBottom w:val="0"/>
      <w:divBdr>
        <w:top w:val="none" w:sz="0" w:space="0" w:color="auto"/>
        <w:left w:val="none" w:sz="0" w:space="0" w:color="auto"/>
        <w:bottom w:val="none" w:sz="0" w:space="0" w:color="auto"/>
        <w:right w:val="none" w:sz="0" w:space="0" w:color="auto"/>
      </w:divBdr>
    </w:div>
    <w:div w:id="810750641">
      <w:bodyDiv w:val="1"/>
      <w:marLeft w:val="0"/>
      <w:marRight w:val="0"/>
      <w:marTop w:val="0"/>
      <w:marBottom w:val="0"/>
      <w:divBdr>
        <w:top w:val="none" w:sz="0" w:space="0" w:color="auto"/>
        <w:left w:val="none" w:sz="0" w:space="0" w:color="auto"/>
        <w:bottom w:val="none" w:sz="0" w:space="0" w:color="auto"/>
        <w:right w:val="none" w:sz="0" w:space="0" w:color="auto"/>
      </w:divBdr>
    </w:div>
    <w:div w:id="894778490">
      <w:bodyDiv w:val="1"/>
      <w:marLeft w:val="0"/>
      <w:marRight w:val="0"/>
      <w:marTop w:val="0"/>
      <w:marBottom w:val="0"/>
      <w:divBdr>
        <w:top w:val="none" w:sz="0" w:space="0" w:color="auto"/>
        <w:left w:val="none" w:sz="0" w:space="0" w:color="auto"/>
        <w:bottom w:val="none" w:sz="0" w:space="0" w:color="auto"/>
        <w:right w:val="none" w:sz="0" w:space="0" w:color="auto"/>
      </w:divBdr>
    </w:div>
    <w:div w:id="978193496">
      <w:bodyDiv w:val="1"/>
      <w:marLeft w:val="0"/>
      <w:marRight w:val="0"/>
      <w:marTop w:val="0"/>
      <w:marBottom w:val="0"/>
      <w:divBdr>
        <w:top w:val="none" w:sz="0" w:space="0" w:color="auto"/>
        <w:left w:val="none" w:sz="0" w:space="0" w:color="auto"/>
        <w:bottom w:val="none" w:sz="0" w:space="0" w:color="auto"/>
        <w:right w:val="none" w:sz="0" w:space="0" w:color="auto"/>
      </w:divBdr>
    </w:div>
    <w:div w:id="1263418099">
      <w:bodyDiv w:val="1"/>
      <w:marLeft w:val="0"/>
      <w:marRight w:val="0"/>
      <w:marTop w:val="0"/>
      <w:marBottom w:val="0"/>
      <w:divBdr>
        <w:top w:val="none" w:sz="0" w:space="0" w:color="auto"/>
        <w:left w:val="none" w:sz="0" w:space="0" w:color="auto"/>
        <w:bottom w:val="none" w:sz="0" w:space="0" w:color="auto"/>
        <w:right w:val="none" w:sz="0" w:space="0" w:color="auto"/>
      </w:divBdr>
    </w:div>
    <w:div w:id="1274633473">
      <w:bodyDiv w:val="1"/>
      <w:marLeft w:val="0"/>
      <w:marRight w:val="0"/>
      <w:marTop w:val="0"/>
      <w:marBottom w:val="0"/>
      <w:divBdr>
        <w:top w:val="none" w:sz="0" w:space="0" w:color="auto"/>
        <w:left w:val="none" w:sz="0" w:space="0" w:color="auto"/>
        <w:bottom w:val="none" w:sz="0" w:space="0" w:color="auto"/>
        <w:right w:val="none" w:sz="0" w:space="0" w:color="auto"/>
      </w:divBdr>
    </w:div>
    <w:div w:id="1298534916">
      <w:bodyDiv w:val="1"/>
      <w:marLeft w:val="0"/>
      <w:marRight w:val="0"/>
      <w:marTop w:val="0"/>
      <w:marBottom w:val="0"/>
      <w:divBdr>
        <w:top w:val="none" w:sz="0" w:space="0" w:color="auto"/>
        <w:left w:val="none" w:sz="0" w:space="0" w:color="auto"/>
        <w:bottom w:val="none" w:sz="0" w:space="0" w:color="auto"/>
        <w:right w:val="none" w:sz="0" w:space="0" w:color="auto"/>
      </w:divBdr>
    </w:div>
    <w:div w:id="1389576735">
      <w:bodyDiv w:val="1"/>
      <w:marLeft w:val="0"/>
      <w:marRight w:val="0"/>
      <w:marTop w:val="0"/>
      <w:marBottom w:val="0"/>
      <w:divBdr>
        <w:top w:val="none" w:sz="0" w:space="0" w:color="auto"/>
        <w:left w:val="none" w:sz="0" w:space="0" w:color="auto"/>
        <w:bottom w:val="none" w:sz="0" w:space="0" w:color="auto"/>
        <w:right w:val="none" w:sz="0" w:space="0" w:color="auto"/>
      </w:divBdr>
    </w:div>
    <w:div w:id="1396053928">
      <w:bodyDiv w:val="1"/>
      <w:marLeft w:val="0"/>
      <w:marRight w:val="0"/>
      <w:marTop w:val="0"/>
      <w:marBottom w:val="0"/>
      <w:divBdr>
        <w:top w:val="none" w:sz="0" w:space="0" w:color="auto"/>
        <w:left w:val="none" w:sz="0" w:space="0" w:color="auto"/>
        <w:bottom w:val="none" w:sz="0" w:space="0" w:color="auto"/>
        <w:right w:val="none" w:sz="0" w:space="0" w:color="auto"/>
      </w:divBdr>
    </w:div>
    <w:div w:id="1500391720">
      <w:bodyDiv w:val="1"/>
      <w:marLeft w:val="0"/>
      <w:marRight w:val="0"/>
      <w:marTop w:val="0"/>
      <w:marBottom w:val="0"/>
      <w:divBdr>
        <w:top w:val="none" w:sz="0" w:space="0" w:color="auto"/>
        <w:left w:val="none" w:sz="0" w:space="0" w:color="auto"/>
        <w:bottom w:val="none" w:sz="0" w:space="0" w:color="auto"/>
        <w:right w:val="none" w:sz="0" w:space="0" w:color="auto"/>
      </w:divBdr>
    </w:div>
    <w:div w:id="1607729385">
      <w:bodyDiv w:val="1"/>
      <w:marLeft w:val="0"/>
      <w:marRight w:val="0"/>
      <w:marTop w:val="0"/>
      <w:marBottom w:val="0"/>
      <w:divBdr>
        <w:top w:val="none" w:sz="0" w:space="0" w:color="auto"/>
        <w:left w:val="none" w:sz="0" w:space="0" w:color="auto"/>
        <w:bottom w:val="none" w:sz="0" w:space="0" w:color="auto"/>
        <w:right w:val="none" w:sz="0" w:space="0" w:color="auto"/>
      </w:divBdr>
    </w:div>
    <w:div w:id="1707952460">
      <w:bodyDiv w:val="1"/>
      <w:marLeft w:val="0"/>
      <w:marRight w:val="0"/>
      <w:marTop w:val="0"/>
      <w:marBottom w:val="0"/>
      <w:divBdr>
        <w:top w:val="none" w:sz="0" w:space="0" w:color="auto"/>
        <w:left w:val="none" w:sz="0" w:space="0" w:color="auto"/>
        <w:bottom w:val="none" w:sz="0" w:space="0" w:color="auto"/>
        <w:right w:val="none" w:sz="0" w:space="0" w:color="auto"/>
      </w:divBdr>
    </w:div>
    <w:div w:id="1744181145">
      <w:bodyDiv w:val="1"/>
      <w:marLeft w:val="0"/>
      <w:marRight w:val="0"/>
      <w:marTop w:val="0"/>
      <w:marBottom w:val="0"/>
      <w:divBdr>
        <w:top w:val="none" w:sz="0" w:space="0" w:color="auto"/>
        <w:left w:val="none" w:sz="0" w:space="0" w:color="auto"/>
        <w:bottom w:val="none" w:sz="0" w:space="0" w:color="auto"/>
        <w:right w:val="none" w:sz="0" w:space="0" w:color="auto"/>
      </w:divBdr>
    </w:div>
    <w:div w:id="1818105524">
      <w:bodyDiv w:val="1"/>
      <w:marLeft w:val="0"/>
      <w:marRight w:val="0"/>
      <w:marTop w:val="0"/>
      <w:marBottom w:val="0"/>
      <w:divBdr>
        <w:top w:val="none" w:sz="0" w:space="0" w:color="auto"/>
        <w:left w:val="none" w:sz="0" w:space="0" w:color="auto"/>
        <w:bottom w:val="none" w:sz="0" w:space="0" w:color="auto"/>
        <w:right w:val="none" w:sz="0" w:space="0" w:color="auto"/>
      </w:divBdr>
    </w:div>
    <w:div w:id="1938127032">
      <w:bodyDiv w:val="1"/>
      <w:marLeft w:val="0"/>
      <w:marRight w:val="0"/>
      <w:marTop w:val="0"/>
      <w:marBottom w:val="0"/>
      <w:divBdr>
        <w:top w:val="none" w:sz="0" w:space="0" w:color="auto"/>
        <w:left w:val="none" w:sz="0" w:space="0" w:color="auto"/>
        <w:bottom w:val="none" w:sz="0" w:space="0" w:color="auto"/>
        <w:right w:val="none" w:sz="0" w:space="0" w:color="auto"/>
      </w:divBdr>
    </w:div>
    <w:div w:id="194957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09A836-0C54-4160-8191-FBFA7508A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Snelick</dc:creator>
  <cp:lastModifiedBy>Taylor, Sheryl L. (Fed)</cp:lastModifiedBy>
  <cp:revision>7</cp:revision>
  <cp:lastPrinted>2016-02-25T19:43:00Z</cp:lastPrinted>
  <dcterms:created xsi:type="dcterms:W3CDTF">2019-11-20T18:57:00Z</dcterms:created>
  <dcterms:modified xsi:type="dcterms:W3CDTF">2019-11-20T19:51:00Z</dcterms:modified>
</cp:coreProperties>
</file>