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AE7" w:rsidRDefault="00CF2AE7" w:rsidP="00AA38A5">
      <w:pPr>
        <w:rPr>
          <w:rFonts w:asciiTheme="majorHAnsi" w:hAnsiTheme="majorHAnsi"/>
          <w:color w:val="17365D" w:themeColor="text2" w:themeShade="BF"/>
          <w:sz w:val="52"/>
          <w:szCs w:val="52"/>
        </w:rPr>
      </w:pPr>
      <w:r>
        <w:rPr>
          <w:rFonts w:asciiTheme="majorHAnsi" w:hAnsiTheme="majorHAnsi"/>
          <w:color w:val="17365D" w:themeColor="text2" w:themeShade="BF"/>
          <w:sz w:val="52"/>
          <w:szCs w:val="52"/>
        </w:rPr>
        <w:t xml:space="preserve">Quick Guide: </w:t>
      </w:r>
    </w:p>
    <w:p w:rsidR="00EE653A" w:rsidRPr="00AA38A5" w:rsidRDefault="00EE653A" w:rsidP="00AA38A5">
      <w:pPr>
        <w:rPr>
          <w:rFonts w:asciiTheme="majorHAnsi" w:hAnsiTheme="majorHAnsi"/>
          <w:color w:val="17365D" w:themeColor="text2" w:themeShade="BF"/>
          <w:sz w:val="52"/>
          <w:szCs w:val="52"/>
        </w:rPr>
      </w:pPr>
      <w:r w:rsidRPr="00AA38A5">
        <w:rPr>
          <w:rFonts w:asciiTheme="majorHAnsi" w:hAnsiTheme="majorHAnsi"/>
          <w:color w:val="17365D" w:themeColor="text2" w:themeShade="BF"/>
          <w:sz w:val="52"/>
          <w:szCs w:val="52"/>
        </w:rPr>
        <w:t>How to Interpret</w:t>
      </w:r>
      <w:r w:rsidR="00CF2AE7">
        <w:rPr>
          <w:rFonts w:asciiTheme="majorHAnsi" w:hAnsiTheme="majorHAnsi"/>
          <w:color w:val="17365D" w:themeColor="text2" w:themeShade="BF"/>
          <w:sz w:val="52"/>
          <w:szCs w:val="52"/>
        </w:rPr>
        <w:t xml:space="preserve"> Validation</w:t>
      </w:r>
    </w:p>
    <w:p w:rsidR="00CF2AE7" w:rsidRDefault="00EE653A" w:rsidP="00AA38A5">
      <w:pPr>
        <w:rPr>
          <w:rFonts w:asciiTheme="majorHAnsi" w:hAnsiTheme="majorHAnsi"/>
          <w:color w:val="17365D" w:themeColor="text2" w:themeShade="BF"/>
          <w:sz w:val="52"/>
          <w:szCs w:val="52"/>
        </w:rPr>
      </w:pPr>
      <w:r w:rsidRPr="00AA38A5">
        <w:rPr>
          <w:rFonts w:asciiTheme="majorHAnsi" w:hAnsiTheme="majorHAnsi"/>
          <w:color w:val="17365D" w:themeColor="text2" w:themeShade="BF"/>
          <w:sz w:val="52"/>
          <w:szCs w:val="52"/>
        </w:rPr>
        <w:t xml:space="preserve">Error </w:t>
      </w:r>
      <w:r w:rsidR="00CF2AE7">
        <w:rPr>
          <w:rFonts w:asciiTheme="majorHAnsi" w:hAnsiTheme="majorHAnsi"/>
          <w:color w:val="17365D" w:themeColor="text2" w:themeShade="BF"/>
          <w:sz w:val="52"/>
          <w:szCs w:val="52"/>
        </w:rPr>
        <w:t>Information</w:t>
      </w:r>
      <w:r w:rsidRPr="00AA38A5">
        <w:rPr>
          <w:rFonts w:asciiTheme="majorHAnsi" w:hAnsiTheme="majorHAnsi"/>
          <w:color w:val="17365D" w:themeColor="text2" w:themeShade="BF"/>
          <w:sz w:val="52"/>
          <w:szCs w:val="52"/>
        </w:rPr>
        <w:t xml:space="preserve"> </w:t>
      </w:r>
      <w:r w:rsidR="00CF2AE7">
        <w:rPr>
          <w:rFonts w:asciiTheme="majorHAnsi" w:hAnsiTheme="majorHAnsi"/>
          <w:color w:val="17365D" w:themeColor="text2" w:themeShade="BF"/>
          <w:sz w:val="52"/>
          <w:szCs w:val="52"/>
        </w:rPr>
        <w:t>in a</w:t>
      </w:r>
      <w:r w:rsidRPr="00AA38A5">
        <w:rPr>
          <w:rFonts w:asciiTheme="majorHAnsi" w:hAnsiTheme="majorHAnsi"/>
          <w:color w:val="17365D" w:themeColor="text2" w:themeShade="BF"/>
          <w:sz w:val="52"/>
          <w:szCs w:val="52"/>
        </w:rPr>
        <w:t xml:space="preserve"> </w:t>
      </w:r>
    </w:p>
    <w:p w:rsidR="006346C1" w:rsidRPr="00AA38A5" w:rsidRDefault="00197A46" w:rsidP="00AA38A5">
      <w:pPr>
        <w:rPr>
          <w:rFonts w:asciiTheme="majorHAnsi" w:hAnsiTheme="majorHAnsi"/>
          <w:color w:val="17365D" w:themeColor="text2" w:themeShade="BF"/>
          <w:sz w:val="52"/>
          <w:szCs w:val="52"/>
        </w:rPr>
      </w:pPr>
      <w:r w:rsidRPr="00AA38A5">
        <w:rPr>
          <w:rFonts w:asciiTheme="majorHAnsi" w:hAnsiTheme="majorHAnsi"/>
          <w:color w:val="17365D" w:themeColor="text2" w:themeShade="BF"/>
          <w:sz w:val="52"/>
          <w:szCs w:val="52"/>
        </w:rPr>
        <w:t>NIST</w:t>
      </w:r>
      <w:r w:rsidR="00EE653A" w:rsidRPr="00AA38A5">
        <w:rPr>
          <w:rFonts w:asciiTheme="majorHAnsi" w:hAnsiTheme="majorHAnsi"/>
          <w:color w:val="17365D" w:themeColor="text2" w:themeShade="BF"/>
          <w:sz w:val="52"/>
          <w:szCs w:val="52"/>
        </w:rPr>
        <w:t xml:space="preserve"> HL7 V2 Test Tool</w:t>
      </w:r>
    </w:p>
    <w:p w:rsidR="00AA38A5" w:rsidRDefault="004F06D5" w:rsidP="006A2FCB">
      <w:pPr>
        <w:rPr>
          <w:color w:val="943634" w:themeColor="accent2" w:themeShade="BF"/>
          <w:sz w:val="28"/>
          <w:szCs w:val="28"/>
        </w:rPr>
      </w:pPr>
      <w:r w:rsidRPr="004F06D5">
        <w:rPr>
          <w:noProof/>
          <w:color w:val="943634" w:themeColor="accent2" w:themeShade="BF"/>
          <w:sz w:val="28"/>
          <w:szCs w:val="28"/>
        </w:rPr>
        <mc:AlternateContent>
          <mc:Choice Requires="wps">
            <w:drawing>
              <wp:anchor distT="0" distB="0" distL="114300" distR="114300" simplePos="0" relativeHeight="251664384" behindDoc="0" locked="0" layoutInCell="1" allowOverlap="1" wp14:anchorId="6A0D6AAF" wp14:editId="1FC2A2E7">
                <wp:simplePos x="0" y="0"/>
                <wp:positionH relativeFrom="column">
                  <wp:posOffset>19878</wp:posOffset>
                </wp:positionH>
                <wp:positionV relativeFrom="paragraph">
                  <wp:posOffset>90915</wp:posOffset>
                </wp:positionV>
                <wp:extent cx="5864087" cy="0"/>
                <wp:effectExtent l="0" t="0" r="22860" b="19050"/>
                <wp:wrapNone/>
                <wp:docPr id="6" name="Straight Connector 4"/>
                <wp:cNvGraphicFramePr/>
                <a:graphic xmlns:a="http://schemas.openxmlformats.org/drawingml/2006/main">
                  <a:graphicData uri="http://schemas.microsoft.com/office/word/2010/wordprocessingShape">
                    <wps:wsp>
                      <wps:cNvCnPr/>
                      <wps:spPr>
                        <a:xfrm>
                          <a:off x="0" y="0"/>
                          <a:ext cx="5864087"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7.15pt" to="463.3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" strokecolor="#365f91 [2404]"/>
            </w:pict>
          </mc:Fallback>
        </mc:AlternateContent>
      </w:r>
    </w:p>
    <w:p w:rsidR="00AA38A5" w:rsidRDefault="00AA38A5" w:rsidP="006A2FCB">
      <w:pPr>
        <w:rPr>
          <w:color w:val="943634" w:themeColor="accent2" w:themeShade="BF"/>
          <w:sz w:val="28"/>
          <w:szCs w:val="28"/>
        </w:rPr>
      </w:pPr>
    </w:p>
    <w:p w:rsidR="00DD16E3" w:rsidRPr="00DD16E3" w:rsidRDefault="00E4673D" w:rsidP="006A2FCB">
      <w:pPr>
        <w:rPr>
          <w:color w:val="943634" w:themeColor="accent2" w:themeShade="BF"/>
          <w:sz w:val="28"/>
          <w:szCs w:val="28"/>
        </w:rPr>
      </w:pPr>
      <w:r>
        <w:rPr>
          <w:color w:val="943634" w:themeColor="accent2" w:themeShade="BF"/>
          <w:sz w:val="28"/>
          <w:szCs w:val="28"/>
        </w:rPr>
        <w:t>Version 1.</w:t>
      </w:r>
      <w:r w:rsidR="00197A46">
        <w:rPr>
          <w:color w:val="943634" w:themeColor="accent2" w:themeShade="BF"/>
          <w:sz w:val="28"/>
          <w:szCs w:val="28"/>
        </w:rPr>
        <w:t>0</w:t>
      </w:r>
    </w:p>
    <w:p w:rsidR="007C5B20" w:rsidRPr="00DD16E3" w:rsidRDefault="00DD16E3" w:rsidP="006A2FCB">
      <w:pPr>
        <w:rPr>
          <w:color w:val="943634" w:themeColor="accent2" w:themeShade="BF"/>
          <w:sz w:val="28"/>
          <w:szCs w:val="28"/>
        </w:rPr>
      </w:pPr>
      <w:r w:rsidRPr="00DD16E3">
        <w:rPr>
          <w:color w:val="943634" w:themeColor="accent2" w:themeShade="BF"/>
          <w:sz w:val="28"/>
          <w:szCs w:val="28"/>
        </w:rPr>
        <w:t>Date:</w:t>
      </w:r>
      <w:r w:rsidR="00AD372E">
        <w:rPr>
          <w:color w:val="943634" w:themeColor="accent2" w:themeShade="BF"/>
          <w:sz w:val="28"/>
          <w:szCs w:val="28"/>
        </w:rPr>
        <w:t xml:space="preserve"> </w:t>
      </w:r>
      <w:r w:rsidR="00EE653A">
        <w:rPr>
          <w:color w:val="943634" w:themeColor="accent2" w:themeShade="BF"/>
          <w:sz w:val="28"/>
          <w:szCs w:val="28"/>
        </w:rPr>
        <w:t>August</w:t>
      </w:r>
      <w:r w:rsidR="00AD372E">
        <w:rPr>
          <w:color w:val="943634" w:themeColor="accent2" w:themeShade="BF"/>
          <w:sz w:val="28"/>
          <w:szCs w:val="28"/>
        </w:rPr>
        <w:t xml:space="preserve"> </w:t>
      </w:r>
      <w:r w:rsidR="00197A46">
        <w:rPr>
          <w:color w:val="943634" w:themeColor="accent2" w:themeShade="BF"/>
          <w:sz w:val="28"/>
          <w:szCs w:val="28"/>
        </w:rPr>
        <w:t>1</w:t>
      </w:r>
      <w:r w:rsidR="00EE653A">
        <w:rPr>
          <w:color w:val="943634" w:themeColor="accent2" w:themeShade="BF"/>
          <w:sz w:val="28"/>
          <w:szCs w:val="28"/>
        </w:rPr>
        <w:t>9</w:t>
      </w:r>
      <w:r w:rsidR="00E87B0C">
        <w:rPr>
          <w:color w:val="943634" w:themeColor="accent2" w:themeShade="BF"/>
          <w:sz w:val="28"/>
          <w:szCs w:val="28"/>
        </w:rPr>
        <w:t>, 201</w:t>
      </w:r>
      <w:r w:rsidR="00197A46">
        <w:rPr>
          <w:color w:val="943634" w:themeColor="accent2" w:themeShade="BF"/>
          <w:sz w:val="28"/>
          <w:szCs w:val="28"/>
        </w:rPr>
        <w:t>4</w:t>
      </w:r>
    </w:p>
    <w:p w:rsidR="00DD16E3" w:rsidRDefault="00DD16E3" w:rsidP="006A2FCB"/>
    <w:p w:rsidR="00DD16E3" w:rsidRDefault="00DD16E3" w:rsidP="006A2FCB"/>
    <w:p w:rsidR="00DD16E3" w:rsidRPr="00DD16E3" w:rsidRDefault="00DD16E3" w:rsidP="006A2FCB">
      <w:pPr>
        <w:rPr>
          <w:sz w:val="24"/>
          <w:szCs w:val="24"/>
        </w:rPr>
      </w:pPr>
    </w:p>
    <w:p w:rsidR="00DD16E3" w:rsidRPr="00DD16E3" w:rsidRDefault="00DD16E3" w:rsidP="006A2FCB">
      <w:pPr>
        <w:rPr>
          <w:sz w:val="24"/>
          <w:szCs w:val="24"/>
        </w:rPr>
      </w:pPr>
    </w:p>
    <w:p w:rsidR="006A2FCB" w:rsidRPr="00D26B13" w:rsidRDefault="00DD16E3" w:rsidP="00D26B13">
      <w:pPr>
        <w:rPr>
          <w:b/>
          <w:sz w:val="24"/>
        </w:rPr>
      </w:pPr>
      <w:r w:rsidRPr="00D26B13">
        <w:rPr>
          <w:b/>
          <w:sz w:val="24"/>
        </w:rPr>
        <w:t>Developed by t</w:t>
      </w:r>
      <w:r w:rsidR="006A2FCB" w:rsidRPr="00D26B13">
        <w:rPr>
          <w:b/>
          <w:sz w:val="24"/>
        </w:rPr>
        <w:t>he National Institute of Standards and Technology (NIST)</w:t>
      </w:r>
    </w:p>
    <w:p w:rsidR="00E87B0C" w:rsidRDefault="00E87B0C" w:rsidP="006A2FCB">
      <w:pPr>
        <w:rPr>
          <w:sz w:val="24"/>
          <w:szCs w:val="24"/>
        </w:rPr>
      </w:pPr>
    </w:p>
    <w:p w:rsidR="00E87B0C" w:rsidRDefault="00E87B0C" w:rsidP="006A2FCB">
      <w:pPr>
        <w:rPr>
          <w:sz w:val="24"/>
          <w:szCs w:val="24"/>
        </w:rPr>
      </w:pPr>
    </w:p>
    <w:p w:rsidR="006A2FCB" w:rsidRDefault="006A2FCB" w:rsidP="006A2FCB"/>
    <w:p w:rsidR="006A2FCB" w:rsidRDefault="006A2FCB" w:rsidP="006A2FCB"/>
    <w:p w:rsidR="00AB1006" w:rsidRDefault="00AB1006" w:rsidP="006A2FCB"/>
    <w:p w:rsidR="00AB1006" w:rsidRPr="00AB1006" w:rsidRDefault="00AB1006" w:rsidP="00AB1006">
      <w:pPr>
        <w:jc w:val="center"/>
        <w:rPr>
          <w:b/>
          <w:color w:val="FF0000"/>
          <w:sz w:val="36"/>
        </w:rPr>
        <w:sectPr w:rsidR="00AB1006" w:rsidRPr="00AB1006" w:rsidSect="005C1207">
          <w:headerReference w:type="default" r:id="rId9"/>
          <w:footerReference w:type="even" r:id="rId10"/>
          <w:footerReference w:type="default" r:id="rId11"/>
          <w:headerReference w:type="first" r:id="rId12"/>
          <w:pgSz w:w="12240" w:h="15840" w:code="1"/>
          <w:pgMar w:top="3600" w:right="1440" w:bottom="1440" w:left="1440" w:header="720" w:footer="720" w:gutter="0"/>
          <w:cols w:space="720"/>
          <w:titlePg/>
          <w:docGrid w:linePitch="360"/>
        </w:sectPr>
      </w:pPr>
      <w:r w:rsidRPr="00AB1006">
        <w:rPr>
          <w:b/>
          <w:color w:val="FF0000"/>
          <w:sz w:val="36"/>
        </w:rPr>
        <w:t xml:space="preserve"> </w:t>
      </w:r>
    </w:p>
    <w:p w:rsidR="00CF2AE7" w:rsidRDefault="00CF2AE7" w:rsidP="00CF2AE7">
      <w:pPr>
        <w:spacing w:line="240" w:lineRule="atLeast"/>
        <w:jc w:val="center"/>
        <w:rPr>
          <w:rFonts w:cs="Arial"/>
          <w:b/>
          <w:bCs/>
          <w:kern w:val="36"/>
          <w:sz w:val="24"/>
          <w:szCs w:val="24"/>
        </w:rPr>
      </w:pPr>
      <w:bookmarkStart w:id="0" w:name="The_Message_Validation_Context_for_V2_me"/>
      <w:bookmarkEnd w:id="0"/>
      <w:r>
        <w:rPr>
          <w:rFonts w:cs="Arial"/>
          <w:b/>
          <w:bCs/>
          <w:kern w:val="36"/>
          <w:sz w:val="24"/>
          <w:szCs w:val="24"/>
        </w:rPr>
        <w:lastRenderedPageBreak/>
        <w:t>Quick Guide</w:t>
      </w:r>
    </w:p>
    <w:p w:rsidR="00CF2AE7" w:rsidRDefault="00CF2AE7" w:rsidP="00CF2AE7">
      <w:pPr>
        <w:spacing w:line="240" w:lineRule="atLeast"/>
        <w:jc w:val="center"/>
        <w:rPr>
          <w:rFonts w:cs="Arial"/>
          <w:b/>
          <w:bCs/>
          <w:kern w:val="36"/>
          <w:sz w:val="24"/>
          <w:szCs w:val="24"/>
        </w:rPr>
      </w:pPr>
      <w:r w:rsidRPr="00811D6E">
        <w:rPr>
          <w:rFonts w:cs="Arial"/>
          <w:b/>
          <w:bCs/>
          <w:kern w:val="36"/>
          <w:sz w:val="24"/>
          <w:szCs w:val="24"/>
        </w:rPr>
        <w:t xml:space="preserve">How to Interpret </w:t>
      </w:r>
      <w:r>
        <w:rPr>
          <w:rFonts w:cs="Arial"/>
          <w:b/>
          <w:bCs/>
          <w:kern w:val="36"/>
          <w:sz w:val="24"/>
          <w:szCs w:val="24"/>
        </w:rPr>
        <w:t xml:space="preserve">Validation </w:t>
      </w:r>
      <w:r w:rsidRPr="00811D6E">
        <w:rPr>
          <w:rFonts w:cs="Arial"/>
          <w:b/>
          <w:bCs/>
          <w:kern w:val="36"/>
          <w:sz w:val="24"/>
          <w:szCs w:val="24"/>
        </w:rPr>
        <w:t>Error</w:t>
      </w:r>
      <w:r>
        <w:rPr>
          <w:rFonts w:cs="Arial"/>
          <w:b/>
          <w:bCs/>
          <w:kern w:val="36"/>
          <w:sz w:val="24"/>
          <w:szCs w:val="24"/>
        </w:rPr>
        <w:t xml:space="preserve"> Information in a NIST</w:t>
      </w:r>
      <w:r w:rsidRPr="00811D6E">
        <w:rPr>
          <w:rFonts w:cs="Arial"/>
          <w:b/>
          <w:bCs/>
          <w:kern w:val="36"/>
          <w:sz w:val="24"/>
          <w:szCs w:val="24"/>
        </w:rPr>
        <w:t xml:space="preserve"> HL7 V2 </w:t>
      </w:r>
      <w:r>
        <w:rPr>
          <w:rFonts w:cs="Arial"/>
          <w:b/>
          <w:bCs/>
          <w:kern w:val="36"/>
          <w:sz w:val="24"/>
          <w:szCs w:val="24"/>
        </w:rPr>
        <w:t>Test Tool</w:t>
      </w:r>
    </w:p>
    <w:p w:rsidR="00CF2AE7" w:rsidRDefault="00CF2AE7" w:rsidP="00CF2AE7">
      <w:pPr>
        <w:shd w:val="clear" w:color="auto" w:fill="FFFFFF"/>
        <w:spacing w:line="240" w:lineRule="atLeast"/>
        <w:textAlignment w:val="top"/>
        <w:rPr>
          <w:rFonts w:cs="Arial"/>
        </w:rPr>
      </w:pPr>
      <w:bookmarkStart w:id="1" w:name="Error_Interpretation"/>
      <w:bookmarkEnd w:id="1"/>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r>
        <w:rPr>
          <w:rFonts w:cs="Arial"/>
        </w:rPr>
        <w:t xml:space="preserve">When a NIST HL7 V2 Test Tool validates a test message, the test tool produces error notifications to indicate where the message is non-conformant to the conformance profile as defined by the particular implementation/messaging guide. </w:t>
      </w:r>
      <w:r w:rsidRPr="00B4565F">
        <w:rPr>
          <w:rFonts w:cs="Arial"/>
          <w:b/>
        </w:rPr>
        <w:t>Figure 1</w:t>
      </w:r>
      <w:r>
        <w:rPr>
          <w:rFonts w:cs="Arial"/>
        </w:rPr>
        <w:t xml:space="preserve"> illustrates the validation process and describes the features available within the NIST Test Tools to assist the user with interpretation and correction of errors in a test message.</w:t>
      </w:r>
      <w:bookmarkStart w:id="2" w:name="_GoBack"/>
      <w:bookmarkEnd w:id="2"/>
    </w:p>
    <w:p w:rsidR="00CF2AE7" w:rsidRDefault="00CF2AE7" w:rsidP="00CF2AE7">
      <w:pPr>
        <w:shd w:val="clear" w:color="auto" w:fill="FFFFFF"/>
        <w:spacing w:line="240" w:lineRule="atLeast"/>
        <w:textAlignment w:val="top"/>
        <w:rPr>
          <w:rFonts w:cs="Arial"/>
        </w:rPr>
      </w:pPr>
    </w:p>
    <w:p w:rsidR="00CF2AE7" w:rsidRPr="00CF2AE7" w:rsidRDefault="00CF2AE7" w:rsidP="00CF2AE7">
      <w:pPr>
        <w:pStyle w:val="Caption"/>
        <w:rPr>
          <w:rFonts w:cs="Arial"/>
          <w:color w:val="4F81BD" w:themeColor="accent1"/>
          <w:sz w:val="20"/>
        </w:rPr>
      </w:pPr>
      <w:proofErr w:type="gramStart"/>
      <w:r w:rsidRPr="00CF2AE7">
        <w:rPr>
          <w:color w:val="4F81BD" w:themeColor="accent1"/>
        </w:rPr>
        <w:t xml:space="preserve">Figure </w:t>
      </w:r>
      <w:r w:rsidRPr="00CF2AE7">
        <w:rPr>
          <w:color w:val="4F81BD" w:themeColor="accent1"/>
        </w:rPr>
        <w:fldChar w:fldCharType="begin"/>
      </w:r>
      <w:r w:rsidRPr="00CF2AE7">
        <w:rPr>
          <w:color w:val="4F81BD" w:themeColor="accent1"/>
        </w:rPr>
        <w:instrText xml:space="preserve"> SEQ Figure \* ARABIC </w:instrText>
      </w:r>
      <w:r w:rsidRPr="00CF2AE7">
        <w:rPr>
          <w:color w:val="4F81BD" w:themeColor="accent1"/>
        </w:rPr>
        <w:fldChar w:fldCharType="separate"/>
      </w:r>
      <w:r w:rsidRPr="00CF2AE7">
        <w:rPr>
          <w:noProof/>
          <w:color w:val="4F81BD" w:themeColor="accent1"/>
        </w:rPr>
        <w:t>1</w:t>
      </w:r>
      <w:r w:rsidRPr="00CF2AE7">
        <w:rPr>
          <w:noProof/>
          <w:color w:val="4F81BD" w:themeColor="accent1"/>
        </w:rPr>
        <w:fldChar w:fldCharType="end"/>
      </w:r>
      <w:r w:rsidRPr="00CF2AE7">
        <w:rPr>
          <w:color w:val="4F81BD" w:themeColor="accent1"/>
        </w:rPr>
        <w:t>.</w:t>
      </w:r>
      <w:proofErr w:type="gramEnd"/>
      <w:r w:rsidRPr="00CF2AE7">
        <w:rPr>
          <w:color w:val="4F81BD" w:themeColor="accent1"/>
        </w:rPr>
        <w:t xml:space="preserve"> Overview of Validation Process and Interpretation of Errors</w:t>
      </w:r>
    </w:p>
    <w:p w:rsidR="00CF2AE7" w:rsidRDefault="00CF2AE7" w:rsidP="00CF2AE7">
      <w:pPr>
        <w:shd w:val="clear" w:color="auto" w:fill="FFFFFF"/>
        <w:spacing w:line="240" w:lineRule="atLeast"/>
        <w:jc w:val="center"/>
        <w:textAlignment w:val="top"/>
        <w:rPr>
          <w:rFonts w:cs="Arial"/>
        </w:rPr>
      </w:pPr>
      <w:r>
        <w:rPr>
          <w:noProof/>
        </w:rPr>
        <w:drawing>
          <wp:inline distT="0" distB="0" distL="0" distR="0" wp14:anchorId="3E823796" wp14:editId="249B4EE2">
            <wp:extent cx="5943600" cy="407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2255"/>
                    </a:xfrm>
                    <a:prstGeom prst="rect">
                      <a:avLst/>
                    </a:prstGeom>
                  </pic:spPr>
                </pic:pic>
              </a:graphicData>
            </a:graphic>
          </wp:inline>
        </w:drawing>
      </w:r>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r>
        <w:rPr>
          <w:rFonts w:cs="Arial"/>
        </w:rPr>
        <w:t xml:space="preserve">The error notifications are displayed immediately in the </w:t>
      </w:r>
      <w:r w:rsidRPr="006C5617">
        <w:rPr>
          <w:rFonts w:cs="Arial"/>
          <w:b/>
        </w:rPr>
        <w:t>Message Validation Result</w:t>
      </w:r>
      <w:r>
        <w:rPr>
          <w:rFonts w:cs="Arial"/>
        </w:rPr>
        <w:t xml:space="preserve"> section of the Validation window in the test tool.</w:t>
      </w:r>
      <w:r w:rsidRPr="00574868">
        <w:rPr>
          <w:rFonts w:cs="Arial"/>
          <w:b/>
        </w:rPr>
        <w:t xml:space="preserve"> Figure </w:t>
      </w:r>
      <w:r>
        <w:rPr>
          <w:rFonts w:cs="Arial"/>
          <w:b/>
        </w:rPr>
        <w:t>2</w:t>
      </w:r>
      <w:r w:rsidRPr="00574868">
        <w:rPr>
          <w:rFonts w:cs="Arial"/>
          <w:b/>
        </w:rPr>
        <w:t xml:space="preserve"> </w:t>
      </w:r>
      <w:r>
        <w:rPr>
          <w:rFonts w:cs="Arial"/>
        </w:rPr>
        <w:t>shows the Validation window in which an example invalid Lab Result Interface (LRI) message displays in the Message Content section, and the associated errors display in the Message Validation Result section.</w:t>
      </w:r>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p>
    <w:p w:rsidR="00CF2AE7" w:rsidRDefault="00CF2AE7" w:rsidP="00CF2AE7">
      <w:pPr>
        <w:shd w:val="clear" w:color="auto" w:fill="FFFFFF"/>
        <w:spacing w:line="240" w:lineRule="atLeast"/>
        <w:jc w:val="both"/>
        <w:textAlignment w:val="top"/>
        <w:rPr>
          <w:rFonts w:cs="Arial"/>
        </w:rPr>
      </w:pPr>
    </w:p>
    <w:p w:rsidR="00CF2AE7" w:rsidRDefault="00CF2AE7" w:rsidP="00CF2AE7">
      <w:pPr>
        <w:rPr>
          <w:b/>
          <w:bCs/>
          <w:color w:val="4F81BD" w:themeColor="accent1"/>
          <w:sz w:val="18"/>
          <w:szCs w:val="18"/>
        </w:rPr>
      </w:pPr>
      <w:r>
        <w:br w:type="page"/>
      </w:r>
    </w:p>
    <w:p w:rsidR="00CF2AE7" w:rsidRPr="00CF2AE7" w:rsidRDefault="00CF2AE7" w:rsidP="00CF2AE7">
      <w:pPr>
        <w:pStyle w:val="Caption"/>
        <w:rPr>
          <w:rFonts w:cs="Arial"/>
          <w:color w:val="4F81BD" w:themeColor="accent1"/>
          <w:sz w:val="20"/>
        </w:rPr>
      </w:pPr>
      <w:proofErr w:type="gramStart"/>
      <w:r w:rsidRPr="00CF2AE7">
        <w:rPr>
          <w:color w:val="4F81BD" w:themeColor="accent1"/>
        </w:rPr>
        <w:lastRenderedPageBreak/>
        <w:t xml:space="preserve">Figure </w:t>
      </w:r>
      <w:r w:rsidRPr="00CF2AE7">
        <w:rPr>
          <w:color w:val="4F81BD" w:themeColor="accent1"/>
        </w:rPr>
        <w:fldChar w:fldCharType="begin"/>
      </w:r>
      <w:r w:rsidRPr="00CF2AE7">
        <w:rPr>
          <w:color w:val="4F81BD" w:themeColor="accent1"/>
        </w:rPr>
        <w:instrText xml:space="preserve"> SEQ Figure \* ARABIC </w:instrText>
      </w:r>
      <w:r w:rsidRPr="00CF2AE7">
        <w:rPr>
          <w:color w:val="4F81BD" w:themeColor="accent1"/>
        </w:rPr>
        <w:fldChar w:fldCharType="separate"/>
      </w:r>
      <w:r w:rsidRPr="00CF2AE7">
        <w:rPr>
          <w:noProof/>
          <w:color w:val="4F81BD" w:themeColor="accent1"/>
        </w:rPr>
        <w:t>2</w:t>
      </w:r>
      <w:r w:rsidRPr="00CF2AE7">
        <w:rPr>
          <w:noProof/>
          <w:color w:val="4F81BD" w:themeColor="accent1"/>
        </w:rPr>
        <w:fldChar w:fldCharType="end"/>
      </w:r>
      <w:r w:rsidRPr="00CF2AE7">
        <w:rPr>
          <w:color w:val="4F81BD" w:themeColor="accent1"/>
        </w:rPr>
        <w:t>.</w:t>
      </w:r>
      <w:proofErr w:type="gramEnd"/>
      <w:r w:rsidRPr="00CF2AE7">
        <w:rPr>
          <w:color w:val="4F81BD" w:themeColor="accent1"/>
        </w:rPr>
        <w:t xml:space="preserve"> Example Invalid LRI Message and Message Validation Result</w:t>
      </w:r>
    </w:p>
    <w:p w:rsidR="00CF2AE7" w:rsidRDefault="00CF2AE7" w:rsidP="00CF2AE7">
      <w:pPr>
        <w:jc w:val="center"/>
        <w:rPr>
          <w:rFonts w:cs="Arial"/>
        </w:rPr>
      </w:pPr>
      <w:r>
        <w:rPr>
          <w:noProof/>
        </w:rPr>
        <w:drawing>
          <wp:inline distT="0" distB="0" distL="0" distR="0" wp14:anchorId="20A26A7B" wp14:editId="11DBA7AF">
            <wp:extent cx="5943600" cy="3732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32530"/>
                    </a:xfrm>
                    <a:prstGeom prst="rect">
                      <a:avLst/>
                    </a:prstGeom>
                  </pic:spPr>
                </pic:pic>
              </a:graphicData>
            </a:graphic>
          </wp:inline>
        </w:drawing>
      </w:r>
    </w:p>
    <w:p w:rsidR="00CF2AE7" w:rsidRDefault="00CF2AE7" w:rsidP="00CF2AE7">
      <w:pPr>
        <w:spacing w:line="240" w:lineRule="atLeast"/>
        <w:jc w:val="both"/>
        <w:rPr>
          <w:rFonts w:cs="Arial"/>
        </w:rPr>
      </w:pPr>
      <w:r w:rsidRPr="006A3A0D">
        <w:rPr>
          <w:rFonts w:cs="Arial"/>
          <w:b/>
        </w:rPr>
        <w:t xml:space="preserve">Figure </w:t>
      </w:r>
      <w:r>
        <w:rPr>
          <w:rFonts w:cs="Arial"/>
          <w:b/>
        </w:rPr>
        <w:t>3</w:t>
      </w:r>
      <w:r w:rsidRPr="006A3A0D">
        <w:rPr>
          <w:rFonts w:cs="Arial"/>
          <w:b/>
        </w:rPr>
        <w:t xml:space="preserve"> </w:t>
      </w:r>
      <w:r w:rsidRPr="006A3A0D">
        <w:rPr>
          <w:rFonts w:cs="Arial"/>
        </w:rPr>
        <w:t xml:space="preserve">shows </w:t>
      </w:r>
      <w:r>
        <w:rPr>
          <w:rFonts w:cs="Arial"/>
        </w:rPr>
        <w:t xml:space="preserve">details of </w:t>
      </w:r>
      <w:r w:rsidRPr="006A3A0D">
        <w:rPr>
          <w:rFonts w:cs="Arial"/>
        </w:rPr>
        <w:t xml:space="preserve">the </w:t>
      </w:r>
      <w:r>
        <w:rPr>
          <w:rFonts w:cs="Arial"/>
        </w:rPr>
        <w:t xml:space="preserve">two </w:t>
      </w:r>
      <w:r w:rsidRPr="006A3A0D">
        <w:rPr>
          <w:rFonts w:cs="Arial"/>
        </w:rPr>
        <w:t>error notification</w:t>
      </w:r>
      <w:r>
        <w:rPr>
          <w:rFonts w:cs="Arial"/>
        </w:rPr>
        <w:t>s</w:t>
      </w:r>
      <w:r w:rsidRPr="006A3A0D">
        <w:rPr>
          <w:rFonts w:cs="Arial"/>
        </w:rPr>
        <w:t xml:space="preserve"> from the example validation illustrated in </w:t>
      </w:r>
      <w:r w:rsidRPr="006A3A0D">
        <w:rPr>
          <w:rFonts w:cs="Arial"/>
          <w:b/>
        </w:rPr>
        <w:t xml:space="preserve">Figure </w:t>
      </w:r>
      <w:r>
        <w:rPr>
          <w:rFonts w:cs="Arial"/>
          <w:b/>
        </w:rPr>
        <w:t>2</w:t>
      </w:r>
      <w:r w:rsidRPr="006A3A0D">
        <w:rPr>
          <w:rFonts w:cs="Arial"/>
        </w:rPr>
        <w:t xml:space="preserve">. </w:t>
      </w:r>
    </w:p>
    <w:p w:rsidR="00CF2AE7" w:rsidRPr="00F57EA4" w:rsidRDefault="00CF2AE7" w:rsidP="00CF2AE7">
      <w:pPr>
        <w:jc w:val="both"/>
        <w:rPr>
          <w:rFonts w:cs="Arial"/>
        </w:rPr>
      </w:pPr>
    </w:p>
    <w:p w:rsidR="00CF2AE7" w:rsidRPr="00CF2AE7" w:rsidRDefault="00CF2AE7" w:rsidP="00CF2AE7">
      <w:pPr>
        <w:pStyle w:val="Caption"/>
        <w:rPr>
          <w:rFonts w:cs="Arial"/>
          <w:color w:val="4F81BD" w:themeColor="accent1"/>
          <w:sz w:val="20"/>
        </w:rPr>
      </w:pPr>
      <w:proofErr w:type="gramStart"/>
      <w:r w:rsidRPr="00CF2AE7">
        <w:rPr>
          <w:color w:val="4F81BD" w:themeColor="accent1"/>
        </w:rPr>
        <w:t xml:space="preserve">Figure </w:t>
      </w:r>
      <w:r w:rsidRPr="00CF2AE7">
        <w:rPr>
          <w:color w:val="4F81BD" w:themeColor="accent1"/>
        </w:rPr>
        <w:fldChar w:fldCharType="begin"/>
      </w:r>
      <w:r w:rsidRPr="00CF2AE7">
        <w:rPr>
          <w:color w:val="4F81BD" w:themeColor="accent1"/>
        </w:rPr>
        <w:instrText xml:space="preserve"> SEQ Figure \* ARABIC </w:instrText>
      </w:r>
      <w:r w:rsidRPr="00CF2AE7">
        <w:rPr>
          <w:color w:val="4F81BD" w:themeColor="accent1"/>
        </w:rPr>
        <w:fldChar w:fldCharType="separate"/>
      </w:r>
      <w:r w:rsidRPr="00CF2AE7">
        <w:rPr>
          <w:noProof/>
          <w:color w:val="4F81BD" w:themeColor="accent1"/>
        </w:rPr>
        <w:t>3</w:t>
      </w:r>
      <w:r w:rsidRPr="00CF2AE7">
        <w:rPr>
          <w:noProof/>
          <w:color w:val="4F81BD" w:themeColor="accent1"/>
        </w:rPr>
        <w:fldChar w:fldCharType="end"/>
      </w:r>
      <w:r w:rsidRPr="00CF2AE7">
        <w:rPr>
          <w:color w:val="4F81BD" w:themeColor="accent1"/>
        </w:rPr>
        <w:t>.</w:t>
      </w:r>
      <w:proofErr w:type="gramEnd"/>
      <w:r w:rsidRPr="00CF2AE7">
        <w:rPr>
          <w:color w:val="4F81BD" w:themeColor="accent1"/>
        </w:rPr>
        <w:t xml:space="preserve"> Display of Error Notifications in the Message Validation Result</w:t>
      </w:r>
    </w:p>
    <w:p w:rsidR="00CF2AE7" w:rsidRDefault="00CF2AE7" w:rsidP="00CF2AE7">
      <w:pPr>
        <w:spacing w:line="240" w:lineRule="atLeast"/>
        <w:jc w:val="both"/>
        <w:rPr>
          <w:rFonts w:cs="Arial"/>
        </w:rPr>
      </w:pPr>
      <w:r>
        <w:rPr>
          <w:noProof/>
        </w:rPr>
        <w:drawing>
          <wp:inline distT="0" distB="0" distL="0" distR="0" wp14:anchorId="79E55390" wp14:editId="6DC3A782">
            <wp:extent cx="5943600" cy="791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91845"/>
                    </a:xfrm>
                    <a:prstGeom prst="rect">
                      <a:avLst/>
                    </a:prstGeom>
                  </pic:spPr>
                </pic:pic>
              </a:graphicData>
            </a:graphic>
          </wp:inline>
        </w:drawing>
      </w:r>
    </w:p>
    <w:p w:rsidR="00CF2AE7" w:rsidRDefault="00CF2AE7" w:rsidP="00CF2AE7">
      <w:pPr>
        <w:spacing w:line="240" w:lineRule="atLeast"/>
        <w:jc w:val="both"/>
        <w:rPr>
          <w:rFonts w:cs="Arial"/>
        </w:rPr>
      </w:pPr>
    </w:p>
    <w:p w:rsidR="00CF2AE7" w:rsidRPr="006A3A0D" w:rsidRDefault="00CF2AE7" w:rsidP="00CF2AE7">
      <w:pPr>
        <w:pStyle w:val="ListParagraph"/>
        <w:numPr>
          <w:ilvl w:val="0"/>
          <w:numId w:val="28"/>
        </w:numPr>
        <w:autoSpaceDE/>
        <w:autoSpaceDN/>
        <w:adjustRightInd/>
        <w:spacing w:line="240" w:lineRule="atLeast"/>
        <w:ind w:left="720"/>
        <w:jc w:val="both"/>
        <w:rPr>
          <w:rFonts w:ascii="Arial" w:eastAsia="Times New Roman" w:hAnsi="Arial" w:cs="Arial"/>
          <w:b/>
          <w:sz w:val="20"/>
          <w:szCs w:val="20"/>
        </w:rPr>
      </w:pPr>
      <w:r w:rsidRPr="006A3A0D">
        <w:rPr>
          <w:rFonts w:ascii="Arial" w:eastAsia="Times New Roman" w:hAnsi="Arial" w:cs="Arial"/>
          <w:sz w:val="20"/>
          <w:szCs w:val="20"/>
        </w:rPr>
        <w:t>The first error</w:t>
      </w:r>
      <w:r>
        <w:rPr>
          <w:rFonts w:ascii="Arial" w:eastAsia="Times New Roman" w:hAnsi="Arial" w:cs="Arial"/>
          <w:sz w:val="20"/>
          <w:szCs w:val="20"/>
        </w:rPr>
        <w:t xml:space="preserve"> notification </w:t>
      </w:r>
      <w:r w:rsidRPr="006A3A0D">
        <w:rPr>
          <w:rFonts w:ascii="Arial" w:eastAsia="Times New Roman" w:hAnsi="Arial" w:cs="Arial"/>
          <w:sz w:val="20"/>
          <w:szCs w:val="20"/>
        </w:rPr>
        <w:t xml:space="preserve">tells the user that the data value “B” </w:t>
      </w:r>
      <w:r>
        <w:rPr>
          <w:rFonts w:ascii="Arial" w:eastAsia="Times New Roman" w:hAnsi="Arial" w:cs="Arial"/>
          <w:sz w:val="20"/>
          <w:szCs w:val="20"/>
        </w:rPr>
        <w:t>at</w:t>
      </w:r>
      <w:r w:rsidRPr="006A3A0D">
        <w:rPr>
          <w:rFonts w:ascii="Arial" w:eastAsia="Times New Roman" w:hAnsi="Arial" w:cs="Arial"/>
          <w:sz w:val="20"/>
          <w:szCs w:val="20"/>
        </w:rPr>
        <w:t xml:space="preserve"> Location PID</w:t>
      </w:r>
      <w:r>
        <w:rPr>
          <w:rFonts w:ascii="Arial" w:eastAsia="Times New Roman" w:hAnsi="Arial" w:cs="Arial"/>
          <w:sz w:val="20"/>
          <w:szCs w:val="20"/>
        </w:rPr>
        <w:t>[1]</w:t>
      </w:r>
      <w:r w:rsidRPr="006A3A0D">
        <w:rPr>
          <w:rFonts w:ascii="Arial" w:eastAsia="Times New Roman" w:hAnsi="Arial" w:cs="Arial"/>
          <w:sz w:val="20"/>
          <w:szCs w:val="20"/>
        </w:rPr>
        <w:t>.8</w:t>
      </w:r>
      <w:r>
        <w:rPr>
          <w:rFonts w:ascii="Arial" w:eastAsia="Times New Roman" w:hAnsi="Arial" w:cs="Arial"/>
          <w:sz w:val="20"/>
          <w:szCs w:val="20"/>
        </w:rPr>
        <w:t>[1] in the message (i.e., the first instance of the eighth data element in the first PID segment in the message),</w:t>
      </w:r>
      <w:r w:rsidRPr="006A3A0D">
        <w:rPr>
          <w:rFonts w:ascii="Arial" w:eastAsia="Times New Roman" w:hAnsi="Arial" w:cs="Arial"/>
          <w:sz w:val="20"/>
          <w:szCs w:val="20"/>
        </w:rPr>
        <w:t xml:space="preserve"> and on Line 2/Column 100 </w:t>
      </w:r>
      <w:r>
        <w:rPr>
          <w:rFonts w:ascii="Arial" w:eastAsia="Times New Roman" w:hAnsi="Arial" w:cs="Arial"/>
          <w:sz w:val="20"/>
          <w:szCs w:val="20"/>
        </w:rPr>
        <w:t>o</w:t>
      </w:r>
      <w:r w:rsidRPr="006A3A0D">
        <w:rPr>
          <w:rFonts w:ascii="Arial" w:eastAsia="Times New Roman" w:hAnsi="Arial" w:cs="Arial"/>
          <w:sz w:val="20"/>
          <w:szCs w:val="20"/>
        </w:rPr>
        <w:t>f the Message Content window</w:t>
      </w:r>
      <w:r>
        <w:rPr>
          <w:rFonts w:ascii="Arial" w:eastAsia="Times New Roman" w:hAnsi="Arial" w:cs="Arial"/>
          <w:sz w:val="20"/>
          <w:szCs w:val="20"/>
        </w:rPr>
        <w:t>,</w:t>
      </w:r>
      <w:r w:rsidRPr="006A3A0D">
        <w:rPr>
          <w:rFonts w:ascii="Arial" w:eastAsia="Times New Roman" w:hAnsi="Arial" w:cs="Arial"/>
          <w:sz w:val="20"/>
          <w:szCs w:val="20"/>
        </w:rPr>
        <w:t xml:space="preserve"> is an error because “B” is not </w:t>
      </w:r>
      <w:r>
        <w:rPr>
          <w:rFonts w:ascii="Arial" w:eastAsia="Times New Roman" w:hAnsi="Arial" w:cs="Arial"/>
          <w:sz w:val="20"/>
          <w:szCs w:val="20"/>
        </w:rPr>
        <w:t xml:space="preserve">included in table ‘0001’, which is </w:t>
      </w:r>
      <w:r w:rsidRPr="006A3A0D">
        <w:rPr>
          <w:rFonts w:ascii="Arial" w:hAnsi="Arial" w:cs="Arial"/>
          <w:sz w:val="20"/>
          <w:szCs w:val="20"/>
        </w:rPr>
        <w:t xml:space="preserve">the allowable vocabulary for the </w:t>
      </w:r>
      <w:r>
        <w:rPr>
          <w:rFonts w:ascii="Arial" w:hAnsi="Arial" w:cs="Arial"/>
          <w:sz w:val="20"/>
          <w:szCs w:val="20"/>
        </w:rPr>
        <w:t xml:space="preserve">data </w:t>
      </w:r>
      <w:r w:rsidRPr="006A3A0D">
        <w:rPr>
          <w:rFonts w:ascii="Arial" w:hAnsi="Arial" w:cs="Arial"/>
          <w:sz w:val="20"/>
          <w:szCs w:val="20"/>
        </w:rPr>
        <w:t>element</w:t>
      </w:r>
    </w:p>
    <w:p w:rsidR="00CF2AE7" w:rsidRPr="006A3A0D" w:rsidRDefault="00CF2AE7" w:rsidP="00CF2AE7">
      <w:pPr>
        <w:pStyle w:val="ListParagraph"/>
        <w:numPr>
          <w:ilvl w:val="0"/>
          <w:numId w:val="28"/>
        </w:numPr>
        <w:autoSpaceDE/>
        <w:autoSpaceDN/>
        <w:adjustRightInd/>
        <w:spacing w:line="240" w:lineRule="atLeast"/>
        <w:ind w:left="720"/>
        <w:jc w:val="both"/>
        <w:rPr>
          <w:rFonts w:ascii="Arial" w:eastAsia="Times New Roman" w:hAnsi="Arial" w:cs="Arial"/>
          <w:b/>
          <w:sz w:val="20"/>
          <w:szCs w:val="20"/>
        </w:rPr>
      </w:pPr>
      <w:r>
        <w:rPr>
          <w:rFonts w:ascii="Arial" w:hAnsi="Arial" w:cs="Arial"/>
          <w:sz w:val="20"/>
          <w:szCs w:val="20"/>
        </w:rPr>
        <w:t xml:space="preserve">The second error notification tells the user that the data value “SN” at Location OBX[1].2[1] in the message (i.e., the first instance of the second data element in the first OBX segment in the message), and on Line 7/Column 7 </w:t>
      </w:r>
      <w:r>
        <w:rPr>
          <w:rFonts w:ascii="Arial" w:eastAsia="Times New Roman" w:hAnsi="Arial" w:cs="Arial"/>
          <w:sz w:val="20"/>
          <w:szCs w:val="20"/>
        </w:rPr>
        <w:t>o</w:t>
      </w:r>
      <w:r w:rsidRPr="006A3A0D">
        <w:rPr>
          <w:rFonts w:ascii="Arial" w:eastAsia="Times New Roman" w:hAnsi="Arial" w:cs="Arial"/>
          <w:sz w:val="20"/>
          <w:szCs w:val="20"/>
        </w:rPr>
        <w:t>f the Message Content window</w:t>
      </w:r>
      <w:r>
        <w:rPr>
          <w:rFonts w:ascii="Arial" w:eastAsia="Times New Roman" w:hAnsi="Arial" w:cs="Arial"/>
          <w:sz w:val="20"/>
          <w:szCs w:val="20"/>
        </w:rPr>
        <w:t>,</w:t>
      </w:r>
      <w:r w:rsidRPr="006A3A0D">
        <w:rPr>
          <w:rFonts w:ascii="Arial" w:eastAsia="Times New Roman" w:hAnsi="Arial" w:cs="Arial"/>
          <w:sz w:val="20"/>
          <w:szCs w:val="20"/>
        </w:rPr>
        <w:t xml:space="preserve"> is </w:t>
      </w:r>
      <w:r>
        <w:rPr>
          <w:rFonts w:ascii="Arial" w:eastAsia="Times New Roman" w:hAnsi="Arial" w:cs="Arial"/>
          <w:sz w:val="20"/>
          <w:szCs w:val="20"/>
        </w:rPr>
        <w:t>supposed to be</w:t>
      </w:r>
      <w:r w:rsidRPr="006A3A0D">
        <w:rPr>
          <w:rFonts w:ascii="Arial" w:eastAsia="Times New Roman" w:hAnsi="Arial" w:cs="Arial"/>
          <w:sz w:val="20"/>
          <w:szCs w:val="20"/>
        </w:rPr>
        <w:t xml:space="preserve"> “</w:t>
      </w:r>
      <w:r>
        <w:rPr>
          <w:rFonts w:ascii="Arial" w:eastAsia="Times New Roman" w:hAnsi="Arial" w:cs="Arial"/>
          <w:sz w:val="20"/>
          <w:szCs w:val="20"/>
        </w:rPr>
        <w:t>NM</w:t>
      </w:r>
      <w:r w:rsidRPr="006A3A0D">
        <w:rPr>
          <w:rFonts w:ascii="Arial" w:eastAsia="Times New Roman" w:hAnsi="Arial" w:cs="Arial"/>
          <w:sz w:val="20"/>
          <w:szCs w:val="20"/>
        </w:rPr>
        <w:t xml:space="preserve">” </w:t>
      </w:r>
    </w:p>
    <w:p w:rsidR="00CF2AE7" w:rsidRDefault="00CF2AE7" w:rsidP="00CF2AE7">
      <w:pPr>
        <w:spacing w:line="240" w:lineRule="atLeast"/>
        <w:jc w:val="both"/>
        <w:rPr>
          <w:rFonts w:cs="Arial"/>
        </w:rPr>
      </w:pPr>
    </w:p>
    <w:p w:rsidR="00CF2AE7" w:rsidRDefault="00CF2AE7" w:rsidP="00CF2AE7">
      <w:pPr>
        <w:spacing w:line="240" w:lineRule="atLeast"/>
        <w:jc w:val="both"/>
        <w:rPr>
          <w:rFonts w:cs="Arial"/>
        </w:rPr>
      </w:pPr>
      <w:r>
        <w:rPr>
          <w:rFonts w:cs="Arial"/>
        </w:rPr>
        <w:t xml:space="preserve">The Location format for the information provided in an error notification </w:t>
      </w:r>
      <w:r w:rsidRPr="009C6995">
        <w:rPr>
          <w:rFonts w:cs="Arial"/>
        </w:rPr>
        <w:t>is “</w:t>
      </w:r>
      <w:proofErr w:type="gramStart"/>
      <w:r w:rsidRPr="009C6995">
        <w:rPr>
          <w:rFonts w:cs="Arial"/>
        </w:rPr>
        <w:t>SSS[</w:t>
      </w:r>
      <w:proofErr w:type="gramEnd"/>
      <w:r w:rsidRPr="009C6995">
        <w:rPr>
          <w:rFonts w:cs="Arial"/>
        </w:rPr>
        <w:t>n</w:t>
      </w:r>
      <w:r w:rsidRPr="009C6995">
        <w:rPr>
          <w:rFonts w:cs="Arial"/>
          <w:vertAlign w:val="superscript"/>
        </w:rPr>
        <w:t>1</w:t>
      </w:r>
      <w:r w:rsidRPr="009C6995">
        <w:rPr>
          <w:rFonts w:cs="Arial"/>
        </w:rPr>
        <w:t>].N</w:t>
      </w:r>
      <w:r w:rsidRPr="009C6995">
        <w:rPr>
          <w:rFonts w:cs="Arial"/>
          <w:vertAlign w:val="superscript"/>
        </w:rPr>
        <w:t>1</w:t>
      </w:r>
      <w:r w:rsidRPr="009C6995">
        <w:rPr>
          <w:rFonts w:cs="Arial"/>
        </w:rPr>
        <w:t>[n</w:t>
      </w:r>
      <w:r w:rsidRPr="009C6995">
        <w:rPr>
          <w:rFonts w:cs="Arial"/>
          <w:vertAlign w:val="superscript"/>
        </w:rPr>
        <w:t>2</w:t>
      </w:r>
      <w:r w:rsidRPr="009C6995">
        <w:rPr>
          <w:rFonts w:cs="Arial"/>
        </w:rPr>
        <w:t>].N</w:t>
      </w:r>
      <w:r w:rsidRPr="009C6995">
        <w:rPr>
          <w:rFonts w:cs="Arial"/>
          <w:vertAlign w:val="superscript"/>
        </w:rPr>
        <w:t>2</w:t>
      </w:r>
      <w:r>
        <w:rPr>
          <w:rFonts w:cs="Arial"/>
        </w:rPr>
        <w:t>.N</w:t>
      </w:r>
      <w:r>
        <w:rPr>
          <w:rFonts w:cs="Arial"/>
          <w:vertAlign w:val="superscript"/>
        </w:rPr>
        <w:t>3</w:t>
      </w:r>
      <w:r>
        <w:rPr>
          <w:rFonts w:cs="Arial"/>
        </w:rPr>
        <w:t>”. An example would be “</w:t>
      </w:r>
      <w:proofErr w:type="gramStart"/>
      <w:r>
        <w:rPr>
          <w:rFonts w:cs="Arial"/>
        </w:rPr>
        <w:t>OBX[</w:t>
      </w:r>
      <w:proofErr w:type="gramEnd"/>
      <w:r>
        <w:rPr>
          <w:rFonts w:cs="Arial"/>
        </w:rPr>
        <w:t>6].5[2].1”, which indicates that the Location of the error is in the first component of the second instance of the fifth data element in the sixth OBX segment in the message.</w:t>
      </w:r>
    </w:p>
    <w:p w:rsidR="00CF2AE7" w:rsidRDefault="00CF2AE7" w:rsidP="00CF2AE7">
      <w:pPr>
        <w:spacing w:line="240" w:lineRule="atLeast"/>
        <w:jc w:val="both"/>
        <w:rPr>
          <w:rFonts w:cs="Arial"/>
        </w:rPr>
      </w:pPr>
    </w:p>
    <w:p w:rsidR="00CF2AE7" w:rsidRDefault="00CF2AE7" w:rsidP="00CF2AE7">
      <w:pPr>
        <w:spacing w:line="240" w:lineRule="atLeast"/>
        <w:jc w:val="both"/>
        <w:rPr>
          <w:rFonts w:cs="Arial"/>
        </w:rPr>
      </w:pPr>
      <w:r w:rsidRPr="007B442A">
        <w:rPr>
          <w:rFonts w:cs="Arial"/>
          <w:b/>
        </w:rPr>
        <w:t xml:space="preserve">Table </w:t>
      </w:r>
      <w:r>
        <w:rPr>
          <w:rFonts w:cs="Arial"/>
          <w:b/>
        </w:rPr>
        <w:t xml:space="preserve">1 </w:t>
      </w:r>
      <w:r w:rsidRPr="008310A7">
        <w:rPr>
          <w:rFonts w:cs="Arial"/>
        </w:rPr>
        <w:t>shows</w:t>
      </w:r>
      <w:r>
        <w:rPr>
          <w:rFonts w:cs="Arial"/>
        </w:rPr>
        <w:t xml:space="preserve"> examples of data elements, components, and sub-components from a PID segment; and </w:t>
      </w:r>
      <w:r w:rsidRPr="008970E4">
        <w:rPr>
          <w:rFonts w:cs="Arial"/>
          <w:b/>
        </w:rPr>
        <w:t>Table 2</w:t>
      </w:r>
      <w:r w:rsidRPr="008310A7">
        <w:rPr>
          <w:rFonts w:cs="Arial"/>
        </w:rPr>
        <w:t xml:space="preserve"> illustrates how </w:t>
      </w:r>
      <w:r>
        <w:rPr>
          <w:rFonts w:cs="Arial"/>
        </w:rPr>
        <w:t>the</w:t>
      </w:r>
      <w:r w:rsidRPr="008310A7">
        <w:rPr>
          <w:rFonts w:cs="Arial"/>
        </w:rPr>
        <w:t xml:space="preserve"> </w:t>
      </w:r>
      <w:r>
        <w:rPr>
          <w:rFonts w:cs="Arial"/>
        </w:rPr>
        <w:t xml:space="preserve">Location </w:t>
      </w:r>
      <w:r w:rsidRPr="008310A7">
        <w:rPr>
          <w:rFonts w:cs="Arial"/>
        </w:rPr>
        <w:t xml:space="preserve">format </w:t>
      </w:r>
      <w:r>
        <w:rPr>
          <w:rFonts w:cs="Arial"/>
        </w:rPr>
        <w:t xml:space="preserve">would be </w:t>
      </w:r>
      <w:r w:rsidRPr="008310A7">
        <w:rPr>
          <w:rFonts w:cs="Arial"/>
        </w:rPr>
        <w:t>applie</w:t>
      </w:r>
      <w:r>
        <w:rPr>
          <w:rFonts w:cs="Arial"/>
        </w:rPr>
        <w:t xml:space="preserve">d if the error occurred in the first sub-component of the fourth component of the second instance of the third data element of the PID segment in a message – which would appear as </w:t>
      </w:r>
      <w:r w:rsidRPr="008310A7">
        <w:rPr>
          <w:rFonts w:cs="Arial"/>
        </w:rPr>
        <w:t>“</w:t>
      </w:r>
      <w:proofErr w:type="gramStart"/>
      <w:r w:rsidRPr="008310A7">
        <w:rPr>
          <w:rFonts w:cs="Arial"/>
        </w:rPr>
        <w:t>PID[</w:t>
      </w:r>
      <w:proofErr w:type="gramEnd"/>
      <w:r w:rsidRPr="008310A7">
        <w:rPr>
          <w:rFonts w:cs="Arial"/>
        </w:rPr>
        <w:t>1].</w:t>
      </w:r>
      <w:r>
        <w:rPr>
          <w:rFonts w:cs="Arial"/>
        </w:rPr>
        <w:t>3</w:t>
      </w:r>
      <w:r w:rsidRPr="008310A7">
        <w:rPr>
          <w:rFonts w:cs="Arial"/>
        </w:rPr>
        <w:t>[</w:t>
      </w:r>
      <w:r>
        <w:rPr>
          <w:rFonts w:cs="Arial"/>
        </w:rPr>
        <w:t>2</w:t>
      </w:r>
      <w:r w:rsidRPr="008310A7">
        <w:rPr>
          <w:rFonts w:cs="Arial"/>
        </w:rPr>
        <w:t>].</w:t>
      </w:r>
      <w:r>
        <w:rPr>
          <w:rFonts w:cs="Arial"/>
        </w:rPr>
        <w:t>4</w:t>
      </w:r>
      <w:r w:rsidRPr="008310A7">
        <w:rPr>
          <w:rFonts w:cs="Arial"/>
        </w:rPr>
        <w:t>.1”.</w:t>
      </w:r>
      <w:r>
        <w:rPr>
          <w:rFonts w:cs="Arial"/>
        </w:rPr>
        <w:t xml:space="preserve"> (</w:t>
      </w:r>
      <w:r w:rsidRPr="009C6995">
        <w:rPr>
          <w:rFonts w:cs="Arial"/>
        </w:rPr>
        <w:t xml:space="preserve">The error notification </w:t>
      </w:r>
      <w:r>
        <w:rPr>
          <w:rFonts w:cs="Arial"/>
        </w:rPr>
        <w:t>Location format</w:t>
      </w:r>
      <w:r w:rsidRPr="009C6995">
        <w:rPr>
          <w:rFonts w:cs="Arial"/>
        </w:rPr>
        <w:t xml:space="preserve"> always includes data in the [ ] even when there is only one instance of the segment </w:t>
      </w:r>
      <w:r>
        <w:rPr>
          <w:rFonts w:cs="Arial"/>
        </w:rPr>
        <w:t xml:space="preserve">in the message </w:t>
      </w:r>
      <w:r w:rsidRPr="009C6995">
        <w:rPr>
          <w:rFonts w:cs="Arial"/>
        </w:rPr>
        <w:t xml:space="preserve">or </w:t>
      </w:r>
      <w:r>
        <w:rPr>
          <w:rFonts w:cs="Arial"/>
        </w:rPr>
        <w:t>only one instance of the data element</w:t>
      </w:r>
      <w:r w:rsidRPr="009C6995">
        <w:rPr>
          <w:rFonts w:cs="Arial"/>
        </w:rPr>
        <w:t xml:space="preserve"> in the </w:t>
      </w:r>
      <w:r>
        <w:rPr>
          <w:rFonts w:cs="Arial"/>
        </w:rPr>
        <w:t>segment</w:t>
      </w:r>
      <w:r w:rsidRPr="009C6995">
        <w:rPr>
          <w:rFonts w:cs="Arial"/>
        </w:rPr>
        <w:t>.</w:t>
      </w:r>
      <w:r>
        <w:rPr>
          <w:rFonts w:cs="Arial"/>
        </w:rPr>
        <w:t xml:space="preserve">)  </w:t>
      </w:r>
    </w:p>
    <w:p w:rsidR="00CF2AE7" w:rsidRDefault="00CF2AE7" w:rsidP="00CF2AE7">
      <w:pPr>
        <w:shd w:val="clear" w:color="auto" w:fill="FFFFFF"/>
        <w:spacing w:line="240" w:lineRule="atLeast"/>
        <w:jc w:val="both"/>
        <w:textAlignment w:val="top"/>
        <w:rPr>
          <w:rFonts w:cs="Arial"/>
        </w:rPr>
      </w:pPr>
    </w:p>
    <w:p w:rsidR="00CF2AE7" w:rsidRPr="00CF2AE7" w:rsidRDefault="00CF2AE7" w:rsidP="00CF2AE7">
      <w:pPr>
        <w:pStyle w:val="Caption"/>
        <w:rPr>
          <w:rFonts w:cs="Arial"/>
          <w:color w:val="4F81BD" w:themeColor="accent1"/>
          <w:sz w:val="20"/>
        </w:rPr>
      </w:pPr>
      <w:proofErr w:type="gramStart"/>
      <w:r w:rsidRPr="00CF2AE7">
        <w:rPr>
          <w:color w:val="4F81BD" w:themeColor="accent1"/>
        </w:rPr>
        <w:t xml:space="preserve">Table </w:t>
      </w:r>
      <w:r w:rsidRPr="00CF2AE7">
        <w:rPr>
          <w:color w:val="4F81BD" w:themeColor="accent1"/>
        </w:rPr>
        <w:fldChar w:fldCharType="begin"/>
      </w:r>
      <w:r w:rsidRPr="00CF2AE7">
        <w:rPr>
          <w:color w:val="4F81BD" w:themeColor="accent1"/>
        </w:rPr>
        <w:instrText xml:space="preserve"> SEQ Table \* ARABIC </w:instrText>
      </w:r>
      <w:r w:rsidRPr="00CF2AE7">
        <w:rPr>
          <w:color w:val="4F81BD" w:themeColor="accent1"/>
        </w:rPr>
        <w:fldChar w:fldCharType="separate"/>
      </w:r>
      <w:r w:rsidRPr="00CF2AE7">
        <w:rPr>
          <w:noProof/>
          <w:color w:val="4F81BD" w:themeColor="accent1"/>
        </w:rPr>
        <w:t>1</w:t>
      </w:r>
      <w:r w:rsidRPr="00CF2AE7">
        <w:rPr>
          <w:noProof/>
          <w:color w:val="4F81BD" w:themeColor="accent1"/>
        </w:rPr>
        <w:fldChar w:fldCharType="end"/>
      </w:r>
      <w:r w:rsidRPr="00CF2AE7">
        <w:rPr>
          <w:color w:val="4F81BD" w:themeColor="accent1"/>
        </w:rPr>
        <w:t>.</w:t>
      </w:r>
      <w:proofErr w:type="gramEnd"/>
      <w:r w:rsidRPr="00CF2AE7">
        <w:rPr>
          <w:color w:val="4F81BD" w:themeColor="accent1"/>
        </w:rPr>
        <w:t xml:space="preserve"> Illustration of PID Data Elements with Components and Sub-components</w:t>
      </w:r>
    </w:p>
    <w:p w:rsidR="00CF2AE7" w:rsidRDefault="00CF2AE7" w:rsidP="00CF2AE7">
      <w:pPr>
        <w:spacing w:line="240" w:lineRule="atLeast"/>
        <w:jc w:val="both"/>
        <w:rPr>
          <w:rFonts w:cs="Arial"/>
          <w:noProof/>
        </w:rPr>
      </w:pPr>
      <w:r w:rsidRPr="00374422">
        <w:rPr>
          <w:noProof/>
        </w:rPr>
        <w:drawing>
          <wp:inline distT="0" distB="0" distL="0" distR="0" wp14:anchorId="00A4100B" wp14:editId="3108305E">
            <wp:extent cx="5943600" cy="2240280"/>
            <wp:effectExtent l="0" t="0" r="0" b="762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0280"/>
                    </a:xfrm>
                    <a:prstGeom prst="rect">
                      <a:avLst/>
                    </a:prstGeom>
                    <a:noFill/>
                    <a:ln>
                      <a:noFill/>
                    </a:ln>
                    <a:extLst/>
                  </pic:spPr>
                </pic:pic>
              </a:graphicData>
            </a:graphic>
          </wp:inline>
        </w:drawing>
      </w:r>
    </w:p>
    <w:p w:rsidR="00CF2AE7" w:rsidRDefault="00CF2AE7" w:rsidP="00CF2AE7">
      <w:pPr>
        <w:spacing w:line="240" w:lineRule="atLeast"/>
        <w:jc w:val="both"/>
        <w:rPr>
          <w:rFonts w:cs="Arial"/>
          <w:noProof/>
        </w:rPr>
      </w:pPr>
    </w:p>
    <w:p w:rsidR="00CF2AE7" w:rsidRPr="00CF2AE7" w:rsidRDefault="00CF2AE7" w:rsidP="00CF2AE7">
      <w:pPr>
        <w:pStyle w:val="Caption"/>
        <w:rPr>
          <w:color w:val="4F81BD" w:themeColor="accent1"/>
        </w:rPr>
      </w:pPr>
      <w:proofErr w:type="gramStart"/>
      <w:r w:rsidRPr="00CF2AE7">
        <w:rPr>
          <w:color w:val="4F81BD" w:themeColor="accent1"/>
        </w:rPr>
        <w:t xml:space="preserve">Table </w:t>
      </w:r>
      <w:r w:rsidRPr="00CF2AE7">
        <w:rPr>
          <w:color w:val="4F81BD" w:themeColor="accent1"/>
        </w:rPr>
        <w:fldChar w:fldCharType="begin"/>
      </w:r>
      <w:r w:rsidRPr="00CF2AE7">
        <w:rPr>
          <w:color w:val="4F81BD" w:themeColor="accent1"/>
        </w:rPr>
        <w:instrText xml:space="preserve"> SEQ Table \* ARABIC </w:instrText>
      </w:r>
      <w:r w:rsidRPr="00CF2AE7">
        <w:rPr>
          <w:color w:val="4F81BD" w:themeColor="accent1"/>
        </w:rPr>
        <w:fldChar w:fldCharType="separate"/>
      </w:r>
      <w:r w:rsidRPr="00CF2AE7">
        <w:rPr>
          <w:noProof/>
          <w:color w:val="4F81BD" w:themeColor="accent1"/>
        </w:rPr>
        <w:t>2</w:t>
      </w:r>
      <w:r w:rsidRPr="00CF2AE7">
        <w:rPr>
          <w:noProof/>
          <w:color w:val="4F81BD" w:themeColor="accent1"/>
        </w:rPr>
        <w:fldChar w:fldCharType="end"/>
      </w:r>
      <w:r w:rsidRPr="00CF2AE7">
        <w:rPr>
          <w:color w:val="4F81BD" w:themeColor="accent1"/>
        </w:rPr>
        <w:t>.</w:t>
      </w:r>
      <w:proofErr w:type="gramEnd"/>
      <w:r w:rsidRPr="00CF2AE7">
        <w:rPr>
          <w:color w:val="4F81BD" w:themeColor="accent1"/>
        </w:rPr>
        <w:t xml:space="preserve"> Applying the Location Format for </w:t>
      </w:r>
      <w:proofErr w:type="gramStart"/>
      <w:r w:rsidRPr="00CF2AE7">
        <w:rPr>
          <w:color w:val="4F81BD" w:themeColor="accent1"/>
        </w:rPr>
        <w:t>PID[</w:t>
      </w:r>
      <w:proofErr w:type="gramEnd"/>
      <w:r w:rsidRPr="00CF2AE7">
        <w:rPr>
          <w:color w:val="4F81BD" w:themeColor="accent1"/>
        </w:rPr>
        <w:t>1].3[2].4.1</w:t>
      </w:r>
    </w:p>
    <w:tbl>
      <w:tblPr>
        <w:tblStyle w:val="TableGrid"/>
        <w:tblW w:w="9648" w:type="dxa"/>
        <w:tblLayout w:type="fixed"/>
        <w:tblLook w:val="04A0" w:firstRow="1" w:lastRow="0" w:firstColumn="1" w:lastColumn="0" w:noHBand="0" w:noVBand="1"/>
      </w:tblPr>
      <w:tblGrid>
        <w:gridCol w:w="918"/>
        <w:gridCol w:w="3600"/>
        <w:gridCol w:w="1080"/>
        <w:gridCol w:w="4050"/>
      </w:tblGrid>
      <w:tr w:rsidR="00CF2AE7" w:rsidRPr="00F216D1" w:rsidTr="00BD08CB">
        <w:trPr>
          <w:tblHeader/>
        </w:trPr>
        <w:tc>
          <w:tcPr>
            <w:tcW w:w="918" w:type="dxa"/>
            <w:shd w:val="clear" w:color="auto" w:fill="DBE5F1" w:themeFill="accent1" w:themeFillTint="33"/>
          </w:tcPr>
          <w:p w:rsidR="00CF2AE7" w:rsidRPr="00F216D1" w:rsidRDefault="00CF2AE7" w:rsidP="00BD08CB">
            <w:pPr>
              <w:spacing w:line="240" w:lineRule="atLeast"/>
              <w:jc w:val="center"/>
              <w:textAlignment w:val="top"/>
              <w:rPr>
                <w:rFonts w:cs="Arial"/>
                <w:b/>
              </w:rPr>
            </w:pPr>
            <w:r>
              <w:rPr>
                <w:rFonts w:cs="Arial"/>
                <w:b/>
              </w:rPr>
              <w:t>Format</w:t>
            </w:r>
          </w:p>
        </w:tc>
        <w:tc>
          <w:tcPr>
            <w:tcW w:w="3600" w:type="dxa"/>
            <w:shd w:val="clear" w:color="auto" w:fill="DBE5F1" w:themeFill="accent1" w:themeFillTint="33"/>
          </w:tcPr>
          <w:p w:rsidR="00CF2AE7" w:rsidRPr="00F216D1" w:rsidRDefault="00CF2AE7" w:rsidP="00BD08CB">
            <w:pPr>
              <w:spacing w:line="240" w:lineRule="atLeast"/>
              <w:jc w:val="center"/>
              <w:textAlignment w:val="top"/>
              <w:rPr>
                <w:rFonts w:cs="Arial"/>
                <w:b/>
              </w:rPr>
            </w:pPr>
            <w:r>
              <w:rPr>
                <w:rFonts w:cs="Arial"/>
                <w:b/>
              </w:rPr>
              <w:t>Format Description</w:t>
            </w:r>
          </w:p>
        </w:tc>
        <w:tc>
          <w:tcPr>
            <w:tcW w:w="1080" w:type="dxa"/>
            <w:shd w:val="clear" w:color="auto" w:fill="DBE5F1" w:themeFill="accent1" w:themeFillTint="33"/>
          </w:tcPr>
          <w:p w:rsidR="00CF2AE7" w:rsidRPr="00F216D1" w:rsidRDefault="00CF2AE7" w:rsidP="00BD08CB">
            <w:pPr>
              <w:spacing w:line="240" w:lineRule="atLeast"/>
              <w:jc w:val="center"/>
              <w:textAlignment w:val="top"/>
              <w:rPr>
                <w:rFonts w:cs="Arial"/>
                <w:b/>
              </w:rPr>
            </w:pPr>
            <w:r>
              <w:rPr>
                <w:rFonts w:cs="Arial"/>
                <w:b/>
              </w:rPr>
              <w:t>Example</w:t>
            </w:r>
          </w:p>
        </w:tc>
        <w:tc>
          <w:tcPr>
            <w:tcW w:w="4050" w:type="dxa"/>
            <w:shd w:val="clear" w:color="auto" w:fill="DBE5F1" w:themeFill="accent1" w:themeFillTint="33"/>
          </w:tcPr>
          <w:p w:rsidR="00CF2AE7" w:rsidRPr="00F216D1" w:rsidRDefault="00CF2AE7" w:rsidP="00BD08CB">
            <w:pPr>
              <w:spacing w:line="240" w:lineRule="atLeast"/>
              <w:jc w:val="center"/>
              <w:textAlignment w:val="top"/>
              <w:rPr>
                <w:rFonts w:cs="Arial"/>
                <w:b/>
              </w:rPr>
            </w:pPr>
            <w:r>
              <w:rPr>
                <w:rFonts w:cs="Arial"/>
                <w:b/>
              </w:rPr>
              <w:t>Example Description</w:t>
            </w:r>
          </w:p>
        </w:tc>
      </w:tr>
      <w:tr w:rsidR="00CF2AE7" w:rsidTr="00BD08CB">
        <w:tc>
          <w:tcPr>
            <w:tcW w:w="918" w:type="dxa"/>
          </w:tcPr>
          <w:p w:rsidR="00CF2AE7" w:rsidRPr="008310A7" w:rsidRDefault="00CF2AE7" w:rsidP="00BD08CB">
            <w:pPr>
              <w:spacing w:line="240" w:lineRule="atLeast"/>
              <w:jc w:val="both"/>
              <w:textAlignment w:val="top"/>
              <w:rPr>
                <w:rFonts w:cs="Arial"/>
                <w:sz w:val="18"/>
              </w:rPr>
            </w:pPr>
            <w:r w:rsidRPr="008310A7">
              <w:rPr>
                <w:rFonts w:cs="Arial"/>
                <w:sz w:val="18"/>
              </w:rPr>
              <w:t>SSS</w:t>
            </w:r>
          </w:p>
        </w:tc>
        <w:tc>
          <w:tcPr>
            <w:tcW w:w="3600" w:type="dxa"/>
          </w:tcPr>
          <w:p w:rsidR="00CF2AE7" w:rsidRPr="008310A7" w:rsidRDefault="00CF2AE7" w:rsidP="00BD08CB">
            <w:pPr>
              <w:spacing w:line="240" w:lineRule="atLeast"/>
              <w:textAlignment w:val="top"/>
              <w:rPr>
                <w:rFonts w:cs="Arial"/>
                <w:sz w:val="18"/>
              </w:rPr>
            </w:pPr>
            <w:r w:rsidRPr="008310A7">
              <w:rPr>
                <w:rFonts w:cs="Arial"/>
                <w:sz w:val="18"/>
              </w:rPr>
              <w:t>The Segment ID</w:t>
            </w:r>
          </w:p>
        </w:tc>
        <w:tc>
          <w:tcPr>
            <w:tcW w:w="1080" w:type="dxa"/>
          </w:tcPr>
          <w:p w:rsidR="00CF2AE7" w:rsidRPr="008310A7" w:rsidRDefault="00CF2AE7" w:rsidP="00BD08CB">
            <w:pPr>
              <w:spacing w:line="240" w:lineRule="atLeast"/>
              <w:jc w:val="both"/>
              <w:textAlignment w:val="top"/>
              <w:rPr>
                <w:rFonts w:cs="Arial"/>
                <w:sz w:val="18"/>
              </w:rPr>
            </w:pPr>
            <w:r w:rsidRPr="008310A7">
              <w:rPr>
                <w:rFonts w:cs="Arial"/>
                <w:sz w:val="18"/>
              </w:rPr>
              <w:t>PID</w:t>
            </w:r>
          </w:p>
        </w:tc>
        <w:tc>
          <w:tcPr>
            <w:tcW w:w="4050" w:type="dxa"/>
          </w:tcPr>
          <w:p w:rsidR="00CF2AE7" w:rsidRPr="008310A7" w:rsidRDefault="00CF2AE7" w:rsidP="00BD08CB">
            <w:pPr>
              <w:spacing w:line="240" w:lineRule="atLeast"/>
              <w:textAlignment w:val="top"/>
              <w:rPr>
                <w:rFonts w:cs="Arial"/>
                <w:sz w:val="18"/>
              </w:rPr>
            </w:pPr>
            <w:r w:rsidRPr="008310A7">
              <w:rPr>
                <w:rFonts w:cs="Arial"/>
                <w:sz w:val="18"/>
              </w:rPr>
              <w:t>The PID Segment</w:t>
            </w:r>
          </w:p>
        </w:tc>
      </w:tr>
      <w:tr w:rsidR="00CF2AE7" w:rsidTr="00BD08CB">
        <w:tc>
          <w:tcPr>
            <w:tcW w:w="918" w:type="dxa"/>
          </w:tcPr>
          <w:p w:rsidR="00CF2AE7" w:rsidRPr="008310A7" w:rsidRDefault="00CF2AE7" w:rsidP="00BD08CB">
            <w:pPr>
              <w:spacing w:line="240" w:lineRule="atLeast"/>
              <w:jc w:val="both"/>
              <w:textAlignment w:val="top"/>
              <w:rPr>
                <w:rFonts w:cs="Arial"/>
                <w:sz w:val="18"/>
              </w:rPr>
            </w:pPr>
            <w:r w:rsidRPr="008310A7">
              <w:rPr>
                <w:rFonts w:cs="Arial"/>
                <w:sz w:val="18"/>
              </w:rPr>
              <w:t>[n</w:t>
            </w:r>
            <w:r w:rsidRPr="008310A7">
              <w:rPr>
                <w:rFonts w:cs="Arial"/>
                <w:sz w:val="18"/>
                <w:vertAlign w:val="superscript"/>
              </w:rPr>
              <w:t>1</w:t>
            </w:r>
            <w:r w:rsidRPr="008310A7">
              <w:rPr>
                <w:rFonts w:cs="Arial"/>
                <w:sz w:val="18"/>
              </w:rPr>
              <w:t>]</w:t>
            </w:r>
          </w:p>
        </w:tc>
        <w:tc>
          <w:tcPr>
            <w:tcW w:w="3600" w:type="dxa"/>
          </w:tcPr>
          <w:p w:rsidR="00CF2AE7" w:rsidRPr="008310A7" w:rsidRDefault="00CF2AE7" w:rsidP="00BD08CB">
            <w:pPr>
              <w:spacing w:line="240" w:lineRule="atLeast"/>
              <w:textAlignment w:val="top"/>
              <w:rPr>
                <w:rFonts w:cs="Arial"/>
                <w:sz w:val="18"/>
              </w:rPr>
            </w:pPr>
            <w:r w:rsidRPr="008310A7">
              <w:rPr>
                <w:rFonts w:cs="Arial"/>
                <w:sz w:val="18"/>
              </w:rPr>
              <w:t>The instance of the segment in the message</w:t>
            </w:r>
          </w:p>
        </w:tc>
        <w:tc>
          <w:tcPr>
            <w:tcW w:w="1080" w:type="dxa"/>
          </w:tcPr>
          <w:p w:rsidR="00CF2AE7" w:rsidRPr="008310A7" w:rsidRDefault="00CF2AE7" w:rsidP="00BD08CB">
            <w:pPr>
              <w:spacing w:line="240" w:lineRule="atLeast"/>
              <w:jc w:val="both"/>
              <w:textAlignment w:val="top"/>
              <w:rPr>
                <w:rFonts w:cs="Arial"/>
                <w:sz w:val="18"/>
              </w:rPr>
            </w:pPr>
            <w:r w:rsidRPr="008310A7">
              <w:rPr>
                <w:rFonts w:cs="Arial"/>
                <w:sz w:val="18"/>
              </w:rPr>
              <w:t>[1]</w:t>
            </w:r>
          </w:p>
        </w:tc>
        <w:tc>
          <w:tcPr>
            <w:tcW w:w="4050" w:type="dxa"/>
          </w:tcPr>
          <w:p w:rsidR="00CF2AE7" w:rsidRPr="008310A7" w:rsidRDefault="00CF2AE7" w:rsidP="00BD08CB">
            <w:pPr>
              <w:spacing w:line="240" w:lineRule="atLeast"/>
              <w:textAlignment w:val="top"/>
              <w:rPr>
                <w:rFonts w:cs="Arial"/>
                <w:sz w:val="18"/>
              </w:rPr>
            </w:pPr>
            <w:r w:rsidRPr="008310A7">
              <w:rPr>
                <w:rFonts w:cs="Arial"/>
                <w:sz w:val="18"/>
              </w:rPr>
              <w:t>The 1</w:t>
            </w:r>
            <w:r w:rsidRPr="008310A7">
              <w:rPr>
                <w:rFonts w:cs="Arial"/>
                <w:sz w:val="18"/>
                <w:vertAlign w:val="superscript"/>
              </w:rPr>
              <w:t>st</w:t>
            </w:r>
            <w:r w:rsidRPr="008310A7">
              <w:rPr>
                <w:rFonts w:cs="Arial"/>
                <w:sz w:val="18"/>
              </w:rPr>
              <w:t xml:space="preserve"> instance of the PID segment in the message</w:t>
            </w:r>
          </w:p>
        </w:tc>
      </w:tr>
      <w:tr w:rsidR="00CF2AE7" w:rsidTr="00BD08CB">
        <w:tc>
          <w:tcPr>
            <w:tcW w:w="918" w:type="dxa"/>
          </w:tcPr>
          <w:p w:rsidR="00CF2AE7" w:rsidRPr="008310A7" w:rsidRDefault="00CF2AE7" w:rsidP="00BD08CB">
            <w:pPr>
              <w:spacing w:line="240" w:lineRule="atLeast"/>
              <w:jc w:val="both"/>
              <w:textAlignment w:val="top"/>
              <w:rPr>
                <w:rFonts w:cs="Arial"/>
                <w:sz w:val="18"/>
                <w:vertAlign w:val="superscript"/>
              </w:rPr>
            </w:pPr>
            <w:r w:rsidRPr="008310A7">
              <w:rPr>
                <w:rFonts w:cs="Arial"/>
                <w:sz w:val="18"/>
              </w:rPr>
              <w:t>.N</w:t>
            </w:r>
            <w:r w:rsidRPr="008310A7">
              <w:rPr>
                <w:rFonts w:cs="Arial"/>
                <w:sz w:val="18"/>
                <w:vertAlign w:val="superscript"/>
              </w:rPr>
              <w:t>1</w:t>
            </w:r>
          </w:p>
        </w:tc>
        <w:tc>
          <w:tcPr>
            <w:tcW w:w="3600" w:type="dxa"/>
          </w:tcPr>
          <w:p w:rsidR="00CF2AE7" w:rsidRPr="008310A7" w:rsidRDefault="00CF2AE7" w:rsidP="00BD08CB">
            <w:pPr>
              <w:spacing w:line="240" w:lineRule="atLeast"/>
              <w:textAlignment w:val="top"/>
              <w:rPr>
                <w:rFonts w:cs="Arial"/>
                <w:sz w:val="18"/>
              </w:rPr>
            </w:pPr>
            <w:r w:rsidRPr="008310A7">
              <w:rPr>
                <w:rFonts w:cs="Arial"/>
                <w:sz w:val="18"/>
              </w:rPr>
              <w:t xml:space="preserve">The ID for the </w:t>
            </w:r>
            <w:r>
              <w:rPr>
                <w:rFonts w:cs="Arial"/>
                <w:sz w:val="18"/>
              </w:rPr>
              <w:t>data element</w:t>
            </w:r>
            <w:r w:rsidRPr="008310A7">
              <w:rPr>
                <w:rFonts w:cs="Arial"/>
                <w:sz w:val="18"/>
              </w:rPr>
              <w:t xml:space="preserve"> in the segment</w:t>
            </w:r>
          </w:p>
        </w:tc>
        <w:tc>
          <w:tcPr>
            <w:tcW w:w="1080" w:type="dxa"/>
          </w:tcPr>
          <w:p w:rsidR="00CF2AE7" w:rsidRPr="008310A7" w:rsidRDefault="00CF2AE7" w:rsidP="00BD08CB">
            <w:pPr>
              <w:spacing w:line="240" w:lineRule="atLeast"/>
              <w:jc w:val="both"/>
              <w:textAlignment w:val="top"/>
              <w:rPr>
                <w:rFonts w:cs="Arial"/>
                <w:sz w:val="18"/>
              </w:rPr>
            </w:pPr>
            <w:r w:rsidRPr="008310A7">
              <w:rPr>
                <w:rFonts w:cs="Arial"/>
                <w:sz w:val="18"/>
              </w:rPr>
              <w:t>.</w:t>
            </w:r>
            <w:r>
              <w:rPr>
                <w:rFonts w:cs="Arial"/>
                <w:sz w:val="18"/>
              </w:rPr>
              <w:t>3</w:t>
            </w:r>
          </w:p>
        </w:tc>
        <w:tc>
          <w:tcPr>
            <w:tcW w:w="4050" w:type="dxa"/>
          </w:tcPr>
          <w:p w:rsidR="00CF2AE7" w:rsidRPr="008310A7" w:rsidRDefault="00CF2AE7" w:rsidP="00BD08CB">
            <w:pPr>
              <w:spacing w:line="240" w:lineRule="atLeast"/>
              <w:textAlignment w:val="top"/>
              <w:rPr>
                <w:rFonts w:cs="Arial"/>
                <w:sz w:val="18"/>
              </w:rPr>
            </w:pPr>
            <w:r w:rsidRPr="008310A7">
              <w:rPr>
                <w:rFonts w:cs="Arial"/>
                <w:sz w:val="18"/>
              </w:rPr>
              <w:t>The</w:t>
            </w:r>
            <w:r>
              <w:rPr>
                <w:rFonts w:cs="Arial"/>
                <w:sz w:val="18"/>
              </w:rPr>
              <w:t xml:space="preserve"> 3</w:t>
            </w:r>
            <w:r w:rsidRPr="00706C01">
              <w:rPr>
                <w:rFonts w:cs="Arial"/>
                <w:sz w:val="18"/>
                <w:vertAlign w:val="superscript"/>
              </w:rPr>
              <w:t>rd</w:t>
            </w:r>
            <w:r>
              <w:rPr>
                <w:rFonts w:cs="Arial"/>
                <w:sz w:val="18"/>
              </w:rPr>
              <w:t xml:space="preserve"> data element</w:t>
            </w:r>
            <w:r w:rsidRPr="008310A7">
              <w:rPr>
                <w:rFonts w:cs="Arial"/>
                <w:sz w:val="18"/>
              </w:rPr>
              <w:t xml:space="preserve"> in the PID segment</w:t>
            </w:r>
          </w:p>
        </w:tc>
      </w:tr>
      <w:tr w:rsidR="00CF2AE7" w:rsidTr="00BD08CB">
        <w:tc>
          <w:tcPr>
            <w:tcW w:w="918" w:type="dxa"/>
          </w:tcPr>
          <w:p w:rsidR="00CF2AE7" w:rsidRPr="008310A7" w:rsidRDefault="00CF2AE7" w:rsidP="00BD08CB">
            <w:pPr>
              <w:spacing w:line="240" w:lineRule="atLeast"/>
              <w:jc w:val="both"/>
              <w:textAlignment w:val="top"/>
              <w:rPr>
                <w:rFonts w:cs="Arial"/>
                <w:sz w:val="18"/>
              </w:rPr>
            </w:pPr>
            <w:r w:rsidRPr="008310A7">
              <w:rPr>
                <w:rFonts w:cs="Arial"/>
                <w:sz w:val="18"/>
              </w:rPr>
              <w:t>[n</w:t>
            </w:r>
            <w:r w:rsidRPr="008310A7">
              <w:rPr>
                <w:rFonts w:cs="Arial"/>
                <w:sz w:val="18"/>
                <w:vertAlign w:val="superscript"/>
              </w:rPr>
              <w:t>2</w:t>
            </w:r>
            <w:r w:rsidRPr="008310A7">
              <w:rPr>
                <w:rFonts w:cs="Arial"/>
                <w:sz w:val="18"/>
              </w:rPr>
              <w:t>]</w:t>
            </w:r>
          </w:p>
        </w:tc>
        <w:tc>
          <w:tcPr>
            <w:tcW w:w="3600" w:type="dxa"/>
          </w:tcPr>
          <w:p w:rsidR="00CF2AE7" w:rsidRPr="008310A7" w:rsidRDefault="00CF2AE7" w:rsidP="00BD08CB">
            <w:pPr>
              <w:spacing w:line="240" w:lineRule="atLeast"/>
              <w:textAlignment w:val="top"/>
              <w:rPr>
                <w:rFonts w:cs="Arial"/>
                <w:sz w:val="18"/>
              </w:rPr>
            </w:pPr>
            <w:r w:rsidRPr="008310A7">
              <w:rPr>
                <w:rFonts w:cs="Arial"/>
                <w:sz w:val="18"/>
              </w:rPr>
              <w:t>The instance of the</w:t>
            </w:r>
            <w:r>
              <w:rPr>
                <w:rFonts w:cs="Arial"/>
                <w:sz w:val="18"/>
              </w:rPr>
              <w:t xml:space="preserve"> data element</w:t>
            </w:r>
            <w:r w:rsidRPr="008310A7">
              <w:rPr>
                <w:rFonts w:cs="Arial"/>
                <w:sz w:val="18"/>
              </w:rPr>
              <w:t xml:space="preserve"> in the segment</w:t>
            </w:r>
          </w:p>
        </w:tc>
        <w:tc>
          <w:tcPr>
            <w:tcW w:w="1080" w:type="dxa"/>
          </w:tcPr>
          <w:p w:rsidR="00CF2AE7" w:rsidRPr="008310A7" w:rsidRDefault="00CF2AE7" w:rsidP="00BD08CB">
            <w:pPr>
              <w:spacing w:line="240" w:lineRule="atLeast"/>
              <w:jc w:val="both"/>
              <w:textAlignment w:val="top"/>
              <w:rPr>
                <w:rFonts w:cs="Arial"/>
                <w:sz w:val="18"/>
              </w:rPr>
            </w:pPr>
            <w:r w:rsidRPr="008310A7">
              <w:rPr>
                <w:rFonts w:cs="Arial"/>
                <w:sz w:val="18"/>
              </w:rPr>
              <w:t>[</w:t>
            </w:r>
            <w:r>
              <w:rPr>
                <w:rFonts w:cs="Arial"/>
                <w:sz w:val="18"/>
              </w:rPr>
              <w:t>2</w:t>
            </w:r>
            <w:r w:rsidRPr="008310A7">
              <w:rPr>
                <w:rFonts w:cs="Arial"/>
                <w:sz w:val="18"/>
              </w:rPr>
              <w:t>]</w:t>
            </w:r>
          </w:p>
        </w:tc>
        <w:tc>
          <w:tcPr>
            <w:tcW w:w="4050" w:type="dxa"/>
          </w:tcPr>
          <w:p w:rsidR="00CF2AE7" w:rsidRPr="008310A7" w:rsidRDefault="00CF2AE7" w:rsidP="00BD08CB">
            <w:pPr>
              <w:spacing w:line="240" w:lineRule="atLeast"/>
              <w:textAlignment w:val="top"/>
              <w:rPr>
                <w:rFonts w:cs="Arial"/>
                <w:sz w:val="18"/>
              </w:rPr>
            </w:pPr>
            <w:r w:rsidRPr="008310A7">
              <w:rPr>
                <w:rFonts w:cs="Arial"/>
                <w:sz w:val="18"/>
              </w:rPr>
              <w:t>The</w:t>
            </w:r>
            <w:r>
              <w:rPr>
                <w:rFonts w:cs="Arial"/>
                <w:sz w:val="18"/>
              </w:rPr>
              <w:t xml:space="preserve"> 2</w:t>
            </w:r>
            <w:r w:rsidRPr="00706C01">
              <w:rPr>
                <w:rFonts w:cs="Arial"/>
                <w:sz w:val="18"/>
                <w:vertAlign w:val="superscript"/>
              </w:rPr>
              <w:t>nd</w:t>
            </w:r>
            <w:r>
              <w:rPr>
                <w:rFonts w:cs="Arial"/>
                <w:sz w:val="18"/>
              </w:rPr>
              <w:t xml:space="preserve"> </w:t>
            </w:r>
            <w:r w:rsidRPr="008310A7">
              <w:rPr>
                <w:rFonts w:cs="Arial"/>
                <w:sz w:val="18"/>
              </w:rPr>
              <w:t>instance of the</w:t>
            </w:r>
            <w:r>
              <w:rPr>
                <w:rFonts w:cs="Arial"/>
                <w:sz w:val="18"/>
              </w:rPr>
              <w:t xml:space="preserve"> 3</w:t>
            </w:r>
            <w:r w:rsidRPr="008E4561">
              <w:rPr>
                <w:rFonts w:cs="Arial"/>
                <w:sz w:val="18"/>
                <w:vertAlign w:val="superscript"/>
              </w:rPr>
              <w:t>rd</w:t>
            </w:r>
            <w:r>
              <w:rPr>
                <w:rFonts w:cs="Arial"/>
                <w:sz w:val="18"/>
              </w:rPr>
              <w:t xml:space="preserve"> data element</w:t>
            </w:r>
            <w:r w:rsidRPr="008310A7">
              <w:rPr>
                <w:rFonts w:cs="Arial"/>
                <w:sz w:val="18"/>
              </w:rPr>
              <w:t xml:space="preserve"> in the PID segment</w:t>
            </w:r>
          </w:p>
        </w:tc>
      </w:tr>
      <w:tr w:rsidR="00CF2AE7" w:rsidTr="00BD08CB">
        <w:tc>
          <w:tcPr>
            <w:tcW w:w="918" w:type="dxa"/>
          </w:tcPr>
          <w:p w:rsidR="00CF2AE7" w:rsidRPr="008310A7" w:rsidRDefault="00CF2AE7" w:rsidP="00BD08CB">
            <w:pPr>
              <w:spacing w:line="240" w:lineRule="atLeast"/>
              <w:jc w:val="both"/>
              <w:textAlignment w:val="top"/>
              <w:rPr>
                <w:rFonts w:cs="Arial"/>
                <w:sz w:val="18"/>
                <w:vertAlign w:val="superscript"/>
              </w:rPr>
            </w:pPr>
            <w:r w:rsidRPr="008310A7">
              <w:rPr>
                <w:rFonts w:cs="Arial"/>
                <w:sz w:val="18"/>
              </w:rPr>
              <w:t>.N</w:t>
            </w:r>
            <w:r w:rsidRPr="008310A7">
              <w:rPr>
                <w:rFonts w:cs="Arial"/>
                <w:sz w:val="18"/>
                <w:vertAlign w:val="superscript"/>
              </w:rPr>
              <w:t>2</w:t>
            </w:r>
          </w:p>
        </w:tc>
        <w:tc>
          <w:tcPr>
            <w:tcW w:w="3600" w:type="dxa"/>
          </w:tcPr>
          <w:p w:rsidR="00CF2AE7" w:rsidRPr="008310A7" w:rsidRDefault="00CF2AE7" w:rsidP="00BD08CB">
            <w:pPr>
              <w:spacing w:line="240" w:lineRule="atLeast"/>
              <w:textAlignment w:val="top"/>
              <w:rPr>
                <w:rFonts w:cs="Arial"/>
                <w:sz w:val="18"/>
              </w:rPr>
            </w:pPr>
            <w:r w:rsidRPr="008310A7">
              <w:rPr>
                <w:rFonts w:cs="Arial"/>
                <w:sz w:val="18"/>
              </w:rPr>
              <w:t xml:space="preserve">The component of the </w:t>
            </w:r>
            <w:r>
              <w:rPr>
                <w:rFonts w:cs="Arial"/>
                <w:sz w:val="18"/>
              </w:rPr>
              <w:t>data element</w:t>
            </w:r>
            <w:r w:rsidRPr="008310A7">
              <w:rPr>
                <w:rFonts w:cs="Arial"/>
                <w:sz w:val="18"/>
              </w:rPr>
              <w:t xml:space="preserve"> in the segment</w:t>
            </w:r>
          </w:p>
        </w:tc>
        <w:tc>
          <w:tcPr>
            <w:tcW w:w="1080" w:type="dxa"/>
          </w:tcPr>
          <w:p w:rsidR="00CF2AE7" w:rsidRPr="008310A7" w:rsidRDefault="00CF2AE7" w:rsidP="00BD08CB">
            <w:pPr>
              <w:spacing w:line="240" w:lineRule="atLeast"/>
              <w:jc w:val="both"/>
              <w:textAlignment w:val="top"/>
              <w:rPr>
                <w:rFonts w:cs="Arial"/>
                <w:sz w:val="18"/>
              </w:rPr>
            </w:pPr>
            <w:r w:rsidRPr="008310A7">
              <w:rPr>
                <w:rFonts w:cs="Arial"/>
                <w:sz w:val="18"/>
              </w:rPr>
              <w:t>.</w:t>
            </w:r>
            <w:r>
              <w:rPr>
                <w:rFonts w:cs="Arial"/>
                <w:sz w:val="18"/>
              </w:rPr>
              <w:t>4</w:t>
            </w:r>
          </w:p>
        </w:tc>
        <w:tc>
          <w:tcPr>
            <w:tcW w:w="4050" w:type="dxa"/>
          </w:tcPr>
          <w:p w:rsidR="00CF2AE7" w:rsidRPr="008310A7" w:rsidRDefault="00CF2AE7" w:rsidP="00BD08CB">
            <w:pPr>
              <w:spacing w:line="240" w:lineRule="atLeast"/>
              <w:textAlignment w:val="top"/>
              <w:rPr>
                <w:rFonts w:cs="Arial"/>
                <w:sz w:val="18"/>
              </w:rPr>
            </w:pPr>
            <w:r w:rsidRPr="008310A7">
              <w:rPr>
                <w:rFonts w:cs="Arial"/>
                <w:sz w:val="18"/>
              </w:rPr>
              <w:t>The</w:t>
            </w:r>
            <w:r>
              <w:rPr>
                <w:rFonts w:cs="Arial"/>
                <w:sz w:val="18"/>
              </w:rPr>
              <w:t xml:space="preserve"> 4th</w:t>
            </w:r>
            <w:r w:rsidRPr="008310A7">
              <w:rPr>
                <w:rFonts w:cs="Arial"/>
                <w:sz w:val="18"/>
              </w:rPr>
              <w:t xml:space="preserve"> component of the</w:t>
            </w:r>
            <w:r>
              <w:rPr>
                <w:rFonts w:cs="Arial"/>
                <w:sz w:val="18"/>
              </w:rPr>
              <w:t xml:space="preserve"> 3</w:t>
            </w:r>
            <w:r w:rsidRPr="00706C01">
              <w:rPr>
                <w:rFonts w:cs="Arial"/>
                <w:sz w:val="18"/>
                <w:vertAlign w:val="superscript"/>
              </w:rPr>
              <w:t>rd</w:t>
            </w:r>
            <w:r>
              <w:rPr>
                <w:rFonts w:cs="Arial"/>
                <w:sz w:val="18"/>
              </w:rPr>
              <w:t xml:space="preserve"> data element</w:t>
            </w:r>
            <w:r w:rsidRPr="008310A7">
              <w:rPr>
                <w:rFonts w:cs="Arial"/>
                <w:sz w:val="18"/>
              </w:rPr>
              <w:t xml:space="preserve"> in the PID segment</w:t>
            </w:r>
          </w:p>
        </w:tc>
      </w:tr>
      <w:tr w:rsidR="00CF2AE7" w:rsidTr="00BD08CB">
        <w:tc>
          <w:tcPr>
            <w:tcW w:w="918" w:type="dxa"/>
          </w:tcPr>
          <w:p w:rsidR="00CF2AE7" w:rsidRPr="008310A7" w:rsidRDefault="00CF2AE7" w:rsidP="00BD08CB">
            <w:pPr>
              <w:spacing w:line="240" w:lineRule="atLeast"/>
              <w:jc w:val="both"/>
              <w:textAlignment w:val="top"/>
              <w:rPr>
                <w:rFonts w:cs="Arial"/>
                <w:sz w:val="18"/>
                <w:vertAlign w:val="superscript"/>
              </w:rPr>
            </w:pPr>
            <w:r w:rsidRPr="008310A7">
              <w:rPr>
                <w:rFonts w:cs="Arial"/>
                <w:sz w:val="18"/>
              </w:rPr>
              <w:t>.N</w:t>
            </w:r>
            <w:r w:rsidRPr="008310A7">
              <w:rPr>
                <w:rFonts w:cs="Arial"/>
                <w:sz w:val="18"/>
                <w:vertAlign w:val="superscript"/>
              </w:rPr>
              <w:t>3</w:t>
            </w:r>
          </w:p>
        </w:tc>
        <w:tc>
          <w:tcPr>
            <w:tcW w:w="3600" w:type="dxa"/>
          </w:tcPr>
          <w:p w:rsidR="00CF2AE7" w:rsidRPr="008310A7" w:rsidRDefault="00CF2AE7" w:rsidP="00BD08CB">
            <w:pPr>
              <w:spacing w:line="240" w:lineRule="atLeast"/>
              <w:jc w:val="both"/>
              <w:textAlignment w:val="top"/>
              <w:rPr>
                <w:rFonts w:cs="Arial"/>
                <w:sz w:val="18"/>
              </w:rPr>
            </w:pPr>
            <w:r w:rsidRPr="008310A7">
              <w:rPr>
                <w:rFonts w:cs="Arial"/>
                <w:sz w:val="18"/>
              </w:rPr>
              <w:t xml:space="preserve">The sub-component of the </w:t>
            </w:r>
            <w:r>
              <w:rPr>
                <w:rFonts w:cs="Arial"/>
                <w:sz w:val="18"/>
              </w:rPr>
              <w:t>data element</w:t>
            </w:r>
            <w:r w:rsidRPr="008310A7">
              <w:rPr>
                <w:rFonts w:cs="Arial"/>
                <w:sz w:val="18"/>
              </w:rPr>
              <w:t xml:space="preserve"> in the segment</w:t>
            </w:r>
          </w:p>
        </w:tc>
        <w:tc>
          <w:tcPr>
            <w:tcW w:w="1080" w:type="dxa"/>
          </w:tcPr>
          <w:p w:rsidR="00CF2AE7" w:rsidRPr="008310A7" w:rsidRDefault="00CF2AE7" w:rsidP="00BD08CB">
            <w:pPr>
              <w:spacing w:line="240" w:lineRule="atLeast"/>
              <w:jc w:val="both"/>
              <w:textAlignment w:val="top"/>
              <w:rPr>
                <w:rFonts w:cs="Arial"/>
                <w:sz w:val="18"/>
              </w:rPr>
            </w:pPr>
            <w:r w:rsidRPr="008310A7">
              <w:rPr>
                <w:rFonts w:cs="Arial"/>
                <w:sz w:val="18"/>
              </w:rPr>
              <w:t>.1</w:t>
            </w:r>
          </w:p>
        </w:tc>
        <w:tc>
          <w:tcPr>
            <w:tcW w:w="4050" w:type="dxa"/>
          </w:tcPr>
          <w:p w:rsidR="00CF2AE7" w:rsidRPr="008310A7" w:rsidRDefault="00CF2AE7" w:rsidP="00BD08CB">
            <w:pPr>
              <w:spacing w:line="240" w:lineRule="atLeast"/>
              <w:textAlignment w:val="top"/>
              <w:rPr>
                <w:rFonts w:cs="Arial"/>
                <w:sz w:val="18"/>
              </w:rPr>
            </w:pPr>
            <w:r w:rsidRPr="008310A7">
              <w:rPr>
                <w:rFonts w:cs="Arial"/>
                <w:sz w:val="18"/>
              </w:rPr>
              <w:t>The 1</w:t>
            </w:r>
            <w:r w:rsidRPr="008310A7">
              <w:rPr>
                <w:rFonts w:cs="Arial"/>
                <w:sz w:val="18"/>
                <w:vertAlign w:val="superscript"/>
              </w:rPr>
              <w:t>st</w:t>
            </w:r>
            <w:r w:rsidRPr="008310A7">
              <w:rPr>
                <w:rFonts w:cs="Arial"/>
                <w:sz w:val="18"/>
              </w:rPr>
              <w:t xml:space="preserve"> sub-component of the</w:t>
            </w:r>
            <w:r>
              <w:rPr>
                <w:rFonts w:cs="Arial"/>
                <w:sz w:val="18"/>
              </w:rPr>
              <w:t xml:space="preserve"> 3</w:t>
            </w:r>
            <w:r w:rsidRPr="008E4561">
              <w:rPr>
                <w:rFonts w:cs="Arial"/>
                <w:sz w:val="18"/>
                <w:vertAlign w:val="superscript"/>
              </w:rPr>
              <w:t>rd</w:t>
            </w:r>
            <w:r>
              <w:rPr>
                <w:rFonts w:cs="Arial"/>
                <w:sz w:val="18"/>
              </w:rPr>
              <w:t xml:space="preserve"> data element</w:t>
            </w:r>
            <w:r w:rsidRPr="008310A7">
              <w:rPr>
                <w:rFonts w:cs="Arial"/>
                <w:sz w:val="18"/>
              </w:rPr>
              <w:t xml:space="preserve"> in the PID segment</w:t>
            </w:r>
          </w:p>
        </w:tc>
      </w:tr>
    </w:tbl>
    <w:p w:rsidR="00CF2AE7" w:rsidRDefault="00CF2AE7" w:rsidP="00CF2AE7">
      <w:pPr>
        <w:shd w:val="clear" w:color="auto" w:fill="FFFFFF"/>
        <w:spacing w:line="240" w:lineRule="atLeast"/>
        <w:jc w:val="both"/>
        <w:textAlignment w:val="top"/>
        <w:rPr>
          <w:rFonts w:cs="Arial"/>
        </w:rPr>
      </w:pPr>
    </w:p>
    <w:p w:rsidR="00CF2AE7" w:rsidRDefault="00CF2AE7" w:rsidP="00CF2AE7">
      <w:pPr>
        <w:spacing w:line="240" w:lineRule="atLeast"/>
        <w:jc w:val="both"/>
        <w:rPr>
          <w:rFonts w:cs="Arial"/>
        </w:rPr>
      </w:pPr>
    </w:p>
    <w:p w:rsidR="006A2FCB" w:rsidRDefault="006A2FCB" w:rsidP="00CF2AE7">
      <w:pPr>
        <w:jc w:val="center"/>
      </w:pPr>
    </w:p>
    <w:sectPr w:rsidR="006A2FCB" w:rsidSect="008970E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287" w:rsidRDefault="00923287" w:rsidP="009B3E5D">
      <w:r>
        <w:separator/>
      </w:r>
    </w:p>
  </w:endnote>
  <w:endnote w:type="continuationSeparator" w:id="0">
    <w:p w:rsidR="00923287" w:rsidRDefault="00923287"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438" w:rsidRDefault="00F06438"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6438" w:rsidRDefault="00F06438" w:rsidP="005C1207">
    <w:pPr>
      <w:pStyle w:val="Footer"/>
      <w:ind w:right="360"/>
      <w:rPr>
        <w:rStyle w:val="PageNumber"/>
      </w:rPr>
    </w:pPr>
  </w:p>
  <w:p w:rsidR="00F06438" w:rsidRDefault="00F06438" w:rsidP="005C1207">
    <w:pPr>
      <w:pStyle w:val="Footer"/>
      <w:rPr>
        <w:rStyle w:val="PageNumber"/>
      </w:rPr>
    </w:pPr>
  </w:p>
  <w:p w:rsidR="00F06438" w:rsidRDefault="00F06438" w:rsidP="005C12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438" w:rsidRPr="009B7D44" w:rsidRDefault="00F06438"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1F8" w:rsidRDefault="00923287">
    <w:pPr>
      <w:pStyle w:val="Footer"/>
      <w:pBdr>
        <w:top w:val="thinThickSmallGap" w:sz="24" w:space="1" w:color="622423" w:themeColor="accent2" w:themeShade="7F"/>
      </w:pBdr>
      <w:rPr>
        <w:rFonts w:asciiTheme="majorHAnsi" w:eastAsiaTheme="majorEastAsia" w:hAnsiTheme="majorHAnsi" w:cstheme="majorBidi"/>
      </w:rPr>
    </w:pPr>
    <w:r>
      <w:t>8/</w:t>
    </w:r>
    <w:r w:rsidR="00CF2AE7">
      <w:t>19</w:t>
    </w:r>
    <w:r>
      <w:t>/14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F2AE7" w:rsidRPr="00CF2AE7">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AD75C5" w:rsidRDefault="00923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287" w:rsidRDefault="00923287" w:rsidP="009B3E5D">
      <w:r>
        <w:separator/>
      </w:r>
    </w:p>
  </w:footnote>
  <w:footnote w:type="continuationSeparator" w:id="0">
    <w:p w:rsidR="00923287" w:rsidRDefault="00923287" w:rsidP="009B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438" w:rsidRDefault="00F06438" w:rsidP="00CE5CAD">
    <w:pPr>
      <w:pStyle w:val="Header"/>
      <w:spacing w:line="240" w:lineRule="atLeast"/>
    </w:pPr>
    <w:r>
      <w:t>How to Interpret Validation Error Notifications Generated by the NIST HL7 V2 Test Tools</w:t>
    </w:r>
  </w:p>
  <w:p w:rsidR="00F06438" w:rsidRDefault="00F06438" w:rsidP="00CE5CAD">
    <w:pPr>
      <w:pStyle w:val="Header"/>
      <w:spacing w:line="240" w:lineRule="atLeast"/>
    </w:pPr>
    <w:r>
      <w:t>Version 1.0</w:t>
    </w:r>
    <w:r w:rsidRPr="00511350">
      <w:t xml:space="preserve"> </w:t>
    </w:r>
    <w:r>
      <w:t xml:space="preserve"> </w:t>
    </w:r>
    <w:r w:rsidRPr="00511350">
      <w:sym w:font="Webdings" w:char="F03C"/>
    </w:r>
    <w:r w:rsidRPr="00511350">
      <w:t xml:space="preserve">  </w:t>
    </w:r>
    <w:r>
      <w:t>August 19, 2014</w:t>
    </w:r>
  </w:p>
  <w:p w:rsidR="00F06438" w:rsidRDefault="00F06438" w:rsidP="005C1207"/>
  <w:p w:rsidR="00F06438" w:rsidRPr="00511350" w:rsidRDefault="00F06438" w:rsidP="005C120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438" w:rsidRPr="002316E4" w:rsidRDefault="00F06438" w:rsidP="005C1207">
    <w:r>
      <w:rPr>
        <w:noProof/>
      </w:rPr>
      <w:drawing>
        <wp:anchor distT="0" distB="0" distL="114300" distR="114300" simplePos="0" relativeHeight="251657216" behindDoc="1" locked="0" layoutInCell="1" allowOverlap="1" wp14:anchorId="3F385714" wp14:editId="6F7177C6">
          <wp:simplePos x="0" y="0"/>
          <wp:positionH relativeFrom="page">
            <wp:posOffset>-9525</wp:posOffset>
          </wp:positionH>
          <wp:positionV relativeFrom="page">
            <wp:posOffset>0</wp:posOffset>
          </wp:positionV>
          <wp:extent cx="7854950" cy="101155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C5" w:rsidRDefault="00923287">
    <w:pPr>
      <w:pStyle w:val="Header"/>
    </w:pPr>
    <w:sdt>
      <w:sdtPr>
        <w:id w:val="-1406836405"/>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3">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4">
    <w:nsid w:val="0D180D02"/>
    <w:multiLevelType w:val="hybridMultilevel"/>
    <w:tmpl w:val="4E8C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59620D"/>
    <w:multiLevelType w:val="hybridMultilevel"/>
    <w:tmpl w:val="A1CE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06193"/>
    <w:multiLevelType w:val="multilevel"/>
    <w:tmpl w:val="1A3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56D7E5F"/>
    <w:multiLevelType w:val="hybridMultilevel"/>
    <w:tmpl w:val="A8A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1">
    <w:nsid w:val="2F9F23B1"/>
    <w:multiLevelType w:val="hybridMultilevel"/>
    <w:tmpl w:val="E3829E4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362E41"/>
    <w:multiLevelType w:val="hybridMultilevel"/>
    <w:tmpl w:val="42F4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41C59"/>
    <w:multiLevelType w:val="hybridMultilevel"/>
    <w:tmpl w:val="77E0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D2EDA"/>
    <w:multiLevelType w:val="hybridMultilevel"/>
    <w:tmpl w:val="4A448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6">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10B13C8"/>
    <w:multiLevelType w:val="hybridMultilevel"/>
    <w:tmpl w:val="2820AAC0"/>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2432CB0"/>
    <w:multiLevelType w:val="hybridMultilevel"/>
    <w:tmpl w:val="E3829E4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1">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1497BEA"/>
    <w:multiLevelType w:val="hybridMultilevel"/>
    <w:tmpl w:val="21F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52493"/>
    <w:multiLevelType w:val="hybridMultilevel"/>
    <w:tmpl w:val="C1929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71D54688"/>
    <w:multiLevelType w:val="hybridMultilevel"/>
    <w:tmpl w:val="30EAE30C"/>
    <w:lvl w:ilvl="0" w:tplc="320A16F4">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4CA2D1C"/>
    <w:multiLevelType w:val="hybridMultilevel"/>
    <w:tmpl w:val="F806B668"/>
    <w:lvl w:ilvl="0" w:tplc="61CAED30">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0"/>
  </w:num>
  <w:num w:numId="4">
    <w:abstractNumId w:val="18"/>
  </w:num>
  <w:num w:numId="5">
    <w:abstractNumId w:val="16"/>
  </w:num>
  <w:num w:numId="6">
    <w:abstractNumId w:val="5"/>
  </w:num>
  <w:num w:numId="7">
    <w:abstractNumId w:val="3"/>
  </w:num>
  <w:num w:numId="8">
    <w:abstractNumId w:val="21"/>
  </w:num>
  <w:num w:numId="9">
    <w:abstractNumId w:val="15"/>
  </w:num>
  <w:num w:numId="10">
    <w:abstractNumId w:val="10"/>
  </w:num>
  <w:num w:numId="11">
    <w:abstractNumId w:val="2"/>
  </w:num>
  <w:num w:numId="12">
    <w:abstractNumId w:val="20"/>
  </w:num>
  <w:num w:numId="13">
    <w:abstractNumId w:val="24"/>
  </w:num>
  <w:num w:numId="14">
    <w:abstractNumId w:val="25"/>
  </w:num>
  <w:num w:numId="15">
    <w:abstractNumId w:val="7"/>
  </w:num>
  <w:num w:numId="16">
    <w:abstractNumId w:val="6"/>
  </w:num>
  <w:num w:numId="17">
    <w:abstractNumId w:val="23"/>
  </w:num>
  <w:num w:numId="18">
    <w:abstractNumId w:val="11"/>
  </w:num>
  <w:num w:numId="19">
    <w:abstractNumId w:val="17"/>
  </w:num>
  <w:num w:numId="20">
    <w:abstractNumId w:val="26"/>
  </w:num>
  <w:num w:numId="21">
    <w:abstractNumId w:val="27"/>
  </w:num>
  <w:num w:numId="22">
    <w:abstractNumId w:val="12"/>
  </w:num>
  <w:num w:numId="23">
    <w:abstractNumId w:val="13"/>
  </w:num>
  <w:num w:numId="24">
    <w:abstractNumId w:val="4"/>
  </w:num>
  <w:num w:numId="25">
    <w:abstractNumId w:val="19"/>
  </w:num>
  <w:num w:numId="26">
    <w:abstractNumId w:val="22"/>
  </w:num>
  <w:num w:numId="27">
    <w:abstractNumId w:val="9"/>
  </w:num>
  <w:num w:numId="28">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614"/>
    <w:rsid w:val="000003C2"/>
    <w:rsid w:val="00000D31"/>
    <w:rsid w:val="00004DA3"/>
    <w:rsid w:val="00007B44"/>
    <w:rsid w:val="0001150E"/>
    <w:rsid w:val="00016164"/>
    <w:rsid w:val="000179AC"/>
    <w:rsid w:val="00023BBF"/>
    <w:rsid w:val="000263AC"/>
    <w:rsid w:val="0002722C"/>
    <w:rsid w:val="000304FB"/>
    <w:rsid w:val="00030919"/>
    <w:rsid w:val="00033B08"/>
    <w:rsid w:val="00041DC3"/>
    <w:rsid w:val="00042490"/>
    <w:rsid w:val="000427BC"/>
    <w:rsid w:val="00051E4F"/>
    <w:rsid w:val="00052ED5"/>
    <w:rsid w:val="00054326"/>
    <w:rsid w:val="00055E2E"/>
    <w:rsid w:val="000601CD"/>
    <w:rsid w:val="0006101F"/>
    <w:rsid w:val="0006483F"/>
    <w:rsid w:val="00070E01"/>
    <w:rsid w:val="00072ABB"/>
    <w:rsid w:val="00073819"/>
    <w:rsid w:val="00081F6C"/>
    <w:rsid w:val="000827DD"/>
    <w:rsid w:val="00082DC0"/>
    <w:rsid w:val="00084A40"/>
    <w:rsid w:val="000871D1"/>
    <w:rsid w:val="000923F9"/>
    <w:rsid w:val="000941FF"/>
    <w:rsid w:val="000950DB"/>
    <w:rsid w:val="000959ED"/>
    <w:rsid w:val="00095DC6"/>
    <w:rsid w:val="00097445"/>
    <w:rsid w:val="000A5DC8"/>
    <w:rsid w:val="000A6E50"/>
    <w:rsid w:val="000A77BB"/>
    <w:rsid w:val="000B0662"/>
    <w:rsid w:val="000B2B65"/>
    <w:rsid w:val="000B71CD"/>
    <w:rsid w:val="000C454F"/>
    <w:rsid w:val="000C4A55"/>
    <w:rsid w:val="000E7D5E"/>
    <w:rsid w:val="000E7E8C"/>
    <w:rsid w:val="000F413E"/>
    <w:rsid w:val="000F54AB"/>
    <w:rsid w:val="001051FE"/>
    <w:rsid w:val="00105B68"/>
    <w:rsid w:val="00106400"/>
    <w:rsid w:val="00107624"/>
    <w:rsid w:val="001110FC"/>
    <w:rsid w:val="00112997"/>
    <w:rsid w:val="00115D9D"/>
    <w:rsid w:val="00117D89"/>
    <w:rsid w:val="0012029A"/>
    <w:rsid w:val="0012344D"/>
    <w:rsid w:val="001254EB"/>
    <w:rsid w:val="00127F0A"/>
    <w:rsid w:val="00130F06"/>
    <w:rsid w:val="0013124C"/>
    <w:rsid w:val="00132308"/>
    <w:rsid w:val="0013675D"/>
    <w:rsid w:val="00140C77"/>
    <w:rsid w:val="00140FD7"/>
    <w:rsid w:val="0014398C"/>
    <w:rsid w:val="001445CA"/>
    <w:rsid w:val="001451FE"/>
    <w:rsid w:val="001477EB"/>
    <w:rsid w:val="0015052D"/>
    <w:rsid w:val="00150EF9"/>
    <w:rsid w:val="00151A06"/>
    <w:rsid w:val="00154AA5"/>
    <w:rsid w:val="00157993"/>
    <w:rsid w:val="00160B7D"/>
    <w:rsid w:val="00160DDB"/>
    <w:rsid w:val="00162E5F"/>
    <w:rsid w:val="0016441F"/>
    <w:rsid w:val="001718AC"/>
    <w:rsid w:val="00174233"/>
    <w:rsid w:val="00175E62"/>
    <w:rsid w:val="00180133"/>
    <w:rsid w:val="001805D1"/>
    <w:rsid w:val="001870A9"/>
    <w:rsid w:val="00195D2E"/>
    <w:rsid w:val="00196570"/>
    <w:rsid w:val="00196855"/>
    <w:rsid w:val="0019777C"/>
    <w:rsid w:val="00197A46"/>
    <w:rsid w:val="001A206A"/>
    <w:rsid w:val="001A36DF"/>
    <w:rsid w:val="001A4396"/>
    <w:rsid w:val="001A474E"/>
    <w:rsid w:val="001A5789"/>
    <w:rsid w:val="001B0E8B"/>
    <w:rsid w:val="001C0143"/>
    <w:rsid w:val="001C0245"/>
    <w:rsid w:val="001C1E15"/>
    <w:rsid w:val="001C2614"/>
    <w:rsid w:val="001C2726"/>
    <w:rsid w:val="001C27DA"/>
    <w:rsid w:val="001C4418"/>
    <w:rsid w:val="001C4D97"/>
    <w:rsid w:val="001D090F"/>
    <w:rsid w:val="001E0D2B"/>
    <w:rsid w:val="001E2573"/>
    <w:rsid w:val="001E356F"/>
    <w:rsid w:val="001E3D24"/>
    <w:rsid w:val="001E440C"/>
    <w:rsid w:val="001E6763"/>
    <w:rsid w:val="001E69CD"/>
    <w:rsid w:val="001E7BF0"/>
    <w:rsid w:val="001F1ABE"/>
    <w:rsid w:val="001F68F6"/>
    <w:rsid w:val="00200AE4"/>
    <w:rsid w:val="00201B12"/>
    <w:rsid w:val="00203666"/>
    <w:rsid w:val="0020501A"/>
    <w:rsid w:val="00210F0D"/>
    <w:rsid w:val="00214D4D"/>
    <w:rsid w:val="00214F4D"/>
    <w:rsid w:val="00215B02"/>
    <w:rsid w:val="00215DF9"/>
    <w:rsid w:val="00231252"/>
    <w:rsid w:val="00232879"/>
    <w:rsid w:val="00234181"/>
    <w:rsid w:val="002356E6"/>
    <w:rsid w:val="0024454D"/>
    <w:rsid w:val="00245580"/>
    <w:rsid w:val="0024714F"/>
    <w:rsid w:val="00247A38"/>
    <w:rsid w:val="00251019"/>
    <w:rsid w:val="00254DDB"/>
    <w:rsid w:val="002562D2"/>
    <w:rsid w:val="00256981"/>
    <w:rsid w:val="00267E31"/>
    <w:rsid w:val="00271924"/>
    <w:rsid w:val="00277642"/>
    <w:rsid w:val="00283919"/>
    <w:rsid w:val="0029060B"/>
    <w:rsid w:val="002909C7"/>
    <w:rsid w:val="00291D95"/>
    <w:rsid w:val="0029211D"/>
    <w:rsid w:val="00292893"/>
    <w:rsid w:val="00294955"/>
    <w:rsid w:val="002A29F0"/>
    <w:rsid w:val="002B161C"/>
    <w:rsid w:val="002B27EB"/>
    <w:rsid w:val="002C1C10"/>
    <w:rsid w:val="002C700C"/>
    <w:rsid w:val="002D037C"/>
    <w:rsid w:val="002D1677"/>
    <w:rsid w:val="002D6C80"/>
    <w:rsid w:val="002D7781"/>
    <w:rsid w:val="002E2278"/>
    <w:rsid w:val="002E30D8"/>
    <w:rsid w:val="002F0947"/>
    <w:rsid w:val="002F1641"/>
    <w:rsid w:val="002F1754"/>
    <w:rsid w:val="002F3DE0"/>
    <w:rsid w:val="002F4AC3"/>
    <w:rsid w:val="002F506B"/>
    <w:rsid w:val="002F79C0"/>
    <w:rsid w:val="00302CAA"/>
    <w:rsid w:val="003039B8"/>
    <w:rsid w:val="00315BC4"/>
    <w:rsid w:val="00324D91"/>
    <w:rsid w:val="003254DE"/>
    <w:rsid w:val="003268E9"/>
    <w:rsid w:val="00327AB0"/>
    <w:rsid w:val="003355BA"/>
    <w:rsid w:val="003409CA"/>
    <w:rsid w:val="003425F6"/>
    <w:rsid w:val="0034795B"/>
    <w:rsid w:val="0036215D"/>
    <w:rsid w:val="003621EA"/>
    <w:rsid w:val="00365495"/>
    <w:rsid w:val="003716BC"/>
    <w:rsid w:val="00371A3E"/>
    <w:rsid w:val="00376F5A"/>
    <w:rsid w:val="00380944"/>
    <w:rsid w:val="00382960"/>
    <w:rsid w:val="00382DAC"/>
    <w:rsid w:val="00383D78"/>
    <w:rsid w:val="003845C6"/>
    <w:rsid w:val="00390BD2"/>
    <w:rsid w:val="00393044"/>
    <w:rsid w:val="00393D24"/>
    <w:rsid w:val="003954A1"/>
    <w:rsid w:val="00395EC7"/>
    <w:rsid w:val="00396ECD"/>
    <w:rsid w:val="003A0D93"/>
    <w:rsid w:val="003A1B38"/>
    <w:rsid w:val="003A6F3F"/>
    <w:rsid w:val="003B0A4B"/>
    <w:rsid w:val="003B48FD"/>
    <w:rsid w:val="003B4A16"/>
    <w:rsid w:val="003C01E0"/>
    <w:rsid w:val="003D0445"/>
    <w:rsid w:val="003D169C"/>
    <w:rsid w:val="003D17E6"/>
    <w:rsid w:val="003D6919"/>
    <w:rsid w:val="003E0F5D"/>
    <w:rsid w:val="003E5D75"/>
    <w:rsid w:val="003E66C1"/>
    <w:rsid w:val="003E70E3"/>
    <w:rsid w:val="003F10E5"/>
    <w:rsid w:val="003F32A1"/>
    <w:rsid w:val="003F496B"/>
    <w:rsid w:val="003F6B69"/>
    <w:rsid w:val="00401076"/>
    <w:rsid w:val="00402FFA"/>
    <w:rsid w:val="00407725"/>
    <w:rsid w:val="004077BF"/>
    <w:rsid w:val="00407CFA"/>
    <w:rsid w:val="004205FE"/>
    <w:rsid w:val="004234FB"/>
    <w:rsid w:val="00423D75"/>
    <w:rsid w:val="004256D2"/>
    <w:rsid w:val="0042718E"/>
    <w:rsid w:val="004344D5"/>
    <w:rsid w:val="004406D0"/>
    <w:rsid w:val="00446C67"/>
    <w:rsid w:val="00455B33"/>
    <w:rsid w:val="00460F74"/>
    <w:rsid w:val="00467587"/>
    <w:rsid w:val="0047676C"/>
    <w:rsid w:val="0048349E"/>
    <w:rsid w:val="00483686"/>
    <w:rsid w:val="00483EE1"/>
    <w:rsid w:val="004855B3"/>
    <w:rsid w:val="0049624E"/>
    <w:rsid w:val="004A14EC"/>
    <w:rsid w:val="004A1F8F"/>
    <w:rsid w:val="004A1FC5"/>
    <w:rsid w:val="004B13FF"/>
    <w:rsid w:val="004B4597"/>
    <w:rsid w:val="004B61F2"/>
    <w:rsid w:val="004C123D"/>
    <w:rsid w:val="004C244C"/>
    <w:rsid w:val="004C2BF1"/>
    <w:rsid w:val="004C6816"/>
    <w:rsid w:val="004C6EC2"/>
    <w:rsid w:val="004D2456"/>
    <w:rsid w:val="004D2F58"/>
    <w:rsid w:val="004D6225"/>
    <w:rsid w:val="004E18AF"/>
    <w:rsid w:val="004E26F8"/>
    <w:rsid w:val="004E452F"/>
    <w:rsid w:val="004E5ADF"/>
    <w:rsid w:val="004E71A5"/>
    <w:rsid w:val="004F06D5"/>
    <w:rsid w:val="004F1F6E"/>
    <w:rsid w:val="004F380E"/>
    <w:rsid w:val="004F537A"/>
    <w:rsid w:val="004F7D43"/>
    <w:rsid w:val="00501CB2"/>
    <w:rsid w:val="005037EB"/>
    <w:rsid w:val="00511CAD"/>
    <w:rsid w:val="00515B85"/>
    <w:rsid w:val="00521AE7"/>
    <w:rsid w:val="00531A91"/>
    <w:rsid w:val="00532549"/>
    <w:rsid w:val="00535E91"/>
    <w:rsid w:val="0054012F"/>
    <w:rsid w:val="00541021"/>
    <w:rsid w:val="0055049D"/>
    <w:rsid w:val="00552BE6"/>
    <w:rsid w:val="00555E5A"/>
    <w:rsid w:val="00566357"/>
    <w:rsid w:val="00567BA6"/>
    <w:rsid w:val="0057484F"/>
    <w:rsid w:val="00582FC6"/>
    <w:rsid w:val="00584800"/>
    <w:rsid w:val="00593B72"/>
    <w:rsid w:val="00593EF8"/>
    <w:rsid w:val="0059401C"/>
    <w:rsid w:val="00594114"/>
    <w:rsid w:val="005A4A9B"/>
    <w:rsid w:val="005A5D38"/>
    <w:rsid w:val="005A6412"/>
    <w:rsid w:val="005C0815"/>
    <w:rsid w:val="005C1207"/>
    <w:rsid w:val="005C2332"/>
    <w:rsid w:val="005C2412"/>
    <w:rsid w:val="005C5714"/>
    <w:rsid w:val="005C621F"/>
    <w:rsid w:val="005D32FC"/>
    <w:rsid w:val="005D529B"/>
    <w:rsid w:val="005E06C3"/>
    <w:rsid w:val="005E7BE8"/>
    <w:rsid w:val="005F2447"/>
    <w:rsid w:val="005F2A97"/>
    <w:rsid w:val="005F369F"/>
    <w:rsid w:val="005F5A41"/>
    <w:rsid w:val="005F6876"/>
    <w:rsid w:val="0060158E"/>
    <w:rsid w:val="00602FDE"/>
    <w:rsid w:val="006056B2"/>
    <w:rsid w:val="006057EE"/>
    <w:rsid w:val="00610513"/>
    <w:rsid w:val="00610BC7"/>
    <w:rsid w:val="00613FA4"/>
    <w:rsid w:val="00614900"/>
    <w:rsid w:val="006212FF"/>
    <w:rsid w:val="006217E0"/>
    <w:rsid w:val="0062241B"/>
    <w:rsid w:val="0062305A"/>
    <w:rsid w:val="006253DB"/>
    <w:rsid w:val="006258E4"/>
    <w:rsid w:val="006273A1"/>
    <w:rsid w:val="006346C1"/>
    <w:rsid w:val="0063697D"/>
    <w:rsid w:val="00641663"/>
    <w:rsid w:val="00641F11"/>
    <w:rsid w:val="00642D55"/>
    <w:rsid w:val="006433E5"/>
    <w:rsid w:val="00654537"/>
    <w:rsid w:val="00655624"/>
    <w:rsid w:val="00656BF4"/>
    <w:rsid w:val="006574EE"/>
    <w:rsid w:val="006604D7"/>
    <w:rsid w:val="0066210F"/>
    <w:rsid w:val="00662B55"/>
    <w:rsid w:val="00665692"/>
    <w:rsid w:val="0067181B"/>
    <w:rsid w:val="006736AE"/>
    <w:rsid w:val="00674664"/>
    <w:rsid w:val="00677DDB"/>
    <w:rsid w:val="00680863"/>
    <w:rsid w:val="006809F7"/>
    <w:rsid w:val="006813BA"/>
    <w:rsid w:val="0068292E"/>
    <w:rsid w:val="0068420E"/>
    <w:rsid w:val="00685D9A"/>
    <w:rsid w:val="00685F29"/>
    <w:rsid w:val="006860B0"/>
    <w:rsid w:val="00690FCB"/>
    <w:rsid w:val="00691B93"/>
    <w:rsid w:val="006926DF"/>
    <w:rsid w:val="006955D9"/>
    <w:rsid w:val="00695D76"/>
    <w:rsid w:val="006A0BF3"/>
    <w:rsid w:val="006A2FCB"/>
    <w:rsid w:val="006A49D6"/>
    <w:rsid w:val="006A54C9"/>
    <w:rsid w:val="006A6BC5"/>
    <w:rsid w:val="006A7F7E"/>
    <w:rsid w:val="006B2CEA"/>
    <w:rsid w:val="006C010B"/>
    <w:rsid w:val="006C08D3"/>
    <w:rsid w:val="006C0C1F"/>
    <w:rsid w:val="006C25BA"/>
    <w:rsid w:val="006C330C"/>
    <w:rsid w:val="006C59AD"/>
    <w:rsid w:val="006C5BF6"/>
    <w:rsid w:val="006C7C21"/>
    <w:rsid w:val="006D0087"/>
    <w:rsid w:val="006D1743"/>
    <w:rsid w:val="006D705A"/>
    <w:rsid w:val="006E216F"/>
    <w:rsid w:val="006E2DE0"/>
    <w:rsid w:val="006E317B"/>
    <w:rsid w:val="006E55D8"/>
    <w:rsid w:val="006E6AA4"/>
    <w:rsid w:val="006F150A"/>
    <w:rsid w:val="006F2D40"/>
    <w:rsid w:val="006F3D24"/>
    <w:rsid w:val="006F4C1F"/>
    <w:rsid w:val="006F4E03"/>
    <w:rsid w:val="006F4FC6"/>
    <w:rsid w:val="007014CA"/>
    <w:rsid w:val="00701FE6"/>
    <w:rsid w:val="00713539"/>
    <w:rsid w:val="0071456E"/>
    <w:rsid w:val="00717348"/>
    <w:rsid w:val="00723CEB"/>
    <w:rsid w:val="00727C18"/>
    <w:rsid w:val="00730CE1"/>
    <w:rsid w:val="00735571"/>
    <w:rsid w:val="00744332"/>
    <w:rsid w:val="007473D4"/>
    <w:rsid w:val="00750678"/>
    <w:rsid w:val="007566D4"/>
    <w:rsid w:val="00756E3E"/>
    <w:rsid w:val="00756E4C"/>
    <w:rsid w:val="0076394B"/>
    <w:rsid w:val="0076549F"/>
    <w:rsid w:val="00765B1E"/>
    <w:rsid w:val="00765CD1"/>
    <w:rsid w:val="007661DD"/>
    <w:rsid w:val="00770F02"/>
    <w:rsid w:val="00774502"/>
    <w:rsid w:val="00774529"/>
    <w:rsid w:val="007762BE"/>
    <w:rsid w:val="007841CD"/>
    <w:rsid w:val="007851DF"/>
    <w:rsid w:val="007912F8"/>
    <w:rsid w:val="00794BDF"/>
    <w:rsid w:val="0079683A"/>
    <w:rsid w:val="007A387C"/>
    <w:rsid w:val="007A6998"/>
    <w:rsid w:val="007A6CEF"/>
    <w:rsid w:val="007B0D50"/>
    <w:rsid w:val="007B3237"/>
    <w:rsid w:val="007B4E28"/>
    <w:rsid w:val="007B4EB6"/>
    <w:rsid w:val="007B76E1"/>
    <w:rsid w:val="007C28FF"/>
    <w:rsid w:val="007C58EA"/>
    <w:rsid w:val="007C5B20"/>
    <w:rsid w:val="007E647A"/>
    <w:rsid w:val="007F7165"/>
    <w:rsid w:val="00803F6E"/>
    <w:rsid w:val="008152E8"/>
    <w:rsid w:val="00821FE0"/>
    <w:rsid w:val="00824DF8"/>
    <w:rsid w:val="00836E39"/>
    <w:rsid w:val="00842E94"/>
    <w:rsid w:val="00845FDD"/>
    <w:rsid w:val="008468B3"/>
    <w:rsid w:val="00850754"/>
    <w:rsid w:val="00854B9A"/>
    <w:rsid w:val="00864587"/>
    <w:rsid w:val="0086765D"/>
    <w:rsid w:val="00870EA5"/>
    <w:rsid w:val="00872B29"/>
    <w:rsid w:val="008739F8"/>
    <w:rsid w:val="0088008E"/>
    <w:rsid w:val="008806AA"/>
    <w:rsid w:val="00881909"/>
    <w:rsid w:val="0088573F"/>
    <w:rsid w:val="00886747"/>
    <w:rsid w:val="0088764A"/>
    <w:rsid w:val="00890D96"/>
    <w:rsid w:val="008B2E93"/>
    <w:rsid w:val="008B468A"/>
    <w:rsid w:val="008B4DDA"/>
    <w:rsid w:val="008B5A9A"/>
    <w:rsid w:val="008B6C13"/>
    <w:rsid w:val="008B6D87"/>
    <w:rsid w:val="008C0C4A"/>
    <w:rsid w:val="008C3A9B"/>
    <w:rsid w:val="008C3C29"/>
    <w:rsid w:val="008C5946"/>
    <w:rsid w:val="008D450D"/>
    <w:rsid w:val="008E3305"/>
    <w:rsid w:val="008F0C0D"/>
    <w:rsid w:val="008F1061"/>
    <w:rsid w:val="008F4C09"/>
    <w:rsid w:val="008F64F0"/>
    <w:rsid w:val="00901D38"/>
    <w:rsid w:val="009136CA"/>
    <w:rsid w:val="00913E45"/>
    <w:rsid w:val="009179F4"/>
    <w:rsid w:val="00922447"/>
    <w:rsid w:val="00923287"/>
    <w:rsid w:val="0092648C"/>
    <w:rsid w:val="00926A44"/>
    <w:rsid w:val="00926D52"/>
    <w:rsid w:val="00933D86"/>
    <w:rsid w:val="00934957"/>
    <w:rsid w:val="00936674"/>
    <w:rsid w:val="0094149C"/>
    <w:rsid w:val="00941C91"/>
    <w:rsid w:val="009429C5"/>
    <w:rsid w:val="00943883"/>
    <w:rsid w:val="0094591B"/>
    <w:rsid w:val="00951F72"/>
    <w:rsid w:val="00962590"/>
    <w:rsid w:val="00964648"/>
    <w:rsid w:val="0096692A"/>
    <w:rsid w:val="009724C7"/>
    <w:rsid w:val="00974B8C"/>
    <w:rsid w:val="00976BE8"/>
    <w:rsid w:val="00976C5C"/>
    <w:rsid w:val="009845BB"/>
    <w:rsid w:val="009940C6"/>
    <w:rsid w:val="009A6BC8"/>
    <w:rsid w:val="009B03E3"/>
    <w:rsid w:val="009B3E5D"/>
    <w:rsid w:val="009B58B2"/>
    <w:rsid w:val="009C1741"/>
    <w:rsid w:val="009C21C1"/>
    <w:rsid w:val="009C7D2E"/>
    <w:rsid w:val="009D165A"/>
    <w:rsid w:val="009D2B63"/>
    <w:rsid w:val="009D6C73"/>
    <w:rsid w:val="009E1ACD"/>
    <w:rsid w:val="009E33BE"/>
    <w:rsid w:val="009E4797"/>
    <w:rsid w:val="009E664C"/>
    <w:rsid w:val="009E7E50"/>
    <w:rsid w:val="009F0921"/>
    <w:rsid w:val="009F110F"/>
    <w:rsid w:val="009F1D7D"/>
    <w:rsid w:val="009F22BD"/>
    <w:rsid w:val="009F4BE9"/>
    <w:rsid w:val="009F6ADA"/>
    <w:rsid w:val="00A04DA5"/>
    <w:rsid w:val="00A04E88"/>
    <w:rsid w:val="00A0651A"/>
    <w:rsid w:val="00A15713"/>
    <w:rsid w:val="00A16825"/>
    <w:rsid w:val="00A1730B"/>
    <w:rsid w:val="00A2035C"/>
    <w:rsid w:val="00A21E71"/>
    <w:rsid w:val="00A35621"/>
    <w:rsid w:val="00A40170"/>
    <w:rsid w:val="00A43B43"/>
    <w:rsid w:val="00A4450F"/>
    <w:rsid w:val="00A46322"/>
    <w:rsid w:val="00A479CD"/>
    <w:rsid w:val="00A51686"/>
    <w:rsid w:val="00A52BDC"/>
    <w:rsid w:val="00A576FA"/>
    <w:rsid w:val="00A57962"/>
    <w:rsid w:val="00A57A1E"/>
    <w:rsid w:val="00A60454"/>
    <w:rsid w:val="00A6115D"/>
    <w:rsid w:val="00A63052"/>
    <w:rsid w:val="00A70002"/>
    <w:rsid w:val="00A71F20"/>
    <w:rsid w:val="00A73009"/>
    <w:rsid w:val="00A738CE"/>
    <w:rsid w:val="00A76D35"/>
    <w:rsid w:val="00A776A2"/>
    <w:rsid w:val="00A8113F"/>
    <w:rsid w:val="00A81AFB"/>
    <w:rsid w:val="00A836AE"/>
    <w:rsid w:val="00A83D79"/>
    <w:rsid w:val="00A84E1A"/>
    <w:rsid w:val="00A95F27"/>
    <w:rsid w:val="00A96656"/>
    <w:rsid w:val="00AA3600"/>
    <w:rsid w:val="00AA38A5"/>
    <w:rsid w:val="00AA5966"/>
    <w:rsid w:val="00AA6BD1"/>
    <w:rsid w:val="00AB03E4"/>
    <w:rsid w:val="00AB1006"/>
    <w:rsid w:val="00AB4426"/>
    <w:rsid w:val="00AB62E2"/>
    <w:rsid w:val="00AB7392"/>
    <w:rsid w:val="00AB7CB2"/>
    <w:rsid w:val="00AC0555"/>
    <w:rsid w:val="00AC23FF"/>
    <w:rsid w:val="00AC28F4"/>
    <w:rsid w:val="00AC43D4"/>
    <w:rsid w:val="00AC5DB9"/>
    <w:rsid w:val="00AC6884"/>
    <w:rsid w:val="00AD045E"/>
    <w:rsid w:val="00AD372E"/>
    <w:rsid w:val="00AD52D6"/>
    <w:rsid w:val="00AD696F"/>
    <w:rsid w:val="00AE298A"/>
    <w:rsid w:val="00AE5847"/>
    <w:rsid w:val="00AF11A3"/>
    <w:rsid w:val="00AF5A7A"/>
    <w:rsid w:val="00B0590E"/>
    <w:rsid w:val="00B05A0D"/>
    <w:rsid w:val="00B104F1"/>
    <w:rsid w:val="00B107A1"/>
    <w:rsid w:val="00B142E0"/>
    <w:rsid w:val="00B1436E"/>
    <w:rsid w:val="00B15388"/>
    <w:rsid w:val="00B15849"/>
    <w:rsid w:val="00B17D46"/>
    <w:rsid w:val="00B202BD"/>
    <w:rsid w:val="00B212ED"/>
    <w:rsid w:val="00B30153"/>
    <w:rsid w:val="00B333ED"/>
    <w:rsid w:val="00B336A3"/>
    <w:rsid w:val="00B37570"/>
    <w:rsid w:val="00B377CD"/>
    <w:rsid w:val="00B42F35"/>
    <w:rsid w:val="00B50AB5"/>
    <w:rsid w:val="00B52727"/>
    <w:rsid w:val="00B54F4F"/>
    <w:rsid w:val="00B61AD5"/>
    <w:rsid w:val="00B621F4"/>
    <w:rsid w:val="00B62555"/>
    <w:rsid w:val="00B625D0"/>
    <w:rsid w:val="00B63A56"/>
    <w:rsid w:val="00B63EC0"/>
    <w:rsid w:val="00B65480"/>
    <w:rsid w:val="00B67314"/>
    <w:rsid w:val="00B7346C"/>
    <w:rsid w:val="00B73836"/>
    <w:rsid w:val="00B74EB5"/>
    <w:rsid w:val="00B86A1A"/>
    <w:rsid w:val="00B86DB4"/>
    <w:rsid w:val="00B91074"/>
    <w:rsid w:val="00B94823"/>
    <w:rsid w:val="00B95BD9"/>
    <w:rsid w:val="00BA2D22"/>
    <w:rsid w:val="00BA4771"/>
    <w:rsid w:val="00BA74C1"/>
    <w:rsid w:val="00BB6565"/>
    <w:rsid w:val="00BB6BE8"/>
    <w:rsid w:val="00BB7EB0"/>
    <w:rsid w:val="00BC54D9"/>
    <w:rsid w:val="00BC656E"/>
    <w:rsid w:val="00BD0335"/>
    <w:rsid w:val="00BE09BF"/>
    <w:rsid w:val="00BE1625"/>
    <w:rsid w:val="00BF0277"/>
    <w:rsid w:val="00BF0B03"/>
    <w:rsid w:val="00BF0E75"/>
    <w:rsid w:val="00BF2CC6"/>
    <w:rsid w:val="00BF647F"/>
    <w:rsid w:val="00C04616"/>
    <w:rsid w:val="00C0539A"/>
    <w:rsid w:val="00C056B5"/>
    <w:rsid w:val="00C1081B"/>
    <w:rsid w:val="00C13672"/>
    <w:rsid w:val="00C14C2A"/>
    <w:rsid w:val="00C272CA"/>
    <w:rsid w:val="00C32BEC"/>
    <w:rsid w:val="00C41A34"/>
    <w:rsid w:val="00C4356D"/>
    <w:rsid w:val="00C43E2D"/>
    <w:rsid w:val="00C47BBD"/>
    <w:rsid w:val="00C52868"/>
    <w:rsid w:val="00C54302"/>
    <w:rsid w:val="00C549F2"/>
    <w:rsid w:val="00C61AB7"/>
    <w:rsid w:val="00C6310E"/>
    <w:rsid w:val="00C649EE"/>
    <w:rsid w:val="00C66855"/>
    <w:rsid w:val="00C70EA0"/>
    <w:rsid w:val="00C713EF"/>
    <w:rsid w:val="00C7417D"/>
    <w:rsid w:val="00C74216"/>
    <w:rsid w:val="00C7450E"/>
    <w:rsid w:val="00C76F8C"/>
    <w:rsid w:val="00C77C16"/>
    <w:rsid w:val="00C800DF"/>
    <w:rsid w:val="00C80CE4"/>
    <w:rsid w:val="00C81024"/>
    <w:rsid w:val="00C82894"/>
    <w:rsid w:val="00C855E3"/>
    <w:rsid w:val="00C905B2"/>
    <w:rsid w:val="00CA0180"/>
    <w:rsid w:val="00CA2625"/>
    <w:rsid w:val="00CA331B"/>
    <w:rsid w:val="00CA65FF"/>
    <w:rsid w:val="00CA7539"/>
    <w:rsid w:val="00CB1154"/>
    <w:rsid w:val="00CB1CA0"/>
    <w:rsid w:val="00CB3F01"/>
    <w:rsid w:val="00CB5E5D"/>
    <w:rsid w:val="00CB7620"/>
    <w:rsid w:val="00CC128C"/>
    <w:rsid w:val="00CC7E40"/>
    <w:rsid w:val="00CD1A7D"/>
    <w:rsid w:val="00CD3BFE"/>
    <w:rsid w:val="00CD5C68"/>
    <w:rsid w:val="00CD6F30"/>
    <w:rsid w:val="00CD7D0F"/>
    <w:rsid w:val="00CE09D2"/>
    <w:rsid w:val="00CE2546"/>
    <w:rsid w:val="00CE4FEA"/>
    <w:rsid w:val="00CE5CAD"/>
    <w:rsid w:val="00CE5D54"/>
    <w:rsid w:val="00CE7054"/>
    <w:rsid w:val="00CF0EB4"/>
    <w:rsid w:val="00CF25CA"/>
    <w:rsid w:val="00CF2AE7"/>
    <w:rsid w:val="00D019FC"/>
    <w:rsid w:val="00D03D2E"/>
    <w:rsid w:val="00D0475C"/>
    <w:rsid w:val="00D066BD"/>
    <w:rsid w:val="00D078F2"/>
    <w:rsid w:val="00D123AA"/>
    <w:rsid w:val="00D12C55"/>
    <w:rsid w:val="00D12F2C"/>
    <w:rsid w:val="00D133AE"/>
    <w:rsid w:val="00D13893"/>
    <w:rsid w:val="00D1526E"/>
    <w:rsid w:val="00D17822"/>
    <w:rsid w:val="00D232E0"/>
    <w:rsid w:val="00D26B13"/>
    <w:rsid w:val="00D26C9C"/>
    <w:rsid w:val="00D335A4"/>
    <w:rsid w:val="00D336E4"/>
    <w:rsid w:val="00D33F1B"/>
    <w:rsid w:val="00D34EC1"/>
    <w:rsid w:val="00D41B83"/>
    <w:rsid w:val="00D421C2"/>
    <w:rsid w:val="00D44CD4"/>
    <w:rsid w:val="00D4691C"/>
    <w:rsid w:val="00D47C3B"/>
    <w:rsid w:val="00D50076"/>
    <w:rsid w:val="00D503D4"/>
    <w:rsid w:val="00D50D87"/>
    <w:rsid w:val="00D536A3"/>
    <w:rsid w:val="00D54200"/>
    <w:rsid w:val="00D55499"/>
    <w:rsid w:val="00D62B1F"/>
    <w:rsid w:val="00D65870"/>
    <w:rsid w:val="00D67933"/>
    <w:rsid w:val="00D76389"/>
    <w:rsid w:val="00D7744A"/>
    <w:rsid w:val="00D84046"/>
    <w:rsid w:val="00D8485B"/>
    <w:rsid w:val="00D90118"/>
    <w:rsid w:val="00D90ACF"/>
    <w:rsid w:val="00D92829"/>
    <w:rsid w:val="00D92B8A"/>
    <w:rsid w:val="00D97B33"/>
    <w:rsid w:val="00DA082F"/>
    <w:rsid w:val="00DA0A3B"/>
    <w:rsid w:val="00DA459E"/>
    <w:rsid w:val="00DA6CDA"/>
    <w:rsid w:val="00DA7B89"/>
    <w:rsid w:val="00DA7D39"/>
    <w:rsid w:val="00DB0326"/>
    <w:rsid w:val="00DB465C"/>
    <w:rsid w:val="00DC03CA"/>
    <w:rsid w:val="00DC4902"/>
    <w:rsid w:val="00DC5887"/>
    <w:rsid w:val="00DC7953"/>
    <w:rsid w:val="00DD03AE"/>
    <w:rsid w:val="00DD16E3"/>
    <w:rsid w:val="00DD3EC6"/>
    <w:rsid w:val="00DD5D23"/>
    <w:rsid w:val="00DD6B69"/>
    <w:rsid w:val="00DD6F0A"/>
    <w:rsid w:val="00DE3E9C"/>
    <w:rsid w:val="00DE6C0B"/>
    <w:rsid w:val="00DE7B9B"/>
    <w:rsid w:val="00DF36F2"/>
    <w:rsid w:val="00DF3996"/>
    <w:rsid w:val="00DF55F7"/>
    <w:rsid w:val="00DF642F"/>
    <w:rsid w:val="00DF7556"/>
    <w:rsid w:val="00E010E1"/>
    <w:rsid w:val="00E0392E"/>
    <w:rsid w:val="00E04873"/>
    <w:rsid w:val="00E053F1"/>
    <w:rsid w:val="00E10299"/>
    <w:rsid w:val="00E11F94"/>
    <w:rsid w:val="00E12457"/>
    <w:rsid w:val="00E12E71"/>
    <w:rsid w:val="00E133A8"/>
    <w:rsid w:val="00E1356D"/>
    <w:rsid w:val="00E14057"/>
    <w:rsid w:val="00E14BB1"/>
    <w:rsid w:val="00E153E0"/>
    <w:rsid w:val="00E160D1"/>
    <w:rsid w:val="00E22702"/>
    <w:rsid w:val="00E33A98"/>
    <w:rsid w:val="00E36E78"/>
    <w:rsid w:val="00E370F6"/>
    <w:rsid w:val="00E4673D"/>
    <w:rsid w:val="00E505C5"/>
    <w:rsid w:val="00E52C6C"/>
    <w:rsid w:val="00E60BF2"/>
    <w:rsid w:val="00E60C69"/>
    <w:rsid w:val="00E6480A"/>
    <w:rsid w:val="00E65EB8"/>
    <w:rsid w:val="00E70818"/>
    <w:rsid w:val="00E71679"/>
    <w:rsid w:val="00E71F0B"/>
    <w:rsid w:val="00E7237C"/>
    <w:rsid w:val="00E73BC5"/>
    <w:rsid w:val="00E758DA"/>
    <w:rsid w:val="00E75D80"/>
    <w:rsid w:val="00E824EE"/>
    <w:rsid w:val="00E82B15"/>
    <w:rsid w:val="00E857F1"/>
    <w:rsid w:val="00E87B0C"/>
    <w:rsid w:val="00E87DD0"/>
    <w:rsid w:val="00E9162D"/>
    <w:rsid w:val="00E92DE4"/>
    <w:rsid w:val="00E94AD7"/>
    <w:rsid w:val="00E959EA"/>
    <w:rsid w:val="00E9698D"/>
    <w:rsid w:val="00E97549"/>
    <w:rsid w:val="00E97900"/>
    <w:rsid w:val="00EA1D92"/>
    <w:rsid w:val="00EA211E"/>
    <w:rsid w:val="00EA71A9"/>
    <w:rsid w:val="00EA7C72"/>
    <w:rsid w:val="00EB4395"/>
    <w:rsid w:val="00EB57C4"/>
    <w:rsid w:val="00EC194D"/>
    <w:rsid w:val="00EC2181"/>
    <w:rsid w:val="00EC56B0"/>
    <w:rsid w:val="00EC6A1E"/>
    <w:rsid w:val="00ED2BD9"/>
    <w:rsid w:val="00ED61B0"/>
    <w:rsid w:val="00ED72F4"/>
    <w:rsid w:val="00EE653A"/>
    <w:rsid w:val="00EF0B5A"/>
    <w:rsid w:val="00EF18C2"/>
    <w:rsid w:val="00EF3F4A"/>
    <w:rsid w:val="00EF5F08"/>
    <w:rsid w:val="00EF6F8A"/>
    <w:rsid w:val="00F0065F"/>
    <w:rsid w:val="00F03E8E"/>
    <w:rsid w:val="00F054EF"/>
    <w:rsid w:val="00F06438"/>
    <w:rsid w:val="00F06777"/>
    <w:rsid w:val="00F10C7D"/>
    <w:rsid w:val="00F20184"/>
    <w:rsid w:val="00F22956"/>
    <w:rsid w:val="00F22D9F"/>
    <w:rsid w:val="00F23198"/>
    <w:rsid w:val="00F2436D"/>
    <w:rsid w:val="00F24DB1"/>
    <w:rsid w:val="00F27C80"/>
    <w:rsid w:val="00F31FAC"/>
    <w:rsid w:val="00F65499"/>
    <w:rsid w:val="00F65F1F"/>
    <w:rsid w:val="00F702C2"/>
    <w:rsid w:val="00F70D4E"/>
    <w:rsid w:val="00F717A7"/>
    <w:rsid w:val="00F733D3"/>
    <w:rsid w:val="00F73657"/>
    <w:rsid w:val="00F80384"/>
    <w:rsid w:val="00F8084F"/>
    <w:rsid w:val="00F810F9"/>
    <w:rsid w:val="00F826E0"/>
    <w:rsid w:val="00F850BA"/>
    <w:rsid w:val="00F937B0"/>
    <w:rsid w:val="00F93CED"/>
    <w:rsid w:val="00F95F35"/>
    <w:rsid w:val="00FA2DE8"/>
    <w:rsid w:val="00FA42E7"/>
    <w:rsid w:val="00FA47B7"/>
    <w:rsid w:val="00FA7412"/>
    <w:rsid w:val="00FB7C46"/>
    <w:rsid w:val="00FC4B1B"/>
    <w:rsid w:val="00FD40A5"/>
    <w:rsid w:val="00FD4F7D"/>
    <w:rsid w:val="00FE1D75"/>
    <w:rsid w:val="00FF004D"/>
    <w:rsid w:val="00FF1916"/>
    <w:rsid w:val="00FF4C43"/>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Acronym" w:uiPriority="0"/>
    <w:lsdException w:name="Outline List 3" w:uiPriority="0"/>
    <w:lsdException w:name="Table Elegan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
    <w:rsid w:val="00D50D87"/>
    <w:rPr>
      <w:sz w:val="24"/>
      <w:szCs w:val="24"/>
    </w:rPr>
  </w:style>
  <w:style w:type="character" w:customStyle="1" w:styleId="Heading8Char">
    <w:name w:val="Heading 8 Char"/>
    <w:basedOn w:val="DefaultParagraphFont"/>
    <w:link w:val="Heading8"/>
    <w:uiPriority w:val="9"/>
    <w:rsid w:val="00D50D87"/>
    <w:rPr>
      <w:i/>
      <w:iCs/>
      <w:sz w:val="24"/>
      <w:szCs w:val="24"/>
    </w:rPr>
  </w:style>
  <w:style w:type="character" w:customStyle="1" w:styleId="Heading9Char">
    <w:name w:val="Heading 9 Char"/>
    <w:basedOn w:val="DefaultParagraphFont"/>
    <w:link w:val="Heading9"/>
    <w:uiPriority w:val="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uiPriority w:val="99"/>
    <w:semiHidden/>
    <w:unhideWhenUsed/>
    <w:rsid w:val="00E33A98"/>
    <w:rPr>
      <w:rFonts w:ascii="Tahoma" w:hAnsi="Tahoma" w:cs="Tahoma"/>
      <w:sz w:val="16"/>
      <w:szCs w:val="16"/>
    </w:rPr>
  </w:style>
  <w:style w:type="character" w:customStyle="1" w:styleId="BalloonTextChar">
    <w:name w:val="Balloon Text Char"/>
    <w:basedOn w:val="DefaultParagraphFont"/>
    <w:link w:val="BalloonText"/>
    <w:uiPriority w:val="99"/>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6A2FCB"/>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uiPriority w:val="99"/>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uiPriority w:val="99"/>
    <w:semiHidden/>
    <w:rsid w:val="006A2FCB"/>
    <w:rPr>
      <w:b/>
      <w:bCs/>
    </w:rPr>
  </w:style>
  <w:style w:type="character" w:customStyle="1" w:styleId="CommentSubjectChar">
    <w:name w:val="Comment Subject Char"/>
    <w:basedOn w:val="CommentTextChar"/>
    <w:link w:val="CommentSubject"/>
    <w:uiPriority w:val="99"/>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semiHidden/>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ustom-word-wrap1">
    <w:name w:val="custom-word-wrap1"/>
    <w:basedOn w:val="DefaultParagraphFont"/>
    <w:rsid w:val="00132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w:uiPriority="0"/>
    <w:lsdException w:name="Body Text First Indent 2" w:uiPriority="0"/>
    <w:lsdException w:name="Body Tex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HTML Acronym" w:uiPriority="0"/>
    <w:lsdException w:name="Outline List 3" w:uiPriority="0"/>
    <w:lsdException w:name="Table Elegan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
    <w:rsid w:val="00D50D87"/>
    <w:rPr>
      <w:sz w:val="24"/>
      <w:szCs w:val="24"/>
    </w:rPr>
  </w:style>
  <w:style w:type="character" w:customStyle="1" w:styleId="Heading8Char">
    <w:name w:val="Heading 8 Char"/>
    <w:basedOn w:val="DefaultParagraphFont"/>
    <w:link w:val="Heading8"/>
    <w:uiPriority w:val="9"/>
    <w:rsid w:val="00D50D87"/>
    <w:rPr>
      <w:i/>
      <w:iCs/>
      <w:sz w:val="24"/>
      <w:szCs w:val="24"/>
    </w:rPr>
  </w:style>
  <w:style w:type="character" w:customStyle="1" w:styleId="Heading9Char">
    <w:name w:val="Heading 9 Char"/>
    <w:basedOn w:val="DefaultParagraphFont"/>
    <w:link w:val="Heading9"/>
    <w:uiPriority w:val="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uiPriority w:val="99"/>
    <w:semiHidden/>
    <w:unhideWhenUsed/>
    <w:rsid w:val="00E33A98"/>
    <w:rPr>
      <w:rFonts w:ascii="Tahoma" w:hAnsi="Tahoma" w:cs="Tahoma"/>
      <w:sz w:val="16"/>
      <w:szCs w:val="16"/>
    </w:rPr>
  </w:style>
  <w:style w:type="character" w:customStyle="1" w:styleId="BalloonTextChar">
    <w:name w:val="Balloon Text Char"/>
    <w:basedOn w:val="DefaultParagraphFont"/>
    <w:link w:val="BalloonText"/>
    <w:uiPriority w:val="99"/>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6A2FCB"/>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uiPriority w:val="99"/>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uiPriority w:val="99"/>
    <w:semiHidden/>
    <w:rsid w:val="006A2FCB"/>
    <w:rPr>
      <w:b/>
      <w:bCs/>
    </w:rPr>
  </w:style>
  <w:style w:type="character" w:customStyle="1" w:styleId="CommentSubjectChar">
    <w:name w:val="Comment Subject Char"/>
    <w:basedOn w:val="CommentTextChar"/>
    <w:link w:val="CommentSubject"/>
    <w:uiPriority w:val="99"/>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semiHidden/>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ustom-word-wrap1">
    <w:name w:val="custom-word-wrap1"/>
    <w:basedOn w:val="DefaultParagraphFont"/>
    <w:rsid w:val="00132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6150-F118-4ADB-BF8A-D6FA8C48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LIS LRI Test Plan</vt:lpstr>
    </vt:vector>
  </TitlesOfParts>
  <Company>NIST</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 LRI Test Plan</dc:title>
  <dc:creator>Robert Snelick</dc:creator>
  <cp:lastModifiedBy>Taylor, Sheryl L.</cp:lastModifiedBy>
  <cp:revision>3</cp:revision>
  <dcterms:created xsi:type="dcterms:W3CDTF">2014-08-19T21:31:00Z</dcterms:created>
  <dcterms:modified xsi:type="dcterms:W3CDTF">2014-08-19T21:35:00Z</dcterms:modified>
</cp:coreProperties>
</file>