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EES</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4</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4</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5</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8</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8</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16</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19</w:t>
        </w:r>
        <w:r>
          <w:fldChar w:fldCharType="end"/>
        </w:r>
      </w:hyperlink>
    </w:p>
    <w:p>
      <w:pPr>
        <w:pStyle w:val="TOC2"/>
        <w:rPr>
          <w:rFonts w:asciiTheme="minorHAnsi" w:hAnsiTheme="minorHAnsi"/>
          <w:noProof/>
          <w:sz w:val="22"/>
        </w:rPr>
      </w:pPr>
      <w:hyperlink w:anchor="_Toc256000007" w:history="1">
        <w:r>
          <w:rPr>
            <w:rStyle w:val="Hyperlink"/>
          </w:rPr>
          <w:t>CAL Suites and CAL Suite Bridges</w:t>
        </w:r>
        <w:r>
          <w:tab/>
        </w:r>
        <w:r>
          <w:fldChar w:fldCharType="begin"/>
        </w:r>
        <w:r>
          <w:instrText xml:space="preserve"> PAGEREF _Toc256000007 \h </w:instrText>
        </w:r>
        <w:r>
          <w:fldChar w:fldCharType="separate"/>
        </w:r>
        <w:r>
          <w:t>29</w:t>
        </w:r>
        <w:r>
          <w:fldChar w:fldCharType="end"/>
        </w:r>
      </w:hyperlink>
    </w:p>
    <w:p>
      <w:pPr>
        <w:pStyle w:val="TOC2"/>
        <w:rPr>
          <w:rFonts w:asciiTheme="minorHAnsi" w:hAnsiTheme="minorHAnsi"/>
          <w:noProof/>
          <w:sz w:val="22"/>
        </w:rPr>
      </w:pPr>
      <w:hyperlink w:anchor="_Toc256000008" w:history="1">
        <w:r>
          <w:rPr>
            <w:rStyle w:val="Hyperlink"/>
          </w:rPr>
          <w:t>Infrastructure and Other Servers</w:t>
        </w:r>
        <w:r>
          <w:tab/>
        </w:r>
        <w:r>
          <w:fldChar w:fldCharType="begin"/>
        </w:r>
        <w:r>
          <w:instrText xml:space="preserve"> PAGEREF _Toc256000008 \h </w:instrText>
        </w:r>
        <w:r>
          <w:fldChar w:fldCharType="separate"/>
        </w:r>
        <w:r>
          <w:t>33</w:t>
        </w:r>
        <w:r>
          <w:fldChar w:fldCharType="end"/>
        </w:r>
      </w:hyperlink>
    </w:p>
    <w:p>
      <w:pPr>
        <w:pStyle w:val="TOC2"/>
        <w:rPr>
          <w:rFonts w:asciiTheme="minorHAnsi" w:hAnsiTheme="minorHAnsi"/>
          <w:noProof/>
          <w:sz w:val="22"/>
        </w:rPr>
      </w:pPr>
      <w:hyperlink w:anchor="_Toc256000009" w:history="1">
        <w:r>
          <w:rPr>
            <w:rStyle w:val="Hyperlink"/>
          </w:rPr>
          <w:t>Advanced Threat Analytics</w:t>
        </w:r>
        <w:r>
          <w:tab/>
        </w:r>
        <w:r>
          <w:fldChar w:fldCharType="begin"/>
        </w:r>
        <w:r>
          <w:instrText xml:space="preserve"> PAGEREF _Toc256000009 \h </w:instrText>
        </w:r>
        <w:r>
          <w:fldChar w:fldCharType="separate"/>
        </w:r>
        <w:r>
          <w:t>33</w:t>
        </w:r>
        <w:r>
          <w:fldChar w:fldCharType="end"/>
        </w:r>
      </w:hyperlink>
    </w:p>
    <w:p>
      <w:pPr>
        <w:pStyle w:val="TOC2"/>
        <w:rPr>
          <w:rFonts w:asciiTheme="minorHAnsi" w:hAnsiTheme="minorHAnsi"/>
          <w:noProof/>
          <w:sz w:val="22"/>
        </w:rPr>
      </w:pPr>
      <w:hyperlink w:anchor="_Toc256000010" w:history="1">
        <w:r>
          <w:rPr>
            <w:rStyle w:val="Hyperlink"/>
          </w:rPr>
          <w:t>BizTalk Server</w:t>
        </w:r>
        <w:r>
          <w:tab/>
        </w:r>
        <w:r>
          <w:fldChar w:fldCharType="begin"/>
        </w:r>
        <w:r>
          <w:instrText xml:space="preserve"> PAGEREF _Toc256000010 \h </w:instrText>
        </w:r>
        <w:r>
          <w:fldChar w:fldCharType="separate"/>
        </w:r>
        <w:r>
          <w:t>36</w:t>
        </w:r>
        <w:r>
          <w:fldChar w:fldCharType="end"/>
        </w:r>
      </w:hyperlink>
    </w:p>
    <w:p>
      <w:pPr>
        <w:pStyle w:val="TOC2"/>
        <w:rPr>
          <w:rFonts w:asciiTheme="minorHAnsi" w:hAnsiTheme="minorHAnsi"/>
          <w:noProof/>
          <w:sz w:val="22"/>
        </w:rPr>
      </w:pPr>
      <w:hyperlink w:anchor="_Toc256000011" w:history="1">
        <w:r>
          <w:rPr>
            <w:rStyle w:val="Hyperlink"/>
          </w:rPr>
          <w:t>Core Infrastructure Server</w:t>
        </w:r>
        <w:r>
          <w:tab/>
        </w:r>
        <w:r>
          <w:fldChar w:fldCharType="begin"/>
        </w:r>
        <w:r>
          <w:instrText xml:space="preserve"> PAGEREF _Toc256000011 \h </w:instrText>
        </w:r>
        <w:r>
          <w:fldChar w:fldCharType="separate"/>
        </w:r>
        <w:r>
          <w:t>38</w:t>
        </w:r>
        <w:r>
          <w:fldChar w:fldCharType="end"/>
        </w:r>
      </w:hyperlink>
    </w:p>
    <w:p>
      <w:pPr>
        <w:pStyle w:val="TOC2"/>
        <w:rPr>
          <w:rFonts w:asciiTheme="minorHAnsi" w:hAnsiTheme="minorHAnsi"/>
          <w:noProof/>
          <w:sz w:val="22"/>
        </w:rPr>
      </w:pPr>
      <w:hyperlink w:anchor="_Toc256000012" w:history="1">
        <w:r>
          <w:rPr>
            <w:rStyle w:val="Hyperlink"/>
          </w:rPr>
          <w:t>Forefront Identity Manager</w:t>
        </w:r>
        <w:r>
          <w:tab/>
        </w:r>
        <w:r>
          <w:fldChar w:fldCharType="begin"/>
        </w:r>
        <w:r>
          <w:instrText xml:space="preserve"> PAGEREF _Toc256000012 \h </w:instrText>
        </w:r>
        <w:r>
          <w:fldChar w:fldCharType="separate"/>
        </w:r>
        <w:r>
          <w:t>40</w:t>
        </w:r>
        <w:r>
          <w:fldChar w:fldCharType="end"/>
        </w:r>
      </w:hyperlink>
    </w:p>
    <w:p>
      <w:pPr>
        <w:pStyle w:val="TOC2"/>
        <w:rPr>
          <w:rFonts w:asciiTheme="minorHAnsi" w:hAnsiTheme="minorHAnsi"/>
          <w:noProof/>
          <w:sz w:val="22"/>
        </w:rPr>
      </w:pPr>
      <w:hyperlink w:anchor="_Toc256000013" w:history="1">
        <w:r>
          <w:rPr>
            <w:rStyle w:val="Hyperlink"/>
          </w:rPr>
          <w:t>Microsoft Identity Manager</w:t>
        </w:r>
        <w:r>
          <w:tab/>
        </w:r>
        <w:r>
          <w:fldChar w:fldCharType="begin"/>
        </w:r>
        <w:r>
          <w:instrText xml:space="preserve"> PAGEREF _Toc256000013 \h </w:instrText>
        </w:r>
        <w:r>
          <w:fldChar w:fldCharType="separate"/>
        </w:r>
        <w:r>
          <w:t>42</w:t>
        </w:r>
        <w:r>
          <w:fldChar w:fldCharType="end"/>
        </w:r>
      </w:hyperlink>
    </w:p>
    <w:p>
      <w:pPr>
        <w:pStyle w:val="TOC2"/>
        <w:rPr>
          <w:rFonts w:asciiTheme="minorHAnsi" w:hAnsiTheme="minorHAnsi"/>
          <w:noProof/>
          <w:sz w:val="22"/>
        </w:rPr>
      </w:pPr>
      <w:hyperlink w:anchor="_Toc256000014" w:history="1">
        <w:r>
          <w:rPr>
            <w:rStyle w:val="Hyperlink"/>
          </w:rPr>
          <w:t>System Center</w:t>
        </w:r>
        <w:r>
          <w:tab/>
        </w:r>
        <w:r>
          <w:fldChar w:fldCharType="begin"/>
        </w:r>
        <w:r>
          <w:instrText xml:space="preserve"> PAGEREF _Toc256000014 \h </w:instrText>
        </w:r>
        <w:r>
          <w:fldChar w:fldCharType="separate"/>
        </w:r>
        <w:r>
          <w:t>44</w:t>
        </w:r>
        <w:r>
          <w:fldChar w:fldCharType="end"/>
        </w:r>
      </w:hyperlink>
    </w:p>
    <w:p>
      <w:pPr>
        <w:pStyle w:val="TOC2"/>
        <w:rPr>
          <w:rFonts w:asciiTheme="minorHAnsi" w:hAnsiTheme="minorHAnsi"/>
          <w:noProof/>
          <w:sz w:val="22"/>
        </w:rPr>
      </w:pPr>
      <w:hyperlink w:anchor="_Toc256000015" w:history="1">
        <w:r>
          <w:rPr>
            <w:rStyle w:val="Hyperlink"/>
          </w:rPr>
          <w:t>System Center Server</w:t>
        </w:r>
        <w:r>
          <w:tab/>
        </w:r>
        <w:r>
          <w:fldChar w:fldCharType="begin"/>
        </w:r>
        <w:r>
          <w:instrText xml:space="preserve"> PAGEREF _Toc256000015 \h </w:instrText>
        </w:r>
        <w:r>
          <w:fldChar w:fldCharType="separate"/>
        </w:r>
        <w:r>
          <w:t>44</w:t>
        </w:r>
        <w:r>
          <w:fldChar w:fldCharType="end"/>
        </w:r>
      </w:hyperlink>
    </w:p>
    <w:p>
      <w:pPr>
        <w:pStyle w:val="TOC2"/>
        <w:rPr>
          <w:rFonts w:asciiTheme="minorHAnsi" w:hAnsiTheme="minorHAnsi"/>
          <w:noProof/>
          <w:sz w:val="22"/>
        </w:rPr>
      </w:pPr>
      <w:hyperlink w:anchor="_Toc256000016" w:history="1">
        <w:r>
          <w:rPr>
            <w:rStyle w:val="Hyperlink"/>
          </w:rPr>
          <w:t>Microsoft Endpoint Configuration Manager</w:t>
        </w:r>
        <w:r>
          <w:tab/>
        </w:r>
        <w:r>
          <w:fldChar w:fldCharType="begin"/>
        </w:r>
        <w:r>
          <w:instrText xml:space="preserve"> PAGEREF _Toc256000016 \h </w:instrText>
        </w:r>
        <w:r>
          <w:fldChar w:fldCharType="separate"/>
        </w:r>
        <w:r>
          <w:t>46</w:t>
        </w:r>
        <w:r>
          <w:fldChar w:fldCharType="end"/>
        </w:r>
      </w:hyperlink>
    </w:p>
    <w:p>
      <w:pPr>
        <w:pStyle w:val="TOC2"/>
        <w:rPr>
          <w:rFonts w:asciiTheme="minorHAnsi" w:hAnsiTheme="minorHAnsi"/>
          <w:noProof/>
          <w:sz w:val="22"/>
        </w:rPr>
      </w:pPr>
      <w:hyperlink w:anchor="_Toc256000017" w:history="1">
        <w:r>
          <w:rPr>
            <w:rStyle w:val="Hyperlink"/>
          </w:rPr>
          <w:t>System Center Data Protection Manager</w:t>
        </w:r>
        <w:r>
          <w:tab/>
        </w:r>
        <w:r>
          <w:fldChar w:fldCharType="begin"/>
        </w:r>
        <w:r>
          <w:instrText xml:space="preserve"> PAGEREF _Toc256000017 \h </w:instrText>
        </w:r>
        <w:r>
          <w:fldChar w:fldCharType="separate"/>
        </w:r>
        <w:r>
          <w:t>49</w:t>
        </w:r>
        <w:r>
          <w:fldChar w:fldCharType="end"/>
        </w:r>
      </w:hyperlink>
    </w:p>
    <w:p>
      <w:pPr>
        <w:pStyle w:val="TOC2"/>
        <w:rPr>
          <w:rFonts w:asciiTheme="minorHAnsi" w:hAnsiTheme="minorHAnsi"/>
          <w:noProof/>
          <w:sz w:val="22"/>
        </w:rPr>
      </w:pPr>
      <w:hyperlink w:anchor="_Toc256000018" w:history="1">
        <w:r>
          <w:rPr>
            <w:rStyle w:val="Hyperlink"/>
          </w:rPr>
          <w:t>System Center Endpoint Protection</w:t>
        </w:r>
        <w:r>
          <w:tab/>
        </w:r>
        <w:r>
          <w:fldChar w:fldCharType="begin"/>
        </w:r>
        <w:r>
          <w:instrText xml:space="preserve"> PAGEREF _Toc256000018 \h </w:instrText>
        </w:r>
        <w:r>
          <w:fldChar w:fldCharType="separate"/>
        </w:r>
        <w:r>
          <w:t>52</w:t>
        </w:r>
        <w:r>
          <w:fldChar w:fldCharType="end"/>
        </w:r>
      </w:hyperlink>
    </w:p>
    <w:p>
      <w:pPr>
        <w:pStyle w:val="TOC2"/>
        <w:rPr>
          <w:rFonts w:asciiTheme="minorHAnsi" w:hAnsiTheme="minorHAnsi"/>
          <w:noProof/>
          <w:sz w:val="22"/>
        </w:rPr>
      </w:pPr>
      <w:hyperlink w:anchor="_Toc256000019" w:history="1">
        <w:r>
          <w:rPr>
            <w:rStyle w:val="Hyperlink"/>
          </w:rPr>
          <w:t>System Center Operations Manager</w:t>
        </w:r>
        <w:r>
          <w:tab/>
        </w:r>
        <w:r>
          <w:fldChar w:fldCharType="begin"/>
        </w:r>
        <w:r>
          <w:instrText xml:space="preserve"> PAGEREF _Toc256000019 \h </w:instrText>
        </w:r>
        <w:r>
          <w:fldChar w:fldCharType="separate"/>
        </w:r>
        <w:r>
          <w:t>54</w:t>
        </w:r>
        <w:r>
          <w:fldChar w:fldCharType="end"/>
        </w:r>
      </w:hyperlink>
    </w:p>
    <w:p>
      <w:pPr>
        <w:pStyle w:val="TOC2"/>
        <w:rPr>
          <w:rFonts w:asciiTheme="minorHAnsi" w:hAnsiTheme="minorHAnsi"/>
          <w:noProof/>
          <w:sz w:val="22"/>
        </w:rPr>
      </w:pPr>
      <w:hyperlink w:anchor="_Toc256000020" w:history="1">
        <w:r>
          <w:rPr>
            <w:rStyle w:val="Hyperlink"/>
          </w:rPr>
          <w:t>System Center Orchestrator</w:t>
        </w:r>
        <w:r>
          <w:tab/>
        </w:r>
        <w:r>
          <w:fldChar w:fldCharType="begin"/>
        </w:r>
        <w:r>
          <w:instrText xml:space="preserve"> PAGEREF _Toc256000020 \h </w:instrText>
        </w:r>
        <w:r>
          <w:fldChar w:fldCharType="separate"/>
        </w:r>
        <w:r>
          <w:t>57</w:t>
        </w:r>
        <w:r>
          <w:fldChar w:fldCharType="end"/>
        </w:r>
      </w:hyperlink>
    </w:p>
    <w:p>
      <w:pPr>
        <w:pStyle w:val="TOC2"/>
        <w:rPr>
          <w:rFonts w:asciiTheme="minorHAnsi" w:hAnsiTheme="minorHAnsi"/>
          <w:noProof/>
          <w:sz w:val="22"/>
        </w:rPr>
      </w:pPr>
      <w:hyperlink w:anchor="_Toc256000021" w:history="1">
        <w:r>
          <w:rPr>
            <w:rStyle w:val="Hyperlink"/>
          </w:rPr>
          <w:t>System Center Service Manager</w:t>
        </w:r>
        <w:r>
          <w:tab/>
        </w:r>
        <w:r>
          <w:fldChar w:fldCharType="begin"/>
        </w:r>
        <w:r>
          <w:instrText xml:space="preserve"> PAGEREF _Toc256000021 \h </w:instrText>
        </w:r>
        <w:r>
          <w:fldChar w:fldCharType="separate"/>
        </w:r>
        <w:r>
          <w:t>59</w:t>
        </w:r>
        <w:r>
          <w:fldChar w:fldCharType="end"/>
        </w:r>
      </w:hyperlink>
    </w:p>
    <w:p>
      <w:pPr>
        <w:pStyle w:val="TOC2"/>
        <w:rPr>
          <w:rFonts w:asciiTheme="minorHAnsi" w:hAnsiTheme="minorHAnsi"/>
          <w:noProof/>
          <w:sz w:val="22"/>
        </w:rPr>
      </w:pPr>
      <w:hyperlink w:anchor="_Toc256000022" w:history="1">
        <w:r>
          <w:rPr>
            <w:rStyle w:val="Hyperlink"/>
          </w:rPr>
          <w:t>Microsoft Dynamics 365 On-premises</w:t>
        </w:r>
        <w:r>
          <w:tab/>
        </w:r>
        <w:r>
          <w:fldChar w:fldCharType="begin"/>
        </w:r>
        <w:r>
          <w:instrText xml:space="preserve"> PAGEREF _Toc256000022 \h </w:instrText>
        </w:r>
        <w:r>
          <w:fldChar w:fldCharType="separate"/>
        </w:r>
        <w:r>
          <w:t>61</w:t>
        </w:r>
        <w:r>
          <w:fldChar w:fldCharType="end"/>
        </w:r>
      </w:hyperlink>
    </w:p>
    <w:p>
      <w:pPr>
        <w:pStyle w:val="TOC2"/>
        <w:rPr>
          <w:rFonts w:asciiTheme="minorHAnsi" w:hAnsiTheme="minorHAnsi"/>
          <w:noProof/>
          <w:sz w:val="22"/>
        </w:rPr>
      </w:pPr>
      <w:hyperlink w:anchor="_Toc256000023" w:history="1">
        <w:r>
          <w:rPr>
            <w:rStyle w:val="Hyperlink"/>
          </w:rPr>
          <w:t>Office Applications</w:t>
        </w:r>
        <w:r>
          <w:tab/>
        </w:r>
        <w:r>
          <w:fldChar w:fldCharType="begin"/>
        </w:r>
        <w:r>
          <w:instrText xml:space="preserve"> PAGEREF _Toc256000023 \h </w:instrText>
        </w:r>
        <w:r>
          <w:fldChar w:fldCharType="separate"/>
        </w:r>
        <w:r>
          <w:t>65</w:t>
        </w:r>
        <w:r>
          <w:fldChar w:fldCharType="end"/>
        </w:r>
      </w:hyperlink>
    </w:p>
    <w:p>
      <w:pPr>
        <w:pStyle w:val="TOC2"/>
        <w:rPr>
          <w:rFonts w:asciiTheme="minorHAnsi" w:hAnsiTheme="minorHAnsi"/>
          <w:noProof/>
          <w:sz w:val="22"/>
        </w:rPr>
      </w:pPr>
      <w:hyperlink w:anchor="_Toc256000024" w:history="1">
        <w:r>
          <w:rPr>
            <w:rStyle w:val="Hyperlink"/>
          </w:rPr>
          <w:t>Office Desktop Applications (Windows)</w:t>
        </w:r>
        <w:r>
          <w:tab/>
        </w:r>
        <w:r>
          <w:fldChar w:fldCharType="begin"/>
        </w:r>
        <w:r>
          <w:instrText xml:space="preserve"> PAGEREF _Toc256000024 \h </w:instrText>
        </w:r>
        <w:r>
          <w:fldChar w:fldCharType="separate"/>
        </w:r>
        <w:r>
          <w:t>65</w:t>
        </w:r>
        <w:r>
          <w:fldChar w:fldCharType="end"/>
        </w:r>
      </w:hyperlink>
    </w:p>
    <w:p>
      <w:pPr>
        <w:pStyle w:val="TOC2"/>
        <w:rPr>
          <w:rFonts w:asciiTheme="minorHAnsi" w:hAnsiTheme="minorHAnsi"/>
          <w:noProof/>
          <w:sz w:val="22"/>
        </w:rPr>
      </w:pPr>
      <w:hyperlink w:anchor="_Toc256000025" w:history="1">
        <w:r>
          <w:rPr>
            <w:rStyle w:val="Hyperlink"/>
          </w:rPr>
          <w:t>Office Servers</w:t>
        </w:r>
        <w:r>
          <w:tab/>
        </w:r>
        <w:r>
          <w:fldChar w:fldCharType="begin"/>
        </w:r>
        <w:r>
          <w:instrText xml:space="preserve"> PAGEREF _Toc256000025 \h </w:instrText>
        </w:r>
        <w:r>
          <w:fldChar w:fldCharType="separate"/>
        </w:r>
        <w:r>
          <w:t>67</w:t>
        </w:r>
        <w:r>
          <w:fldChar w:fldCharType="end"/>
        </w:r>
      </w:hyperlink>
    </w:p>
    <w:p>
      <w:pPr>
        <w:pStyle w:val="TOC2"/>
        <w:rPr>
          <w:rFonts w:asciiTheme="minorHAnsi" w:hAnsiTheme="minorHAnsi"/>
          <w:noProof/>
          <w:sz w:val="22"/>
        </w:rPr>
      </w:pPr>
      <w:hyperlink w:anchor="_Toc256000026" w:history="1">
        <w:r>
          <w:rPr>
            <w:rStyle w:val="Hyperlink"/>
          </w:rPr>
          <w:t>Exchange Server</w:t>
        </w:r>
        <w:r>
          <w:tab/>
        </w:r>
        <w:r>
          <w:fldChar w:fldCharType="begin"/>
        </w:r>
        <w:r>
          <w:instrText xml:space="preserve"> PAGEREF _Toc256000026 \h </w:instrText>
        </w:r>
        <w:r>
          <w:fldChar w:fldCharType="separate"/>
        </w:r>
        <w:r>
          <w:t>67</w:t>
        </w:r>
        <w:r>
          <w:fldChar w:fldCharType="end"/>
        </w:r>
      </w:hyperlink>
    </w:p>
    <w:p>
      <w:pPr>
        <w:pStyle w:val="TOC2"/>
        <w:rPr>
          <w:rFonts w:asciiTheme="minorHAnsi" w:hAnsiTheme="minorHAnsi"/>
          <w:noProof/>
          <w:sz w:val="22"/>
        </w:rPr>
      </w:pPr>
      <w:hyperlink w:anchor="_Toc256000027" w:history="1">
        <w:r>
          <w:rPr>
            <w:rStyle w:val="Hyperlink"/>
          </w:rPr>
          <w:t>Project Server</w:t>
        </w:r>
        <w:r>
          <w:tab/>
        </w:r>
        <w:r>
          <w:fldChar w:fldCharType="begin"/>
        </w:r>
        <w:r>
          <w:instrText xml:space="preserve"> PAGEREF _Toc256000027 \h </w:instrText>
        </w:r>
        <w:r>
          <w:fldChar w:fldCharType="separate"/>
        </w:r>
        <w:r>
          <w:t>69</w:t>
        </w:r>
        <w:r>
          <w:fldChar w:fldCharType="end"/>
        </w:r>
      </w:hyperlink>
    </w:p>
    <w:p>
      <w:pPr>
        <w:pStyle w:val="TOC2"/>
        <w:rPr>
          <w:rFonts w:asciiTheme="minorHAnsi" w:hAnsiTheme="minorHAnsi"/>
          <w:noProof/>
          <w:sz w:val="22"/>
        </w:rPr>
      </w:pPr>
      <w:hyperlink w:anchor="_Toc256000028" w:history="1">
        <w:r>
          <w:rPr>
            <w:rStyle w:val="Hyperlink"/>
          </w:rPr>
          <w:t>SharePoint Server</w:t>
        </w:r>
        <w:r>
          <w:tab/>
        </w:r>
        <w:r>
          <w:fldChar w:fldCharType="begin"/>
        </w:r>
        <w:r>
          <w:instrText xml:space="preserve"> PAGEREF _Toc256000028 \h </w:instrText>
        </w:r>
        <w:r>
          <w:fldChar w:fldCharType="separate"/>
        </w:r>
        <w:r>
          <w:t>71</w:t>
        </w:r>
        <w:r>
          <w:fldChar w:fldCharType="end"/>
        </w:r>
      </w:hyperlink>
    </w:p>
    <w:p>
      <w:pPr>
        <w:pStyle w:val="TOC2"/>
        <w:rPr>
          <w:rFonts w:asciiTheme="minorHAnsi" w:hAnsiTheme="minorHAnsi"/>
          <w:noProof/>
          <w:sz w:val="22"/>
        </w:rPr>
      </w:pPr>
      <w:hyperlink w:anchor="_Toc256000029" w:history="1">
        <w:r>
          <w:rPr>
            <w:rStyle w:val="Hyperlink"/>
          </w:rPr>
          <w:t>Skype for Business Server</w:t>
        </w:r>
        <w:r>
          <w:tab/>
        </w:r>
        <w:r>
          <w:fldChar w:fldCharType="begin"/>
        </w:r>
        <w:r>
          <w:instrText xml:space="preserve"> PAGEREF _Toc256000029 \h </w:instrText>
        </w:r>
        <w:r>
          <w:fldChar w:fldCharType="separate"/>
        </w:r>
        <w:r>
          <w:t>73</w:t>
        </w:r>
        <w:r>
          <w:fldChar w:fldCharType="end"/>
        </w:r>
      </w:hyperlink>
    </w:p>
    <w:p>
      <w:pPr>
        <w:pStyle w:val="TOC2"/>
        <w:rPr>
          <w:rFonts w:asciiTheme="minorHAnsi" w:hAnsiTheme="minorHAnsi"/>
          <w:noProof/>
          <w:sz w:val="22"/>
        </w:rPr>
      </w:pPr>
      <w:hyperlink w:anchor="_Toc256000030" w:history="1">
        <w:r>
          <w:rPr>
            <w:rStyle w:val="Hyperlink"/>
          </w:rPr>
          <w:t>SQL Server</w:t>
        </w:r>
        <w:r>
          <w:tab/>
        </w:r>
        <w:r>
          <w:fldChar w:fldCharType="begin"/>
        </w:r>
        <w:r>
          <w:instrText xml:space="preserve"> PAGEREF _Toc256000030 \h </w:instrText>
        </w:r>
        <w:r>
          <w:fldChar w:fldCharType="separate"/>
        </w:r>
        <w:r>
          <w:t>75</w:t>
        </w:r>
        <w:r>
          <w:fldChar w:fldCharType="end"/>
        </w:r>
      </w:hyperlink>
    </w:p>
    <w:p>
      <w:pPr>
        <w:pStyle w:val="TOC2"/>
        <w:rPr>
          <w:rFonts w:asciiTheme="minorHAnsi" w:hAnsiTheme="minorHAnsi"/>
          <w:noProof/>
          <w:sz w:val="22"/>
        </w:rPr>
      </w:pPr>
      <w:hyperlink w:anchor="_Toc256000031" w:history="1">
        <w:r>
          <w:rPr>
            <w:rStyle w:val="Hyperlink"/>
          </w:rPr>
          <w:t>Virtual Desktop Infrastructure (VDI Suite)</w:t>
        </w:r>
        <w:r>
          <w:tab/>
        </w:r>
        <w:r>
          <w:fldChar w:fldCharType="begin"/>
        </w:r>
        <w:r>
          <w:instrText xml:space="preserve"> PAGEREF _Toc256000031 \h </w:instrText>
        </w:r>
        <w:r>
          <w:fldChar w:fldCharType="separate"/>
        </w:r>
        <w:r>
          <w:t>80</w:t>
        </w:r>
        <w:r>
          <w:fldChar w:fldCharType="end"/>
        </w:r>
      </w:hyperlink>
    </w:p>
    <w:p>
      <w:pPr>
        <w:pStyle w:val="TOC2"/>
        <w:rPr>
          <w:rFonts w:asciiTheme="minorHAnsi" w:hAnsiTheme="minorHAnsi"/>
          <w:noProof/>
          <w:sz w:val="22"/>
        </w:rPr>
      </w:pPr>
      <w:hyperlink w:anchor="_Toc256000032" w:history="1">
        <w:r>
          <w:rPr>
            <w:rStyle w:val="Hyperlink"/>
          </w:rPr>
          <w:t>Visual Studio</w:t>
        </w:r>
        <w:r>
          <w:tab/>
        </w:r>
        <w:r>
          <w:fldChar w:fldCharType="begin"/>
        </w:r>
        <w:r>
          <w:instrText xml:space="preserve"> PAGEREF _Toc256000032 \h </w:instrText>
        </w:r>
        <w:r>
          <w:fldChar w:fldCharType="separate"/>
        </w:r>
        <w:r>
          <w:t>80</w:t>
        </w:r>
        <w:r>
          <w:fldChar w:fldCharType="end"/>
        </w:r>
      </w:hyperlink>
    </w:p>
    <w:p>
      <w:pPr>
        <w:pStyle w:val="TOC2"/>
        <w:rPr>
          <w:rFonts w:asciiTheme="minorHAnsi" w:hAnsiTheme="minorHAnsi"/>
          <w:noProof/>
          <w:sz w:val="22"/>
        </w:rPr>
      </w:pPr>
      <w:hyperlink w:anchor="_Toc256000033" w:history="1">
        <w:r>
          <w:rPr>
            <w:rStyle w:val="Hyperlink"/>
          </w:rPr>
          <w:t>Visual Studio Subscriptions</w:t>
        </w:r>
        <w:r>
          <w:tab/>
        </w:r>
        <w:r>
          <w:fldChar w:fldCharType="begin"/>
        </w:r>
        <w:r>
          <w:instrText xml:space="preserve"> PAGEREF _Toc256000033 \h </w:instrText>
        </w:r>
        <w:r>
          <w:fldChar w:fldCharType="separate"/>
        </w:r>
        <w:r>
          <w:t>80</w:t>
        </w:r>
        <w:r>
          <w:fldChar w:fldCharType="end"/>
        </w:r>
      </w:hyperlink>
    </w:p>
    <w:p>
      <w:pPr>
        <w:pStyle w:val="TOC2"/>
        <w:rPr>
          <w:rFonts w:asciiTheme="minorHAnsi" w:hAnsiTheme="minorHAnsi"/>
          <w:noProof/>
          <w:sz w:val="22"/>
        </w:rPr>
      </w:pPr>
      <w:hyperlink w:anchor="_Toc256000034" w:history="1">
        <w:r>
          <w:rPr>
            <w:rStyle w:val="Hyperlink"/>
          </w:rPr>
          <w:t>Azure DevOps Server</w:t>
        </w:r>
        <w:r>
          <w:tab/>
        </w:r>
        <w:r>
          <w:fldChar w:fldCharType="begin"/>
        </w:r>
        <w:r>
          <w:instrText xml:space="preserve"> PAGEREF _Toc256000034 \h </w:instrText>
        </w:r>
        <w:r>
          <w:fldChar w:fldCharType="separate"/>
        </w:r>
        <w:r>
          <w:t>83</w:t>
        </w:r>
        <w:r>
          <w:fldChar w:fldCharType="end"/>
        </w:r>
      </w:hyperlink>
    </w:p>
    <w:p>
      <w:pPr>
        <w:pStyle w:val="TOC2"/>
        <w:rPr>
          <w:rFonts w:asciiTheme="minorHAnsi" w:hAnsiTheme="minorHAnsi"/>
          <w:noProof/>
          <w:sz w:val="22"/>
        </w:rPr>
      </w:pPr>
      <w:hyperlink w:anchor="_Toc256000035" w:history="1">
        <w:r>
          <w:rPr>
            <w:rStyle w:val="Hyperlink"/>
          </w:rPr>
          <w:t>Windows Desktop Operating System</w:t>
        </w:r>
        <w:r>
          <w:tab/>
        </w:r>
        <w:r>
          <w:fldChar w:fldCharType="begin"/>
        </w:r>
        <w:r>
          <w:instrText xml:space="preserve"> PAGEREF _Toc256000035 \h </w:instrText>
        </w:r>
        <w:r>
          <w:fldChar w:fldCharType="separate"/>
        </w:r>
        <w:r>
          <w:t>85</w:t>
        </w:r>
        <w:r>
          <w:fldChar w:fldCharType="end"/>
        </w:r>
      </w:hyperlink>
    </w:p>
    <w:p>
      <w:pPr>
        <w:pStyle w:val="TOC2"/>
        <w:rPr>
          <w:rFonts w:asciiTheme="minorHAnsi" w:hAnsiTheme="minorHAnsi"/>
          <w:noProof/>
          <w:sz w:val="22"/>
        </w:rPr>
      </w:pPr>
      <w:hyperlink w:anchor="_Toc256000036" w:history="1">
        <w:r>
          <w:rPr>
            <w:rStyle w:val="Hyperlink"/>
          </w:rPr>
          <w:t>Windows Server</w:t>
        </w:r>
        <w:r>
          <w:tab/>
        </w:r>
        <w:r>
          <w:fldChar w:fldCharType="begin"/>
        </w:r>
        <w:r>
          <w:instrText xml:space="preserve"> PAGEREF _Toc256000036 \h </w:instrText>
        </w:r>
        <w:r>
          <w:fldChar w:fldCharType="separate"/>
        </w:r>
        <w:r>
          <w:t>93</w:t>
        </w:r>
        <w:r>
          <w:fldChar w:fldCharType="end"/>
        </w:r>
      </w:hyperlink>
    </w:p>
    <w:p>
      <w:pPr>
        <w:pStyle w:val="TOC2"/>
        <w:rPr>
          <w:rFonts w:asciiTheme="minorHAnsi" w:hAnsiTheme="minorHAnsi"/>
          <w:noProof/>
          <w:sz w:val="22"/>
        </w:rPr>
      </w:pPr>
      <w:hyperlink w:anchor="_Toc256000037" w:history="1">
        <w:r>
          <w:rPr>
            <w:rStyle w:val="Hyperlink"/>
          </w:rPr>
          <w:t>Windows Multipoint Server</w:t>
        </w:r>
        <w:r>
          <w:tab/>
        </w:r>
        <w:r>
          <w:fldChar w:fldCharType="begin"/>
        </w:r>
        <w:r>
          <w:instrText xml:space="preserve"> PAGEREF _Toc256000037 \h </w:instrText>
        </w:r>
        <w:r>
          <w:fldChar w:fldCharType="separate"/>
        </w:r>
        <w:r>
          <w:t>93</w:t>
        </w:r>
        <w:r>
          <w:fldChar w:fldCharType="end"/>
        </w:r>
      </w:hyperlink>
    </w:p>
    <w:p>
      <w:pPr>
        <w:pStyle w:val="TOC2"/>
        <w:rPr>
          <w:rFonts w:asciiTheme="minorHAnsi" w:hAnsiTheme="minorHAnsi"/>
          <w:noProof/>
          <w:sz w:val="22"/>
        </w:rPr>
      </w:pPr>
      <w:hyperlink w:anchor="_Toc256000038" w:history="1">
        <w:r>
          <w:rPr>
            <w:rStyle w:val="Hyperlink"/>
          </w:rPr>
          <w:t>Windows Server Standard, Datacenter, and Essentials</w:t>
        </w:r>
        <w:r>
          <w:tab/>
        </w:r>
        <w:r>
          <w:fldChar w:fldCharType="begin"/>
        </w:r>
        <w:r>
          <w:instrText xml:space="preserve"> PAGEREF _Toc256000038 \h </w:instrText>
        </w:r>
        <w:r>
          <w:fldChar w:fldCharType="separate"/>
        </w:r>
        <w:r>
          <w:t>95</w:t>
        </w:r>
        <w:r>
          <w:fldChar w:fldCharType="end"/>
        </w:r>
      </w:hyperlink>
    </w:p>
    <w:p>
      <w:pPr>
        <w:pStyle w:val="TOC2"/>
        <w:rPr>
          <w:rFonts w:asciiTheme="minorHAnsi" w:hAnsiTheme="minorHAnsi"/>
          <w:noProof/>
          <w:sz w:val="22"/>
        </w:rPr>
      </w:pPr>
      <w:hyperlink w:anchor="_Toc256000039" w:history="1">
        <w:r>
          <w:rPr>
            <w:rStyle w:val="Hyperlink"/>
          </w:rPr>
          <w:t>Enterprise Mobility + Security</w:t>
        </w:r>
        <w:r>
          <w:tab/>
        </w:r>
        <w:r>
          <w:fldChar w:fldCharType="begin"/>
        </w:r>
        <w:r>
          <w:instrText xml:space="preserve"> PAGEREF _Toc256000039 \h </w:instrText>
        </w:r>
        <w:r>
          <w:fldChar w:fldCharType="separate"/>
        </w:r>
        <w:r>
          <w:t>100</w:t>
        </w:r>
        <w:r>
          <w:fldChar w:fldCharType="end"/>
        </w:r>
      </w:hyperlink>
    </w:p>
    <w:p>
      <w:pPr>
        <w:pStyle w:val="TOC2"/>
        <w:rPr>
          <w:rFonts w:asciiTheme="minorHAnsi" w:hAnsiTheme="minorHAnsi"/>
          <w:noProof/>
          <w:sz w:val="22"/>
        </w:rPr>
      </w:pPr>
      <w:hyperlink w:anchor="_Toc256000040" w:history="1">
        <w:r>
          <w:rPr>
            <w:rStyle w:val="Hyperlink"/>
          </w:rPr>
          <w:t>Microsoft 365</w:t>
        </w:r>
        <w:r>
          <w:tab/>
        </w:r>
        <w:r>
          <w:fldChar w:fldCharType="begin"/>
        </w:r>
        <w:r>
          <w:instrText xml:space="preserve"> PAGEREF _Toc256000040 \h </w:instrText>
        </w:r>
        <w:r>
          <w:fldChar w:fldCharType="separate"/>
        </w:r>
        <w:r>
          <w:t>101</w:t>
        </w:r>
        <w:r>
          <w:fldChar w:fldCharType="end"/>
        </w:r>
      </w:hyperlink>
    </w:p>
    <w:p>
      <w:pPr>
        <w:pStyle w:val="TOC2"/>
        <w:rPr>
          <w:rFonts w:asciiTheme="minorHAnsi" w:hAnsiTheme="minorHAnsi"/>
          <w:noProof/>
          <w:sz w:val="22"/>
        </w:rPr>
      </w:pPr>
      <w:hyperlink w:anchor="_Toc256000041" w:history="1">
        <w:r>
          <w:rPr>
            <w:rStyle w:val="Hyperlink"/>
          </w:rPr>
          <w:t>Microsoft Azure</w:t>
        </w:r>
        <w:r>
          <w:tab/>
        </w:r>
        <w:r>
          <w:fldChar w:fldCharType="begin"/>
        </w:r>
        <w:r>
          <w:instrText xml:space="preserve"> PAGEREF _Toc256000041 \h </w:instrText>
        </w:r>
        <w:r>
          <w:fldChar w:fldCharType="separate"/>
        </w:r>
        <w:r>
          <w:t>110</w:t>
        </w:r>
        <w:r>
          <w:fldChar w:fldCharType="end"/>
        </w:r>
      </w:hyperlink>
    </w:p>
    <w:p>
      <w:pPr>
        <w:pStyle w:val="TOC2"/>
        <w:rPr>
          <w:rFonts w:asciiTheme="minorHAnsi" w:hAnsiTheme="minorHAnsi"/>
          <w:noProof/>
          <w:sz w:val="22"/>
        </w:rPr>
      </w:pPr>
      <w:hyperlink w:anchor="_Toc256000042" w:history="1">
        <w:r>
          <w:rPr>
            <w:rStyle w:val="Hyperlink"/>
          </w:rPr>
          <w:t>Microsoft Dynamics 365 Services</w:t>
        </w:r>
        <w:r>
          <w:tab/>
        </w:r>
        <w:r>
          <w:fldChar w:fldCharType="begin"/>
        </w:r>
        <w:r>
          <w:instrText xml:space="preserve"> PAGEREF _Toc256000042 \h </w:instrText>
        </w:r>
        <w:r>
          <w:fldChar w:fldCharType="separate"/>
        </w:r>
        <w:r>
          <w:t>138</w:t>
        </w:r>
        <w:r>
          <w:fldChar w:fldCharType="end"/>
        </w:r>
      </w:hyperlink>
    </w:p>
    <w:p>
      <w:pPr>
        <w:pStyle w:val="TOC2"/>
        <w:rPr>
          <w:rFonts w:asciiTheme="minorHAnsi" w:hAnsiTheme="minorHAnsi"/>
          <w:noProof/>
          <w:sz w:val="22"/>
        </w:rPr>
      </w:pPr>
      <w:hyperlink w:anchor="_Toc256000043" w:history="1">
        <w:r>
          <w:rPr>
            <w:rStyle w:val="Hyperlink"/>
          </w:rPr>
          <w:t>Microsoft Power Platform</w:t>
        </w:r>
        <w:r>
          <w:tab/>
        </w:r>
        <w:r>
          <w:fldChar w:fldCharType="begin"/>
        </w:r>
        <w:r>
          <w:instrText xml:space="preserve"> PAGEREF _Toc256000043 \h </w:instrText>
        </w:r>
        <w:r>
          <w:fldChar w:fldCharType="separate"/>
        </w:r>
        <w:r>
          <w:t>147</w:t>
        </w:r>
        <w:r>
          <w:fldChar w:fldCharType="end"/>
        </w:r>
      </w:hyperlink>
    </w:p>
    <w:p>
      <w:pPr>
        <w:pStyle w:val="TOC2"/>
        <w:rPr>
          <w:rFonts w:asciiTheme="minorHAnsi" w:hAnsiTheme="minorHAnsi"/>
          <w:noProof/>
          <w:sz w:val="22"/>
        </w:rPr>
      </w:pPr>
      <w:hyperlink w:anchor="_Toc256000044" w:history="1">
        <w:r>
          <w:rPr>
            <w:rStyle w:val="Hyperlink"/>
          </w:rPr>
          <w:t>Office 365 Services</w:t>
        </w:r>
        <w:r>
          <w:tab/>
        </w:r>
        <w:r>
          <w:fldChar w:fldCharType="begin"/>
        </w:r>
        <w:r>
          <w:instrText xml:space="preserve"> PAGEREF _Toc256000044 \h </w:instrText>
        </w:r>
        <w:r>
          <w:fldChar w:fldCharType="separate"/>
        </w:r>
        <w:r>
          <w:t>151</w:t>
        </w:r>
        <w:r>
          <w:fldChar w:fldCharType="end"/>
        </w:r>
      </w:hyperlink>
    </w:p>
    <w:p>
      <w:pPr>
        <w:pStyle w:val="TOC2"/>
        <w:rPr>
          <w:rFonts w:asciiTheme="minorHAnsi" w:hAnsiTheme="minorHAnsi"/>
          <w:noProof/>
          <w:sz w:val="22"/>
        </w:rPr>
      </w:pPr>
      <w:hyperlink w:anchor="_Toc256000045" w:history="1">
        <w:r>
          <w:rPr>
            <w:rStyle w:val="Hyperlink"/>
          </w:rPr>
          <w:t>Audio Services</w:t>
        </w:r>
        <w:r>
          <w:tab/>
        </w:r>
        <w:r>
          <w:fldChar w:fldCharType="begin"/>
        </w:r>
        <w:r>
          <w:instrText xml:space="preserve"> PAGEREF _Toc256000045 \h </w:instrText>
        </w:r>
        <w:r>
          <w:fldChar w:fldCharType="separate"/>
        </w:r>
        <w:r>
          <w:t>152</w:t>
        </w:r>
        <w:r>
          <w:fldChar w:fldCharType="end"/>
        </w:r>
      </w:hyperlink>
    </w:p>
    <w:p>
      <w:pPr>
        <w:pStyle w:val="TOC2"/>
        <w:rPr>
          <w:rFonts w:asciiTheme="minorHAnsi" w:hAnsiTheme="minorHAnsi"/>
          <w:noProof/>
          <w:sz w:val="22"/>
        </w:rPr>
      </w:pPr>
      <w:hyperlink w:anchor="_Toc256000046" w:history="1">
        <w:r>
          <w:rPr>
            <w:rStyle w:val="Hyperlink"/>
          </w:rPr>
          <w:t>Exchange Online</w:t>
        </w:r>
        <w:r>
          <w:tab/>
        </w:r>
        <w:r>
          <w:fldChar w:fldCharType="begin"/>
        </w:r>
        <w:r>
          <w:instrText xml:space="preserve"> PAGEREF _Toc256000046 \h </w:instrText>
        </w:r>
        <w:r>
          <w:fldChar w:fldCharType="separate"/>
        </w:r>
        <w:r>
          <w:t>155</w:t>
        </w:r>
        <w:r>
          <w:fldChar w:fldCharType="end"/>
        </w:r>
      </w:hyperlink>
    </w:p>
    <w:p>
      <w:pPr>
        <w:pStyle w:val="TOC2"/>
        <w:rPr>
          <w:rFonts w:asciiTheme="minorHAnsi" w:hAnsiTheme="minorHAnsi"/>
          <w:noProof/>
          <w:sz w:val="22"/>
        </w:rPr>
      </w:pPr>
      <w:hyperlink w:anchor="_Toc256000047" w:history="1">
        <w:r>
          <w:rPr>
            <w:rStyle w:val="Hyperlink"/>
          </w:rPr>
          <w:t>Microsoft 365 Applications</w:t>
        </w:r>
        <w:r>
          <w:tab/>
        </w:r>
        <w:r>
          <w:fldChar w:fldCharType="begin"/>
        </w:r>
        <w:r>
          <w:instrText xml:space="preserve"> PAGEREF _Toc256000047 \h </w:instrText>
        </w:r>
        <w:r>
          <w:fldChar w:fldCharType="separate"/>
        </w:r>
        <w:r>
          <w:t>158</w:t>
        </w:r>
        <w:r>
          <w:fldChar w:fldCharType="end"/>
        </w:r>
      </w:hyperlink>
    </w:p>
    <w:p>
      <w:pPr>
        <w:pStyle w:val="TOC2"/>
        <w:rPr>
          <w:rFonts w:asciiTheme="minorHAnsi" w:hAnsiTheme="minorHAnsi"/>
          <w:noProof/>
          <w:sz w:val="22"/>
        </w:rPr>
      </w:pPr>
      <w:hyperlink w:anchor="_Toc256000048" w:history="1">
        <w:r>
          <w:rPr>
            <w:rStyle w:val="Hyperlink"/>
          </w:rPr>
          <w:t>Microsoft Stream (Classic)</w:t>
        </w:r>
        <w:r>
          <w:tab/>
        </w:r>
        <w:r>
          <w:fldChar w:fldCharType="begin"/>
        </w:r>
        <w:r>
          <w:instrText xml:space="preserve"> PAGEREF _Toc256000048 \h </w:instrText>
        </w:r>
        <w:r>
          <w:fldChar w:fldCharType="separate"/>
        </w:r>
        <w:r>
          <w:t>160</w:t>
        </w:r>
        <w:r>
          <w:fldChar w:fldCharType="end"/>
        </w:r>
      </w:hyperlink>
    </w:p>
    <w:p>
      <w:pPr>
        <w:pStyle w:val="TOC2"/>
        <w:rPr>
          <w:rFonts w:asciiTheme="minorHAnsi" w:hAnsiTheme="minorHAnsi"/>
          <w:noProof/>
          <w:sz w:val="22"/>
        </w:rPr>
      </w:pPr>
      <w:hyperlink w:anchor="_Toc256000049" w:history="1">
        <w:r>
          <w:rPr>
            <w:rStyle w:val="Hyperlink"/>
          </w:rPr>
          <w:t>Microsoft Teams</w:t>
        </w:r>
        <w:r>
          <w:tab/>
        </w:r>
        <w:r>
          <w:fldChar w:fldCharType="begin"/>
        </w:r>
        <w:r>
          <w:instrText xml:space="preserve"> PAGEREF _Toc256000049 \h </w:instrText>
        </w:r>
        <w:r>
          <w:fldChar w:fldCharType="separate"/>
        </w:r>
        <w:r>
          <w:t>162</w:t>
        </w:r>
        <w:r>
          <w:fldChar w:fldCharType="end"/>
        </w:r>
      </w:hyperlink>
    </w:p>
    <w:p>
      <w:pPr>
        <w:pStyle w:val="TOC2"/>
        <w:rPr>
          <w:rFonts w:asciiTheme="minorHAnsi" w:hAnsiTheme="minorHAnsi"/>
          <w:noProof/>
          <w:sz w:val="22"/>
        </w:rPr>
      </w:pPr>
      <w:hyperlink w:anchor="_Toc256000050" w:history="1">
        <w:r>
          <w:rPr>
            <w:rStyle w:val="Hyperlink"/>
          </w:rPr>
          <w:t>Office 365 Suites</w:t>
        </w:r>
        <w:r>
          <w:tab/>
        </w:r>
        <w:r>
          <w:fldChar w:fldCharType="begin"/>
        </w:r>
        <w:r>
          <w:instrText xml:space="preserve"> PAGEREF _Toc256000050 \h </w:instrText>
        </w:r>
        <w:r>
          <w:fldChar w:fldCharType="separate"/>
        </w:r>
        <w:r>
          <w:t>163</w:t>
        </w:r>
        <w:r>
          <w:fldChar w:fldCharType="end"/>
        </w:r>
      </w:hyperlink>
    </w:p>
    <w:p>
      <w:pPr>
        <w:pStyle w:val="TOC2"/>
        <w:rPr>
          <w:rFonts w:asciiTheme="minorHAnsi" w:hAnsiTheme="minorHAnsi"/>
          <w:noProof/>
          <w:sz w:val="22"/>
        </w:rPr>
      </w:pPr>
      <w:hyperlink w:anchor="_Toc256000051" w:history="1">
        <w:r>
          <w:rPr>
            <w:rStyle w:val="Hyperlink"/>
          </w:rPr>
          <w:t>Office for the web</w:t>
        </w:r>
        <w:r>
          <w:tab/>
        </w:r>
        <w:r>
          <w:fldChar w:fldCharType="begin"/>
        </w:r>
        <w:r>
          <w:instrText xml:space="preserve"> PAGEREF _Toc256000051 \h </w:instrText>
        </w:r>
        <w:r>
          <w:fldChar w:fldCharType="separate"/>
        </w:r>
        <w:r>
          <w:t>166</w:t>
        </w:r>
        <w:r>
          <w:fldChar w:fldCharType="end"/>
        </w:r>
      </w:hyperlink>
    </w:p>
    <w:p>
      <w:pPr>
        <w:pStyle w:val="TOC2"/>
        <w:rPr>
          <w:rFonts w:asciiTheme="minorHAnsi" w:hAnsiTheme="minorHAnsi"/>
          <w:noProof/>
          <w:sz w:val="22"/>
        </w:rPr>
      </w:pPr>
      <w:hyperlink w:anchor="_Toc256000052" w:history="1">
        <w:r>
          <w:rPr>
            <w:rStyle w:val="Hyperlink"/>
          </w:rPr>
          <w:t>Project</w:t>
        </w:r>
        <w:r>
          <w:tab/>
        </w:r>
        <w:r>
          <w:fldChar w:fldCharType="begin"/>
        </w:r>
        <w:r>
          <w:instrText xml:space="preserve"> PAGEREF _Toc256000052 \h </w:instrText>
        </w:r>
        <w:r>
          <w:fldChar w:fldCharType="separate"/>
        </w:r>
        <w:r>
          <w:t>167</w:t>
        </w:r>
        <w:r>
          <w:fldChar w:fldCharType="end"/>
        </w:r>
      </w:hyperlink>
    </w:p>
    <w:p>
      <w:pPr>
        <w:pStyle w:val="TOC2"/>
        <w:rPr>
          <w:rFonts w:asciiTheme="minorHAnsi" w:hAnsiTheme="minorHAnsi"/>
          <w:noProof/>
          <w:sz w:val="22"/>
        </w:rPr>
      </w:pPr>
      <w:hyperlink w:anchor="_Toc256000053" w:history="1">
        <w:r>
          <w:rPr>
            <w:rStyle w:val="Hyperlink"/>
          </w:rPr>
          <w:t>SharePoint Online</w:t>
        </w:r>
        <w:r>
          <w:tab/>
        </w:r>
        <w:r>
          <w:fldChar w:fldCharType="begin"/>
        </w:r>
        <w:r>
          <w:instrText xml:space="preserve"> PAGEREF _Toc256000053 \h </w:instrText>
        </w:r>
        <w:r>
          <w:fldChar w:fldCharType="separate"/>
        </w:r>
        <w:r>
          <w:t>169</w:t>
        </w:r>
        <w:r>
          <w:fldChar w:fldCharType="end"/>
        </w:r>
      </w:hyperlink>
    </w:p>
    <w:p>
      <w:pPr>
        <w:pStyle w:val="TOC2"/>
        <w:rPr>
          <w:rFonts w:asciiTheme="minorHAnsi" w:hAnsiTheme="minorHAnsi"/>
          <w:noProof/>
          <w:sz w:val="22"/>
        </w:rPr>
      </w:pPr>
      <w:hyperlink w:anchor="_Toc256000054" w:history="1">
        <w:r>
          <w:rPr>
            <w:rStyle w:val="Hyperlink"/>
          </w:rPr>
          <w:t>Visio Online</w:t>
        </w:r>
        <w:r>
          <w:tab/>
        </w:r>
        <w:r>
          <w:fldChar w:fldCharType="begin"/>
        </w:r>
        <w:r>
          <w:instrText xml:space="preserve"> PAGEREF _Toc256000054 \h </w:instrText>
        </w:r>
        <w:r>
          <w:fldChar w:fldCharType="separate"/>
        </w:r>
        <w:r>
          <w:t>171</w:t>
        </w:r>
        <w:r>
          <w:fldChar w:fldCharType="end"/>
        </w:r>
      </w:hyperlink>
    </w:p>
    <w:p>
      <w:pPr>
        <w:pStyle w:val="TOC2"/>
        <w:rPr>
          <w:rFonts w:asciiTheme="minorHAnsi" w:hAnsiTheme="minorHAnsi"/>
          <w:noProof/>
          <w:sz w:val="22"/>
        </w:rPr>
      </w:pPr>
      <w:hyperlink w:anchor="_Toc256000055" w:history="1">
        <w:r>
          <w:rPr>
            <w:rStyle w:val="Hyperlink"/>
          </w:rPr>
          <w:t>Workplace Analytics</w:t>
        </w:r>
        <w:r>
          <w:tab/>
        </w:r>
        <w:r>
          <w:fldChar w:fldCharType="begin"/>
        </w:r>
        <w:r>
          <w:instrText xml:space="preserve"> PAGEREF _Toc256000055 \h </w:instrText>
        </w:r>
        <w:r>
          <w:fldChar w:fldCharType="separate"/>
        </w:r>
        <w:r>
          <w:t>173</w:t>
        </w:r>
        <w:r>
          <w:fldChar w:fldCharType="end"/>
        </w:r>
      </w:hyperlink>
    </w:p>
    <w:p>
      <w:pPr>
        <w:pStyle w:val="TOC2"/>
        <w:rPr>
          <w:rFonts w:asciiTheme="minorHAnsi" w:hAnsiTheme="minorHAnsi"/>
          <w:noProof/>
          <w:sz w:val="22"/>
        </w:rPr>
      </w:pPr>
      <w:hyperlink w:anchor="_Toc256000056" w:history="1">
        <w:r>
          <w:rPr>
            <w:rStyle w:val="Hyperlink"/>
          </w:rPr>
          <w:t>Other Online Services</w:t>
        </w:r>
        <w:r>
          <w:tab/>
        </w:r>
        <w:r>
          <w:fldChar w:fldCharType="begin"/>
        </w:r>
        <w:r>
          <w:instrText xml:space="preserve"> PAGEREF _Toc256000056 \h </w:instrText>
        </w:r>
        <w:r>
          <w:fldChar w:fldCharType="separate"/>
        </w:r>
        <w:r>
          <w:t>174</w:t>
        </w:r>
        <w:r>
          <w:fldChar w:fldCharType="end"/>
        </w:r>
      </w:hyperlink>
    </w:p>
    <w:p>
      <w:pPr>
        <w:pStyle w:val="TOC2"/>
        <w:rPr>
          <w:rFonts w:asciiTheme="minorHAnsi" w:hAnsiTheme="minorHAnsi"/>
          <w:noProof/>
          <w:sz w:val="22"/>
        </w:rPr>
      </w:pPr>
      <w:hyperlink w:anchor="_Toc256000057" w:history="1">
        <w:r>
          <w:rPr>
            <w:rStyle w:val="Hyperlink"/>
          </w:rPr>
          <w:t>GitHub Offerings</w:t>
        </w:r>
        <w:r>
          <w:tab/>
        </w:r>
        <w:r>
          <w:fldChar w:fldCharType="begin"/>
        </w:r>
        <w:r>
          <w:instrText xml:space="preserve"> PAGEREF _Toc256000057 \h </w:instrText>
        </w:r>
        <w:r>
          <w:fldChar w:fldCharType="separate"/>
        </w:r>
        <w:r>
          <w:t>174</w:t>
        </w:r>
        <w:r>
          <w:fldChar w:fldCharType="end"/>
        </w:r>
      </w:hyperlink>
    </w:p>
    <w:p>
      <w:pPr>
        <w:pStyle w:val="TOC2"/>
        <w:rPr>
          <w:rFonts w:asciiTheme="minorHAnsi" w:hAnsiTheme="minorHAnsi"/>
          <w:noProof/>
          <w:sz w:val="22"/>
        </w:rPr>
      </w:pPr>
      <w:hyperlink w:anchor="_Toc256000058" w:history="1">
        <w:r>
          <w:rPr>
            <w:rStyle w:val="Hyperlink"/>
          </w:rPr>
          <w:t>Microsoft Cloud for Healthcare Add-On</w:t>
        </w:r>
        <w:r>
          <w:tab/>
        </w:r>
        <w:r>
          <w:fldChar w:fldCharType="begin"/>
        </w:r>
        <w:r>
          <w:instrText xml:space="preserve"> PAGEREF _Toc256000058 \h </w:instrText>
        </w:r>
        <w:r>
          <w:fldChar w:fldCharType="separate"/>
        </w:r>
        <w:r>
          <w:t>177</w:t>
        </w:r>
        <w:r>
          <w:fldChar w:fldCharType="end"/>
        </w:r>
      </w:hyperlink>
    </w:p>
    <w:p>
      <w:pPr>
        <w:pStyle w:val="TOC2"/>
        <w:rPr>
          <w:rFonts w:asciiTheme="minorHAnsi" w:hAnsiTheme="minorHAnsi"/>
          <w:noProof/>
          <w:sz w:val="22"/>
        </w:rPr>
      </w:pPr>
      <w:hyperlink w:anchor="_Toc256000059" w:history="1">
        <w:r>
          <w:rPr>
            <w:rStyle w:val="Hyperlink"/>
          </w:rPr>
          <w:t>Microsoft Cloud for Nonprofit Add-On</w:t>
        </w:r>
        <w:r>
          <w:tab/>
        </w:r>
        <w:r>
          <w:fldChar w:fldCharType="begin"/>
        </w:r>
        <w:r>
          <w:instrText xml:space="preserve"> PAGEREF _Toc256000059 \h </w:instrText>
        </w:r>
        <w:r>
          <w:fldChar w:fldCharType="separate"/>
        </w:r>
        <w:r>
          <w:t>178</w:t>
        </w:r>
        <w:r>
          <w:fldChar w:fldCharType="end"/>
        </w:r>
      </w:hyperlink>
    </w:p>
    <w:p>
      <w:pPr>
        <w:pStyle w:val="TOC2"/>
        <w:rPr>
          <w:rFonts w:asciiTheme="minorHAnsi" w:hAnsiTheme="minorHAnsi"/>
          <w:noProof/>
          <w:sz w:val="22"/>
        </w:rPr>
      </w:pPr>
      <w:hyperlink w:anchor="_Toc256000060" w:history="1">
        <w:r>
          <w:rPr>
            <w:rStyle w:val="Hyperlink"/>
          </w:rPr>
          <w:t>Microsoft Defender Experts</w:t>
        </w:r>
        <w:r>
          <w:tab/>
        </w:r>
        <w:r>
          <w:fldChar w:fldCharType="begin"/>
        </w:r>
        <w:r>
          <w:instrText xml:space="preserve"> PAGEREF _Toc256000060 \h </w:instrText>
        </w:r>
        <w:r>
          <w:fldChar w:fldCharType="separate"/>
        </w:r>
        <w:r>
          <w:t>179</w:t>
        </w:r>
        <w:r>
          <w:fldChar w:fldCharType="end"/>
        </w:r>
      </w:hyperlink>
    </w:p>
    <w:p>
      <w:pPr>
        <w:pStyle w:val="TOC2"/>
        <w:rPr>
          <w:rFonts w:asciiTheme="minorHAnsi" w:hAnsiTheme="minorHAnsi"/>
          <w:noProof/>
          <w:sz w:val="22"/>
        </w:rPr>
      </w:pPr>
      <w:hyperlink w:anchor="_Toc256000061" w:history="1">
        <w:r>
          <w:rPr>
            <w:rStyle w:val="Hyperlink"/>
          </w:rPr>
          <w:t>Microsoft Defender for Cloud Apps</w:t>
        </w:r>
        <w:r>
          <w:tab/>
        </w:r>
        <w:r>
          <w:fldChar w:fldCharType="begin"/>
        </w:r>
        <w:r>
          <w:instrText xml:space="preserve"> PAGEREF _Toc256000061 \h </w:instrText>
        </w:r>
        <w:r>
          <w:fldChar w:fldCharType="separate"/>
        </w:r>
        <w:r>
          <w:t>180</w:t>
        </w:r>
        <w:r>
          <w:fldChar w:fldCharType="end"/>
        </w:r>
      </w:hyperlink>
    </w:p>
    <w:p>
      <w:pPr>
        <w:pStyle w:val="TOC2"/>
        <w:rPr>
          <w:rFonts w:asciiTheme="minorHAnsi" w:hAnsiTheme="minorHAnsi"/>
          <w:noProof/>
          <w:sz w:val="22"/>
        </w:rPr>
      </w:pPr>
      <w:hyperlink w:anchor="_Toc256000062" w:history="1">
        <w:r>
          <w:rPr>
            <w:rStyle w:val="Hyperlink"/>
          </w:rPr>
          <w:t>Microsoft Defender for Endpoint</w:t>
        </w:r>
        <w:r>
          <w:tab/>
        </w:r>
        <w:r>
          <w:fldChar w:fldCharType="begin"/>
        </w:r>
        <w:r>
          <w:instrText xml:space="preserve"> PAGEREF _Toc256000062 \h </w:instrText>
        </w:r>
        <w:r>
          <w:fldChar w:fldCharType="separate"/>
        </w:r>
        <w:r>
          <w:t>180</w:t>
        </w:r>
        <w:r>
          <w:fldChar w:fldCharType="end"/>
        </w:r>
      </w:hyperlink>
    </w:p>
    <w:p>
      <w:pPr>
        <w:pStyle w:val="TOC2"/>
        <w:rPr>
          <w:rFonts w:asciiTheme="minorHAnsi" w:hAnsiTheme="minorHAnsi"/>
          <w:noProof/>
          <w:sz w:val="22"/>
        </w:rPr>
      </w:pPr>
      <w:hyperlink w:anchor="_Toc256000063" w:history="1">
        <w:r>
          <w:rPr>
            <w:rStyle w:val="Hyperlink"/>
          </w:rPr>
          <w:t>Microsoft Defender for Endpoint for servers</w:t>
        </w:r>
        <w:r>
          <w:tab/>
        </w:r>
        <w:r>
          <w:fldChar w:fldCharType="begin"/>
        </w:r>
        <w:r>
          <w:instrText xml:space="preserve"> PAGEREF _Toc256000063 \h </w:instrText>
        </w:r>
        <w:r>
          <w:fldChar w:fldCharType="separate"/>
        </w:r>
        <w:r>
          <w:t>181</w:t>
        </w:r>
        <w:r>
          <w:fldChar w:fldCharType="end"/>
        </w:r>
      </w:hyperlink>
    </w:p>
    <w:p>
      <w:pPr>
        <w:pStyle w:val="TOC2"/>
        <w:rPr>
          <w:rFonts w:asciiTheme="minorHAnsi" w:hAnsiTheme="minorHAnsi"/>
          <w:noProof/>
          <w:sz w:val="22"/>
        </w:rPr>
      </w:pPr>
      <w:hyperlink w:anchor="_Toc256000064" w:history="1">
        <w:r>
          <w:rPr>
            <w:rStyle w:val="Hyperlink"/>
          </w:rPr>
          <w:t>Microsoft Dragon Copilot</w:t>
        </w:r>
        <w:r>
          <w:tab/>
        </w:r>
        <w:r>
          <w:fldChar w:fldCharType="begin"/>
        </w:r>
        <w:r>
          <w:instrText xml:space="preserve"> PAGEREF _Toc256000064 \h </w:instrText>
        </w:r>
        <w:r>
          <w:fldChar w:fldCharType="separate"/>
        </w:r>
        <w:r>
          <w:t>182</w:t>
        </w:r>
        <w:r>
          <w:fldChar w:fldCharType="end"/>
        </w:r>
      </w:hyperlink>
    </w:p>
    <w:p>
      <w:pPr>
        <w:pStyle w:val="TOC2"/>
        <w:rPr>
          <w:rFonts w:asciiTheme="minorHAnsi" w:hAnsiTheme="minorHAnsi"/>
          <w:noProof/>
          <w:sz w:val="22"/>
        </w:rPr>
      </w:pPr>
      <w:hyperlink w:anchor="_Toc256000065" w:history="1">
        <w:r>
          <w:rPr>
            <w:rStyle w:val="Hyperlink"/>
          </w:rPr>
          <w:t>Microsoft Intune</w:t>
        </w:r>
        <w:r>
          <w:tab/>
        </w:r>
        <w:r>
          <w:fldChar w:fldCharType="begin"/>
        </w:r>
        <w:r>
          <w:instrText xml:space="preserve"> PAGEREF _Toc256000065 \h </w:instrText>
        </w:r>
        <w:r>
          <w:fldChar w:fldCharType="separate"/>
        </w:r>
        <w:r>
          <w:t>183</w:t>
        </w:r>
        <w:r>
          <w:fldChar w:fldCharType="end"/>
        </w:r>
      </w:hyperlink>
    </w:p>
    <w:p>
      <w:pPr>
        <w:pStyle w:val="TOC2"/>
        <w:rPr>
          <w:rFonts w:asciiTheme="minorHAnsi" w:hAnsiTheme="minorHAnsi"/>
          <w:noProof/>
          <w:sz w:val="22"/>
        </w:rPr>
      </w:pPr>
      <w:hyperlink w:anchor="_Toc256000066" w:history="1">
        <w:r>
          <w:rPr>
            <w:rStyle w:val="Hyperlink"/>
          </w:rPr>
          <w:t>Microsoft Learning</w:t>
        </w:r>
        <w:r>
          <w:tab/>
        </w:r>
        <w:r>
          <w:fldChar w:fldCharType="begin"/>
        </w:r>
        <w:r>
          <w:instrText xml:space="preserve"> PAGEREF _Toc256000066 \h </w:instrText>
        </w:r>
        <w:r>
          <w:fldChar w:fldCharType="separate"/>
        </w:r>
        <w:r>
          <w:t>185</w:t>
        </w:r>
        <w:r>
          <w:fldChar w:fldCharType="end"/>
        </w:r>
      </w:hyperlink>
    </w:p>
    <w:p>
      <w:pPr>
        <w:pStyle w:val="TOC2"/>
        <w:rPr>
          <w:rFonts w:asciiTheme="minorHAnsi" w:hAnsiTheme="minorHAnsi"/>
          <w:noProof/>
          <w:sz w:val="22"/>
        </w:rPr>
      </w:pPr>
      <w:hyperlink w:anchor="_Toc256000067" w:history="1">
        <w:r>
          <w:rPr>
            <w:rStyle w:val="Hyperlink"/>
          </w:rPr>
          <w:t>Microsoft Search in Bing</w:t>
        </w:r>
        <w:r>
          <w:tab/>
        </w:r>
        <w:r>
          <w:fldChar w:fldCharType="begin"/>
        </w:r>
        <w:r>
          <w:instrText xml:space="preserve"> PAGEREF _Toc256000067 \h </w:instrText>
        </w:r>
        <w:r>
          <w:fldChar w:fldCharType="separate"/>
        </w:r>
        <w:r>
          <w:t>186</w:t>
        </w:r>
        <w:r>
          <w:fldChar w:fldCharType="end"/>
        </w:r>
      </w:hyperlink>
    </w:p>
    <w:p>
      <w:pPr>
        <w:pStyle w:val="TOC2"/>
        <w:rPr>
          <w:rFonts w:asciiTheme="minorHAnsi" w:hAnsiTheme="minorHAnsi"/>
          <w:noProof/>
          <w:sz w:val="22"/>
        </w:rPr>
      </w:pPr>
      <w:hyperlink w:anchor="_Toc256000068" w:history="1">
        <w:r>
          <w:rPr>
            <w:rStyle w:val="Hyperlink"/>
          </w:rPr>
          <w:t>Minecraft: Education Edition</w:t>
        </w:r>
        <w:r>
          <w:tab/>
        </w:r>
        <w:r>
          <w:fldChar w:fldCharType="begin"/>
        </w:r>
        <w:r>
          <w:instrText xml:space="preserve"> PAGEREF _Toc256000068 \h </w:instrText>
        </w:r>
        <w:r>
          <w:fldChar w:fldCharType="separate"/>
        </w:r>
        <w:r>
          <w:t>187</w:t>
        </w:r>
        <w:r>
          <w:fldChar w:fldCharType="end"/>
        </w:r>
      </w:hyperlink>
    </w:p>
    <w:p>
      <w:pPr>
        <w:pStyle w:val="TOC2"/>
        <w:rPr>
          <w:rFonts w:asciiTheme="minorHAnsi" w:hAnsiTheme="minorHAnsi"/>
          <w:noProof/>
          <w:sz w:val="22"/>
        </w:rPr>
      </w:pPr>
      <w:hyperlink w:anchor="_Toc256000069" w:history="1">
        <w:r>
          <w:rPr>
            <w:rStyle w:val="Hyperlink"/>
          </w:rPr>
          <w:t>Office 365 Developer</w:t>
        </w:r>
        <w:r>
          <w:tab/>
        </w:r>
        <w:r>
          <w:fldChar w:fldCharType="begin"/>
        </w:r>
        <w:r>
          <w:instrText xml:space="preserve"> PAGEREF _Toc256000069 \h </w:instrText>
        </w:r>
        <w:r>
          <w:fldChar w:fldCharType="separate"/>
        </w:r>
        <w:r>
          <w:t>187</w:t>
        </w:r>
        <w:r>
          <w:fldChar w:fldCharType="end"/>
        </w:r>
      </w:hyperlink>
    </w:p>
    <w:p>
      <w:pPr>
        <w:pStyle w:val="TOC2"/>
        <w:rPr>
          <w:rFonts w:asciiTheme="minorHAnsi" w:hAnsiTheme="minorHAnsi"/>
          <w:noProof/>
          <w:sz w:val="22"/>
        </w:rPr>
      </w:pPr>
      <w:hyperlink w:anchor="_Toc256000070" w:history="1">
        <w:r>
          <w:rPr>
            <w:rStyle w:val="Hyperlink"/>
          </w:rPr>
          <w:t>Windows Autopatch</w:t>
        </w:r>
        <w:r>
          <w:tab/>
        </w:r>
        <w:r>
          <w:fldChar w:fldCharType="begin"/>
        </w:r>
        <w:r>
          <w:instrText xml:space="preserve"> PAGEREF _Toc256000070 \h </w:instrText>
        </w:r>
        <w:r>
          <w:fldChar w:fldCharType="separate"/>
        </w:r>
        <w:r>
          <w:t>187</w:t>
        </w:r>
        <w:r>
          <w:fldChar w:fldCharType="end"/>
        </w:r>
      </w:hyperlink>
    </w:p>
    <w:p>
      <w:pPr>
        <w:pStyle w:val="TOC2"/>
        <w:rPr>
          <w:rFonts w:asciiTheme="minorHAnsi" w:hAnsiTheme="minorHAnsi"/>
          <w:noProof/>
          <w:sz w:val="22"/>
        </w:rPr>
      </w:pPr>
      <w:hyperlink w:anchor="_Toc256000071" w:history="1">
        <w:r>
          <w:rPr>
            <w:rStyle w:val="Hyperlink"/>
          </w:rPr>
          <w:t>Windows 365</w:t>
        </w:r>
        <w:r>
          <w:tab/>
        </w:r>
        <w:r>
          <w:fldChar w:fldCharType="begin"/>
        </w:r>
        <w:r>
          <w:instrText xml:space="preserve"> PAGEREF _Toc256000071 \h </w:instrText>
        </w:r>
        <w:r>
          <w:fldChar w:fldCharType="separate"/>
        </w:r>
        <w:r>
          <w:t>188</w:t>
        </w:r>
        <w:r>
          <w:fldChar w:fldCharType="end"/>
        </w:r>
      </w:hyperlink>
    </w:p>
    <w:p>
      <w:pPr>
        <w:pStyle w:val="TOC2"/>
        <w:rPr>
          <w:rFonts w:asciiTheme="minorHAnsi" w:hAnsiTheme="minorHAnsi"/>
          <w:noProof/>
          <w:sz w:val="22"/>
        </w:rPr>
      </w:pPr>
      <w:hyperlink w:anchor="_Toc256000072" w:history="1">
        <w:r>
          <w:rPr>
            <w:rStyle w:val="Hyperlink"/>
          </w:rPr>
          <w:t>Glossary</w:t>
        </w:r>
        <w:r>
          <w:tab/>
        </w:r>
        <w:r>
          <w:fldChar w:fldCharType="begin"/>
        </w:r>
        <w:r>
          <w:instrText xml:space="preserve"> PAGEREF _Toc256000072 \h </w:instrText>
        </w:r>
        <w:r>
          <w:fldChar w:fldCharType="separate"/>
        </w:r>
        <w:r>
          <w:t>189</w:t>
        </w:r>
        <w:r>
          <w:fldChar w:fldCharType="end"/>
        </w:r>
      </w:hyperlink>
    </w:p>
    <w:p>
      <w:pPr>
        <w:pStyle w:val="TOC2"/>
        <w:rPr>
          <w:rFonts w:asciiTheme="minorHAnsi" w:hAnsiTheme="minorHAnsi"/>
          <w:noProof/>
          <w:sz w:val="22"/>
        </w:rPr>
      </w:pPr>
      <w:hyperlink w:anchor="_Toc256000073" w:history="1">
        <w:r>
          <w:rPr>
            <w:rStyle w:val="Hyperlink"/>
          </w:rPr>
          <w:t>Other Legal Terms</w:t>
        </w:r>
        <w:r>
          <w:tab/>
        </w:r>
        <w:r>
          <w:fldChar w:fldCharType="begin"/>
        </w:r>
        <w:r>
          <w:instrText xml:space="preserve"> PAGEREF _Toc256000073 \h </w:instrText>
        </w:r>
        <w:r>
          <w:fldChar w:fldCharType="separate"/>
        </w:r>
        <w:r>
          <w:t>197</w:t>
        </w:r>
        <w:r>
          <w:fldChar w:fldCharType="end"/>
        </w:r>
      </w:hyperlink>
    </w:p>
    <w:p>
      <w:pPr>
        <w:pStyle w:val="TOC2"/>
        <w:rPr>
          <w:rFonts w:asciiTheme="minorHAnsi" w:hAnsiTheme="minorHAnsi"/>
          <w:noProof/>
          <w:sz w:val="22"/>
        </w:rPr>
      </w:pPr>
      <w:hyperlink w:anchor="_Toc256000074" w:history="1">
        <w:r>
          <w:rPr>
            <w:rStyle w:val="Hyperlink"/>
          </w:rPr>
          <w:t>CAL and ML Equivalency Licenses</w:t>
        </w:r>
        <w:r>
          <w:tab/>
        </w:r>
        <w:r>
          <w:fldChar w:fldCharType="begin"/>
        </w:r>
        <w:r>
          <w:instrText xml:space="preserve"> PAGEREF _Toc256000074 \h </w:instrText>
        </w:r>
        <w:r>
          <w:fldChar w:fldCharType="separate"/>
        </w:r>
        <w:r>
          <w:t>197</w:t>
        </w:r>
        <w:r>
          <w:fldChar w:fldCharType="end"/>
        </w:r>
      </w:hyperlink>
    </w:p>
    <w:p>
      <w:pPr>
        <w:pStyle w:val="TOC2"/>
        <w:rPr>
          <w:rFonts w:asciiTheme="minorHAnsi" w:hAnsiTheme="minorHAnsi"/>
          <w:noProof/>
          <w:sz w:val="22"/>
        </w:rPr>
      </w:pPr>
      <w:hyperlink w:anchor="_Toc256000075" w:history="1">
        <w:r>
          <w:rPr>
            <w:rStyle w:val="Hyperlink"/>
          </w:rPr>
          <w:t>Notices</w:t>
        </w:r>
        <w:r>
          <w:tab/>
        </w:r>
        <w:r>
          <w:fldChar w:fldCharType="begin"/>
        </w:r>
        <w:r>
          <w:instrText xml:space="preserve"> PAGEREF _Toc256000075 \h </w:instrText>
        </w:r>
        <w:r>
          <w:fldChar w:fldCharType="separate"/>
        </w:r>
        <w:r>
          <w:t>200</w:t>
        </w:r>
        <w:r>
          <w:fldChar w:fldCharType="end"/>
        </w:r>
      </w:hyperlink>
    </w:p>
    <w:p>
      <w:pPr>
        <w:pStyle w:val="TOC2"/>
        <w:rPr>
          <w:rFonts w:asciiTheme="minorHAnsi" w:hAnsiTheme="minorHAnsi"/>
          <w:noProof/>
          <w:sz w:val="22"/>
        </w:rPr>
      </w:pPr>
      <w:hyperlink w:anchor="_Toc256000076" w:history="1">
        <w:r>
          <w:rPr>
            <w:rStyle w:val="Hyperlink"/>
          </w:rPr>
          <w:t>Professional Services</w:t>
        </w:r>
        <w:r>
          <w:tab/>
        </w:r>
        <w:r>
          <w:fldChar w:fldCharType="begin"/>
        </w:r>
        <w:r>
          <w:instrText xml:space="preserve"> PAGEREF _Toc256000076 \h </w:instrText>
        </w:r>
        <w:r>
          <w:fldChar w:fldCharType="separate"/>
        </w:r>
        <w:r>
          <w:t>201</w:t>
        </w:r>
        <w:r>
          <w:fldChar w:fldCharType="end"/>
        </w:r>
      </w:hyperlink>
    </w:p>
    <w:p>
      <w:pPr>
        <w:pStyle w:val="TOC2"/>
        <w:rPr>
          <w:rFonts w:asciiTheme="minorHAnsi" w:hAnsiTheme="minorHAnsi"/>
          <w:noProof/>
          <w:sz w:val="22"/>
        </w:rPr>
      </w:pPr>
      <w:hyperlink w:anchor="_Toc256000077" w:history="1">
        <w:r>
          <w:rPr>
            <w:rStyle w:val="Hyperlink"/>
          </w:rPr>
          <w:t>Program Agreement Supplemental Terms</w:t>
        </w:r>
        <w:r>
          <w:tab/>
        </w:r>
        <w:r>
          <w:fldChar w:fldCharType="begin"/>
        </w:r>
        <w:r>
          <w:instrText xml:space="preserve"> PAGEREF _Toc256000077 \h </w:instrText>
        </w:r>
        <w:r>
          <w:fldChar w:fldCharType="separate"/>
        </w:r>
        <w:r>
          <w:t>205</w:t>
        </w:r>
        <w:r>
          <w:fldChar w:fldCharType="end"/>
        </w:r>
      </w:hyperlink>
    </w:p>
    <w:p>
      <w:pPr>
        <w:pStyle w:val="TOC2"/>
        <w:rPr>
          <w:rFonts w:asciiTheme="minorHAnsi" w:hAnsiTheme="minorHAnsi"/>
          <w:noProof/>
          <w:sz w:val="22"/>
        </w:rPr>
      </w:pPr>
      <w:hyperlink w:anchor="_Toc256000078" w:history="1">
        <w:r>
          <w:rPr>
            <w:rStyle w:val="Hyperlink"/>
          </w:rPr>
          <w:t>Promotions</w:t>
        </w:r>
        <w:r>
          <w:tab/>
        </w:r>
        <w:r>
          <w:fldChar w:fldCharType="begin"/>
        </w:r>
        <w:r>
          <w:instrText xml:space="preserve"> PAGEREF _Toc256000078 \h </w:instrText>
        </w:r>
        <w:r>
          <w:fldChar w:fldCharType="separate"/>
        </w:r>
        <w:r>
          <w:t>206</w:t>
        </w:r>
        <w:r>
          <w:fldChar w:fldCharType="end"/>
        </w:r>
      </w:hyperlink>
    </w:p>
    <w:p>
      <w:pPr>
        <w:pStyle w:val="TOC2"/>
        <w:rPr>
          <w:rFonts w:asciiTheme="minorHAnsi" w:hAnsiTheme="minorHAnsi"/>
          <w:noProof/>
          <w:sz w:val="22"/>
        </w:rPr>
      </w:pPr>
      <w:hyperlink w:anchor="_Toc256000079" w:history="1">
        <w:r>
          <w:rPr>
            <w:rStyle w:val="Hyperlink"/>
          </w:rPr>
          <w:t>Software Assurance Benefits</w:t>
        </w:r>
        <w:r>
          <w:tab/>
        </w:r>
        <w:r>
          <w:fldChar w:fldCharType="begin"/>
        </w:r>
        <w:r>
          <w:instrText xml:space="preserve"> PAGEREF _Toc256000079 \h </w:instrText>
        </w:r>
        <w:r>
          <w:fldChar w:fldCharType="separate"/>
        </w:r>
        <w:r>
          <w:t>206</w:t>
        </w:r>
        <w:r>
          <w:fldChar w:fldCharType="end"/>
        </w:r>
      </w:hyperlink>
    </w:p>
    <w:p>
      <w:pPr>
        <w:pStyle w:val="TOC2"/>
        <w:rPr>
          <w:rFonts w:asciiTheme="minorHAnsi" w:hAnsiTheme="minorHAnsi"/>
          <w:noProof/>
          <w:sz w:val="22"/>
        </w:rPr>
      </w:pPr>
      <w:hyperlink w:anchor="_Toc256000080" w:history="1">
        <w:r>
          <w:rPr>
            <w:rStyle w:val="Hyperlink"/>
          </w:rPr>
          <w:t>Azure Hardware Terms</w:t>
        </w:r>
        <w:r>
          <w:tab/>
        </w:r>
        <w:r>
          <w:fldChar w:fldCharType="begin"/>
        </w:r>
        <w:r>
          <w:instrText xml:space="preserve"> PAGEREF _Toc256000080 \h </w:instrText>
        </w:r>
        <w:r>
          <w:fldChar w:fldCharType="separate"/>
        </w:r>
        <w:r>
          <w:t>212</w:t>
        </w:r>
        <w:r>
          <w:fldChar w:fldCharType="end"/>
        </w:r>
      </w:hyperlink>
    </w:p>
    <w:p>
      <w:pPr>
        <w:pStyle w:val="TOC2"/>
        <w:rPr>
          <w:rFonts w:asciiTheme="minorHAnsi" w:hAnsiTheme="minorHAnsi"/>
          <w:noProof/>
          <w:sz w:val="22"/>
        </w:rPr>
      </w:pPr>
      <w:hyperlink w:anchor="_Toc256000081" w:history="1">
        <w:r>
          <w:rPr>
            <w:rStyle w:val="Hyperlink"/>
          </w:rPr>
          <w:t>Amazon Workspaces Deployments</w:t>
        </w:r>
        <w:r>
          <w:tab/>
        </w:r>
        <w:r>
          <w:fldChar w:fldCharType="begin"/>
        </w:r>
        <w:r>
          <w:instrText xml:space="preserve"> PAGEREF _Toc256000081 \h </w:instrText>
        </w:r>
        <w:r>
          <w:fldChar w:fldCharType="separate"/>
        </w:r>
        <w:r>
          <w:t>220</w:t>
        </w:r>
        <w:r>
          <w:fldChar w:fldCharType="end"/>
        </w:r>
      </w:hyperlink>
    </w:p>
    <w:p>
      <w:pPr>
        <w:pStyle w:val="TOC2"/>
        <w:rPr>
          <w:rFonts w:asciiTheme="minorHAnsi" w:hAnsiTheme="minorHAnsi"/>
          <w:noProof/>
          <w:sz w:val="22"/>
        </w:rPr>
      </w:pPr>
      <w:hyperlink w:anchor="_Toc256000082" w:history="1">
        <w:r>
          <w:rPr>
            <w:rStyle w:val="Hyperlink"/>
          </w:rPr>
          <w:t>Student Use Benefits and Academic Programs</w:t>
        </w:r>
        <w:r>
          <w:tab/>
        </w:r>
        <w:r>
          <w:fldChar w:fldCharType="begin"/>
        </w:r>
        <w:r>
          <w:instrText xml:space="preserve"> PAGEREF _Toc256000082 \h </w:instrText>
        </w:r>
        <w:r>
          <w:fldChar w:fldCharType="separate"/>
        </w:r>
        <w:r>
          <w:t>221</w:t>
        </w:r>
        <w:r>
          <w:fldChar w:fldCharType="end"/>
        </w:r>
      </w:hyperlink>
    </w:p>
    <w:p>
      <w:pPr>
        <w:pStyle w:val="TOC2"/>
        <w:rPr>
          <w:rFonts w:asciiTheme="minorHAnsi" w:hAnsiTheme="minorHAnsi"/>
          <w:noProof/>
          <w:sz w:val="22"/>
        </w:rPr>
      </w:pPr>
      <w:hyperlink w:anchor="_Toc256000083" w:history="1">
        <w:r>
          <w:rPr>
            <w:rStyle w:val="Hyperlink"/>
          </w:rPr>
          <w:t>Purchasing &amp; Renewing Software Assurance</w:t>
        </w:r>
        <w:r>
          <w:tab/>
        </w:r>
        <w:r>
          <w:fldChar w:fldCharType="begin"/>
        </w:r>
        <w:r>
          <w:instrText xml:space="preserve"> PAGEREF _Toc256000083 \h </w:instrText>
        </w:r>
        <w:r>
          <w:fldChar w:fldCharType="separate"/>
        </w:r>
        <w:r>
          <w:t>223</w:t>
        </w:r>
        <w:r>
          <w:fldChar w:fldCharType="end"/>
        </w:r>
      </w:hyperlink>
    </w:p>
    <w:p>
      <w:pPr>
        <w:pStyle w:val="TOC2"/>
        <w:rPr>
          <w:rFonts w:asciiTheme="minorHAnsi" w:hAnsiTheme="minorHAnsi"/>
          <w:noProof/>
          <w:sz w:val="22"/>
        </w:rPr>
      </w:pPr>
      <w:hyperlink w:anchor="_Toc256000084" w:history="1">
        <w:r>
          <w:rPr>
            <w:rStyle w:val="Hyperlink"/>
          </w:rPr>
          <w:t>Microsoft Security portfolio Product Terms mapping</w:t>
        </w:r>
        <w:r>
          <w:tab/>
        </w:r>
        <w:r>
          <w:fldChar w:fldCharType="begin"/>
        </w:r>
        <w:r>
          <w:instrText xml:space="preserve"> PAGEREF _Toc256000084 \h </w:instrText>
        </w:r>
        <w:r>
          <w:fldChar w:fldCharType="separate"/>
        </w:r>
        <w:r>
          <w:t>224</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22"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2"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22"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22"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22"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22"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22"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22"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22"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22"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22"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22"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22"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22"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22"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22"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22"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22"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22"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2"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22"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22"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22"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22"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22"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22"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22"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22" w:tooltip="License means the right to download, install, access and use a Product." w:history="1">
        <w:r>
          <w:rPr>
            <w:rStyle w:val="Hyperlink"/>
            <w:color w:val="505050"/>
          </w:rPr>
          <w:t>Licenses</w:t>
        </w:r>
      </w:hyperlink>
      <w:r>
        <w:t xml:space="preserve"> with active Software Assurance (including </w:t>
      </w:r>
      <w:hyperlink w:anchor="_Toc22"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22" w:tooltip="Server means a physical hardware system capable of running server software." w:history="1">
        <w:r>
          <w:rPr>
            <w:rStyle w:val="Hyperlink"/>
            <w:color w:val="505050"/>
          </w:rPr>
          <w:t>Servers</w:t>
        </w:r>
      </w:hyperlink>
      <w:r>
        <w:t xml:space="preserve">, that are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22" w:tooltip="License means the right to download, install, access and use a Product." w:history="1">
        <w:r>
          <w:rPr>
            <w:rStyle w:val="Hyperlink"/>
            <w:color w:val="505050"/>
          </w:rPr>
          <w:t>Licenses</w:t>
        </w:r>
      </w:hyperlink>
      <w:r>
        <w:t xml:space="preserve"> with active Software Assurance (including </w:t>
      </w:r>
      <w:hyperlink w:anchor="_Toc22"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22" w:tooltip="License means the right to download, install, access and use a Product." w:history="1">
        <w:r>
          <w:rPr>
            <w:rStyle w:val="Hyperlink"/>
            <w:color w:val="505050"/>
          </w:rPr>
          <w:t>License</w:t>
        </w:r>
      </w:hyperlink>
      <w:r>
        <w:t xml:space="preserve">, it must assign that </w:t>
      </w:r>
      <w:hyperlink w:anchor="_Toc22" w:tooltip="License means the right to download, install, access and use a Product." w:history="1">
        <w:r>
          <w:rPr>
            <w:rStyle w:val="Hyperlink"/>
            <w:color w:val="505050"/>
          </w:rPr>
          <w:t>License</w:t>
        </w:r>
      </w:hyperlink>
      <w:r>
        <w:t xml:space="preserve"> to a device or user, as appropriate. Customer may reassign a </w:t>
      </w:r>
      <w:hyperlink w:anchor="_Toc22"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22"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22" w:tooltip="CAL means client access license, which may be assigned by user or device, as appropriate. (Refer to Glossary for full definition)" w:history="1">
        <w:r>
          <w:rPr>
            <w:rStyle w:val="Hyperlink"/>
            <w:color w:val="505050"/>
          </w:rPr>
          <w:t>CALs</w:t>
        </w:r>
      </w:hyperlink>
      <w:r>
        <w:t xml:space="preserve">, 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22"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22"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22"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22" w:tooltip="Licensed User means the single person to whom a License is assigned." w:history="1">
        <w:r>
          <w:rPr>
            <w:rStyle w:val="Hyperlink"/>
            <w:color w:val="505050"/>
          </w:rPr>
          <w:t>Licensed Users</w:t>
        </w:r>
      </w:hyperlink>
      <w:r>
        <w:t xml:space="preserve"> or on </w:t>
      </w:r>
      <w:hyperlink w:anchor="_Toc22"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22"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22"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22"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22"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22" w:tooltip="Personal Data means any information relating to an identified or identifiable natural person." w:history="1">
        <w:r>
          <w:rPr>
            <w:rStyle w:val="Hyperlink"/>
            <w:color w:val="505050"/>
          </w:rPr>
          <w:t>Personal Data</w:t>
        </w:r>
      </w:hyperlink>
      <w:r>
        <w:t xml:space="preserve"> by the Products.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22"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22"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22"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22"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22"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22"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22"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22"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22"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22"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22"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22"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22"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22"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2"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2"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2"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22"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22"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22"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22"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22"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22"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22"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22"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22"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2" w:tooltip="Personal Data means any information relating to an identified or identifiable natural person." w:history="1">
        <w:r>
          <w:rPr>
            <w:rStyle w:val="Hyperlink"/>
            <w:color w:val="505050"/>
          </w:rPr>
          <w:t>Personal Data</w:t>
        </w:r>
      </w:hyperlink>
      <w:r>
        <w:t xml:space="preserve">, and store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22"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2" w:tooltip="Personal Data means any information relating to an identified or identifiable natural person." w:history="1">
        <w:r>
          <w:rPr>
            <w:rStyle w:val="Hyperlink"/>
            <w:color w:val="505050"/>
          </w:rPr>
          <w:t>Personal Data</w:t>
        </w:r>
      </w:hyperlink>
      <w:r>
        <w:t xml:space="preserve">, or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22"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22"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22"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CAL Suites and CAL Suite Bridges</w:t>
      </w:r>
      <w:r>
        <w:fldChar w:fldCharType="begin"/>
      </w:r>
      <w:r>
        <w:instrText xml:space="preserve"> TC </w:instrText>
      </w:r>
      <w:bookmarkStart w:id="12" w:name="_Toc256000007"/>
      <w:r>
        <w:instrText>"</w:instrText>
      </w:r>
      <w:r>
        <w:instrText>CAL Suites and CAL Suite Bridges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CAL Suite (Device and User)</w:t>
            </w:r>
          </w:p>
        </w:tc>
        <w:tc>
          <w:tcPr/>
          <w:p w:rsidR="00A363CA" w:rsidP="00A363CA">
            <w:pPr>
              <w:pStyle w:val="ProductList-TableBody"/>
            </w:pPr>
            <w:r>
              <w:t>Additional Product in EES 2017,School Desktop Platform Product,Student Offering School Only</w:t>
            </w:r>
          </w:p>
        </w:tc>
      </w:tr>
      <w:tr w:rsidTr="00610FDE">
        <w:tblPrEx>
          <w:tblW w:w="0" w:type="auto"/>
          <w:tblLook w:val="04A0"/>
        </w:tblPrEx>
        <w:tc>
          <w:tcPr/>
          <w:p w:rsidR="00A363CA" w:rsidP="00A363CA">
            <w:pPr>
              <w:pStyle w:val="ProductList-TableBody"/>
            </w:pPr>
            <w:r>
              <w:t>Enterprise CAL Suite (Device and User)</w:t>
            </w:r>
          </w:p>
        </w:tc>
        <w:tc>
          <w:tcPr/>
          <w:p w:rsidR="00A363CA" w:rsidP="00A363CA">
            <w:pPr>
              <w:pStyle w:val="ProductList-TableBody"/>
            </w:pPr>
            <w:r>
              <w:t>Additional Product in EES 2017,School Desktop Platform Product,Student Offering School Only</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42"/>
        <w:gridCol w:w="20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Process to Determine Applicable Use Rights for CAL Suites</w:t>
      </w:r>
    </w:p>
    <w:p>
      <w:pPr>
        <w:pStyle w:val="NormalWeb"/>
        <w:spacing w:after="150"/>
      </w:pPr>
      <w:r>
        <w:t>A CAL Suite License is version-less and the access rights are determined by the status of the SA coverage on it. If SA coverage lapses, access rights under perpetual Licenses are determined based on the use rights in effect for the versions that were current prior to the lapse.</w:t>
      </w:r>
    </w:p>
    <w:p>
      <w:pPr>
        <w:pStyle w:val="Heading3"/>
        <w:spacing w:before="150" w:beforeAutospacing="0"/>
        <w:rPr>
          <w:rFonts w:eastAsia="Times New Roman"/>
          <w:color w:val="0078D4"/>
          <w:sz w:val="26"/>
          <w:szCs w:val="26"/>
        </w:rPr>
      </w:pPr>
      <w:r>
        <w:rPr>
          <w:rFonts w:eastAsia="Times New Roman"/>
          <w:color w:val="0078D4"/>
          <w:sz w:val="26"/>
          <w:szCs w:val="26"/>
        </w:rPr>
        <w:t>Components of CAL Suite</w:t>
      </w:r>
    </w:p>
    <w:p>
      <w:pPr>
        <w:pStyle w:val="NormalWeb"/>
        <w:spacing w:after="150"/>
      </w:pPr>
      <w:r>
        <w:t xml:space="preserve">Refer to </w:t>
      </w:r>
      <w:hyperlink r:id="rId102" w:history="1">
        <w:r>
          <w:rPr>
            <w:rStyle w:val="Hyperlink"/>
            <w:color w:val="505050"/>
          </w:rPr>
          <w:t>CAL and ML Equivalency</w:t>
        </w:r>
      </w:hyperlink>
      <w:r>
        <w:t xml:space="preserve"> Licenses for the current components of the Core CAL Suite and the Enterprise CAL Suite.</w:t>
      </w:r>
    </w:p>
    <w:p>
      <w:pPr>
        <w:pStyle w:val="Heading3"/>
        <w:spacing w:before="150" w:beforeAutospacing="0"/>
        <w:rPr>
          <w:rFonts w:eastAsia="Times New Roman"/>
          <w:color w:val="0078D4"/>
          <w:sz w:val="26"/>
          <w:szCs w:val="26"/>
        </w:rPr>
      </w:pPr>
      <w:r>
        <w:rPr>
          <w:rFonts w:eastAsia="Times New Roman"/>
          <w:color w:val="0078D4"/>
          <w:sz w:val="26"/>
          <w:szCs w:val="26"/>
        </w:rPr>
        <w:t>CAL Suite Bridge</w:t>
      </w:r>
    </w:p>
    <w:p>
      <w:pPr>
        <w:pStyle w:val="NormalWeb"/>
        <w:spacing w:after="150"/>
      </w:pPr>
      <w:r>
        <w:t>A CAL Suite Bridge is an Enterprise Product and may only be acquired to satisfy the Organization Wide requirement of either that CAL Suite Bridge or Core/Enterprise CAL Suites.  When a CAL Suite Bridge is required the number of CAL Suite Bridge User SLs should be the same number of User SLs for the qualifying Online Service.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4"/>
        <w:gridCol w:w="1603"/>
        <w:gridCol w:w="33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CAL Suite Bridge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Parent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or Office 365 E3, or 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E1 and Microsoft Intune, or</w:t>
            </w:r>
          </w:p>
          <w:p>
            <w:pPr>
              <w:pStyle w:val="NormalWeb"/>
              <w:spacing w:before="150"/>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or</w:t>
            </w:r>
          </w:p>
          <w:p>
            <w:pPr>
              <w:pStyle w:val="NormalWeb"/>
              <w:spacing w:before="150"/>
            </w:pPr>
            <w: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The following applies to customers in Academic Volume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Exchange Online Archiving for Exchange Server A</w:t>
      </w:r>
    </w:p>
    <w:p>
      <w:pPr>
        <w:pStyle w:val="NormalWeb"/>
        <w:spacing w:after="150"/>
      </w:pPr>
      <w:r>
        <w:t>Academic Institutions under Enrollment for Education Solutions and Open Value Subscription Agreement for Education Solutions, licensed for Enterprise CAL Suite for their Organization-Wide count and Student count are authorized to a corresponding number of Exchange Online Archiving for Exchange Server A User SLs for all users covered within their Organization-Wide count and Student count.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2"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2"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43"/>
        <w:gridCol w:w="68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(Forefront United Access Gateway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Customers</w:t>
      </w:r>
    </w:p>
    <w:p>
      <w:pPr>
        <w:pStyle w:val="NormalWeb"/>
        <w:spacing w:after="150"/>
      </w:pPr>
      <w:r>
        <w:t>Qualifying customers licensed for Microsoft 365 or a combination of Office 365 and Enterprise Mobility + Security provides have the same access to Exchange Online Archiving for Exchange Server as the Enterprise CAL Suite provided. "Qualifying Customers" are Enterprise Enrollment, Enterprise Subscription Enrollment, or Enrollment for Education Solutions customers who have active Software Assurance coverage for the Enterprise CAL Suite as of November 30, 2014.</w:t>
      </w:r>
    </w:p>
    <w:p>
      <w:pPr>
        <w:pStyle w:val="Heading3"/>
        <w:spacing w:before="150" w:beforeAutospacing="0"/>
        <w:rPr>
          <w:rFonts w:eastAsia="Times New Roman"/>
          <w:color w:val="0078D4"/>
          <w:sz w:val="26"/>
          <w:szCs w:val="26"/>
        </w:rPr>
      </w:pPr>
      <w:r>
        <w:rPr>
          <w:rFonts w:eastAsia="Times New Roman"/>
          <w:color w:val="0078D4"/>
          <w:sz w:val="26"/>
          <w:szCs w:val="26"/>
        </w:rPr>
        <w:t>Online Services Included with Enterprise CAL Suite</w:t>
      </w:r>
    </w:p>
    <w:p>
      <w:pPr>
        <w:pStyle w:val="NormalWeb"/>
        <w:spacing w:after="150"/>
      </w:pPr>
      <w:r>
        <w:t>Enterprise CAL Suite with active SA coverage also includes the rights to Exchange Online Archiving for Exchange Server, Data Loss Prevention, and Exchange Online Protection.</w:t>
      </w:r>
    </w:p>
    <w:p w:rsidR="00ED5159" w:rsidP="00ED5159">
      <w:pPr>
        <w:pStyle w:val="ProductList-OfferingGroupHeading"/>
        <w:outlineLvl w:val="1"/>
      </w:pPr>
      <w:r>
        <w:t>Infrastructure and Other Servers</w:t>
      </w:r>
      <w:r>
        <w:fldChar w:fldCharType="begin"/>
      </w:r>
      <w:r>
        <w:instrText xml:space="preserve"> TC </w:instrText>
      </w:r>
      <w:bookmarkStart w:id="13" w:name="_Toc256000008"/>
      <w:r>
        <w:instrText>"</w:instrText>
      </w:r>
      <w:bookmarkStart w:id="14" w:name="_Toc5"/>
      <w:r>
        <w:instrText>Infrastructure and Other Servers</w:instrText>
      </w:r>
      <w:bookmarkEnd w:id="14"/>
      <w:r>
        <w:instrText>"</w:instrText>
      </w:r>
      <w:bookmarkEnd w:id="13"/>
      <w:r>
        <w:instrText xml:space="preserve"> \l 2</w:instrText>
      </w:r>
      <w:r>
        <w:fldChar w:fldCharType="end"/>
      </w:r>
    </w:p>
    <w:p w:rsidR="00ED5159" w:rsidP="00ED5159">
      <w:pPr>
        <w:pStyle w:val="ProductList-Offering2Heading"/>
        <w:outlineLvl w:val="2"/>
      </w:pPr>
      <w:r>
        <w:t>Advanced Threat Analytics</w:t>
      </w:r>
      <w:r>
        <w:fldChar w:fldCharType="begin"/>
      </w:r>
      <w:r>
        <w:instrText xml:space="preserve"> TC </w:instrText>
      </w:r>
      <w:bookmarkStart w:id="15" w:name="_Toc256000009"/>
      <w:r>
        <w:instrText>"</w:instrText>
      </w:r>
      <w:r>
        <w:instrText>Advanced Threat Analytics</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Advanced Threat Analytics 2016 Client Management License per OSE</w:t>
            </w:r>
          </w:p>
        </w:tc>
        <w:tc>
          <w:tcPr/>
          <w:p w:rsidR="00A363CA" w:rsidP="00A363CA">
            <w:pPr>
              <w:pStyle w:val="ProductList-TableBody"/>
            </w:pPr>
            <w:r>
              <w:t>8/15</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06"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Advanced Threat Analytics 2016 Client Management License per OSE and deploy as per User or per OSE as contemplated in the </w:t>
      </w:r>
      <w:hyperlink w:anchor="_Sec544" w:history="1">
        <w:r>
          <w:rPr>
            <w:rStyle w:val="Hyperlink"/>
            <w:color w:val="505050"/>
          </w:rPr>
          <w:t>Management Servers</w:t>
        </w:r>
      </w:hyperlink>
      <w:r>
        <w:t xml:space="preserve"> License Model.</w:t>
      </w:r>
    </w:p>
    <w:p>
      <w:pPr>
        <w:pStyle w:val="Heading3"/>
        <w:spacing w:before="150" w:beforeAutospacing="0"/>
        <w:rPr>
          <w:rFonts w:eastAsia="Times New Roman"/>
          <w:color w:val="0078D4"/>
          <w:sz w:val="26"/>
          <w:szCs w:val="26"/>
        </w:rPr>
      </w:pPr>
      <w:r>
        <w:rPr>
          <w:rFonts w:eastAsia="Times New Roman"/>
          <w:color w:val="0078D4"/>
          <w:sz w:val="26"/>
          <w:szCs w:val="26"/>
        </w:rPr>
        <w:t>Country Restrictions</w:t>
      </w:r>
    </w:p>
    <w:p>
      <w:pPr>
        <w:pStyle w:val="NormalWeb"/>
        <w:spacing w:after="150"/>
      </w:pPr>
      <w:r>
        <w:t>Customer may not download Advanced Threat Analytics 2016 for use or distribution in the People's Republic of China.</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Usage Requiring a Management License</w:t>
      </w:r>
    </w:p>
    <w:p>
      <w:pPr>
        <w:pStyle w:val="NormalWeb"/>
        <w:spacing w:after="150"/>
      </w:pPr>
      <w:hyperlink w:anchor="_Toc22" w:tooltip="License means the right to download, install, access and use a Product." w:history="1">
        <w:r>
          <w:rPr>
            <w:rStyle w:val="Hyperlink"/>
            <w:color w:val="505050"/>
          </w:rPr>
          <w:t>Licenses</w:t>
        </w:r>
      </w:hyperlink>
      <w:r>
        <w:t xml:space="preserve"> are only required for client</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 are on or accessed by end user devices authenticated by an Active Directory managed by Advanced Threat Analytics.</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2"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(User or OSE 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Management License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51"/>
        <w:gridCol w:w="5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w:t>
            </w:r>
          </w:p>
        </w:tc>
      </w:tr>
    </w:tbl>
    <w:p/>
    <w:p w:rsidR="00ED5159" w:rsidP="00ED5159">
      <w:pPr>
        <w:pStyle w:val="ProductList-Offering2Heading"/>
        <w:outlineLvl w:val="2"/>
      </w:pPr>
      <w:r>
        <w:t>BizTalk Server</w:t>
      </w:r>
      <w:r>
        <w:fldChar w:fldCharType="begin"/>
      </w:r>
      <w:r>
        <w:instrText xml:space="preserve"> TC </w:instrText>
      </w:r>
      <w:bookmarkStart w:id="16" w:name="_Toc256000010"/>
      <w:r>
        <w:instrText>"</w:instrText>
      </w:r>
      <w:r>
        <w:instrText>BizTalk Server</w:instrText>
      </w:r>
      <w:r>
        <w:instrText>"</w:instrText>
      </w:r>
      <w:bookmarkEnd w:id="1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67"/>
        <w:gridCol w:w="20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Branch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Enterprise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Standard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22" w:tooltip="Server means a physical hardware system capable of running server software." w:history="1">
        <w:r>
          <w:rPr>
            <w:rStyle w:val="Hyperlink"/>
            <w:color w:val="505050"/>
          </w:rPr>
          <w:t>Server</w:t>
        </w:r>
      </w:hyperlink>
      <w:r>
        <w:t xml:space="preserve"> that is part of a networked cluster or in an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22"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22"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22"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22"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2" w:tooltip="Physical Core means a core in a Physical Processor." w:history="1">
        <w:r>
          <w:rPr>
            <w:rStyle w:val="Hyperlink"/>
            <w:color w:val="505050"/>
          </w:rPr>
          <w:t>Physical Core</w:t>
        </w:r>
      </w:hyperlink>
      <w:r>
        <w:t xml:space="preserve"> on a </w:t>
      </w:r>
      <w:hyperlink w:anchor="_Toc22" w:tooltip="Server means a physical hardware system capable of running server software." w:history="1">
        <w:r>
          <w:rPr>
            <w:rStyle w:val="Hyperlink"/>
            <w:color w:val="505050"/>
          </w:rPr>
          <w:t>Server</w:t>
        </w:r>
      </w:hyperlink>
      <w:r>
        <w:t xml:space="preserve"> or Licensing by Individual </w:t>
      </w:r>
      <w:hyperlink w:anchor="_Toc22"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3"/>
        <w:gridCol w:w="5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December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 (except Branch)</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2020 Enterprise – Unlimited Virtualization</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2" w:tooltip="Licensed Server means a single Server to which a License is assigned. See Glossary for full definition." w:history="1">
        <w:r>
          <w:rPr>
            <w:rStyle w:val="Hyperlink"/>
            <w:color w:val="505050"/>
          </w:rPr>
          <w:t>Licensed Server</w:t>
        </w:r>
      </w:hyperlink>
      <w:r>
        <w:t xml:space="preserve"> for which it has full SA coverage on all of its </w:t>
      </w:r>
      <w:hyperlink w:anchor="_Toc22" w:tooltip="Server means a physical hardware system capable of running server software." w:history="1">
        <w:r>
          <w:rPr>
            <w:rStyle w:val="Hyperlink"/>
            <w:color w:val="505050"/>
          </w:rPr>
          <w:t>Server</w:t>
        </w:r>
      </w:hyperlink>
      <w:r>
        <w:t xml:space="preserve"> (per core) </w:t>
      </w:r>
      <w:hyperlink w:anchor="_Toc22"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BizTalk Server Feature Packs</w:t>
      </w:r>
    </w:p>
    <w:p>
      <w:pPr>
        <w:pStyle w:val="NormalWeb"/>
        <w:spacing w:after="150"/>
      </w:pPr>
      <w:r>
        <w:t>Customer is eligible to use Feature Packs released during the term of its SA coverage.</w:t>
      </w:r>
    </w:p>
    <w:p w:rsidR="00ED5159" w:rsidP="00ED5159">
      <w:pPr>
        <w:pStyle w:val="ProductList-Offering2Heading"/>
        <w:outlineLvl w:val="2"/>
      </w:pPr>
      <w:r>
        <w:t>Core Infrastructure Server</w:t>
      </w:r>
      <w:r>
        <w:fldChar w:fldCharType="begin"/>
      </w:r>
      <w:r>
        <w:instrText xml:space="preserve"> TC </w:instrText>
      </w:r>
      <w:bookmarkStart w:id="17" w:name="_Toc256000011"/>
      <w:r>
        <w:instrText>"</w:instrText>
      </w:r>
      <w:r>
        <w:instrText>Core Infrastructure Server</w:instrText>
      </w:r>
      <w:r>
        <w:instrText>"</w:instrText>
      </w:r>
      <w:bookmarkEnd w:id="1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Infrastructure Server Suite Datacenter (16-packs of Core Licenses)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Core Infrastructure Server Suite Datacenter (2-packs of Core Licenses)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Core Infrastructure Server Suite Standard (16-packs of Core Licenses)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Core Infrastructure Server Suite Standard (2-packs of Core Licenses)</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Standard</w:t>
      </w:r>
    </w:p>
    <w:p>
      <w:pPr>
        <w:pStyle w:val="NormalWeb"/>
        <w:spacing w:after="150"/>
      </w:pPr>
      <w:r>
        <w:t> CIS Suite Standard includes the latest versions of Windows Server Standard and System Center Standard made available during Customer's SA coverage. </w:t>
      </w:r>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Datacenter</w:t>
      </w:r>
    </w:p>
    <w:p>
      <w:pPr>
        <w:pStyle w:val="NormalWeb"/>
        <w:spacing w:after="150"/>
      </w:pPr>
      <w:r>
        <w:t>CIS Suite Datacenter includes the latest versions of Windows Server Datacenter and System Center Datacenter made available during Customer's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Use Rights</w:t>
      </w:r>
    </w:p>
    <w:p>
      <w:pPr>
        <w:pStyle w:val="NormalWeb"/>
        <w:spacing w:after="150"/>
      </w:pPr>
      <w:r>
        <w:t xml:space="preserve">Customer's use of CIS Suite software is governed by the applicable License Terms for the individual Products comprising the CIS Suite software as modified by these License Terms. For each </w:t>
      </w:r>
      <w:hyperlink w:anchor="_Toc22" w:tooltip="Server means a physical hardware system capable of running server software." w:history="1">
        <w:r>
          <w:rPr>
            <w:rStyle w:val="Hyperlink"/>
            <w:color w:val="505050"/>
          </w:rPr>
          <w:t>Server</w:t>
        </w:r>
      </w:hyperlink>
      <w:r>
        <w:t xml:space="preserve"> on which Customer runs CIS Suite software, the number of </w:t>
      </w:r>
      <w:hyperlink w:anchor="_Toc22" w:tooltip="License means the right to download, install, access and use a Product." w:history="1">
        <w:r>
          <w:rPr>
            <w:rStyle w:val="Hyperlink"/>
            <w:color w:val="505050"/>
          </w:rPr>
          <w:t>Licenses</w:t>
        </w:r>
      </w:hyperlink>
      <w:r>
        <w:t xml:space="preserve"> required equals the number of </w:t>
      </w:r>
      <w:hyperlink w:anchor="_Toc22" w:tooltip="Physical Core means a core in a Physical Processor." w:history="1">
        <w:r>
          <w:rPr>
            <w:rStyle w:val="Hyperlink"/>
            <w:color w:val="505050"/>
          </w:rPr>
          <w:t>Physical Cores</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xml:space="preserve">, subject to a minimum of 8 </w:t>
      </w:r>
      <w:hyperlink w:anchor="_Toc22" w:tooltip="License means the right to download, install, access and use a Product." w:history="1">
        <w:r>
          <w:rPr>
            <w:rStyle w:val="Hyperlink"/>
            <w:color w:val="505050"/>
          </w:rPr>
          <w:t>Licenses</w:t>
        </w:r>
      </w:hyperlink>
      <w:r>
        <w:t xml:space="preserve"> per </w:t>
      </w:r>
      <w:hyperlink w:anchor="_Toc22" w:tooltip="Physical Processor means a processor in a physical hardware system." w:history="1">
        <w:r>
          <w:rPr>
            <w:rStyle w:val="Hyperlink"/>
            <w:color w:val="505050"/>
          </w:rPr>
          <w:t>Physical Processor</w:t>
        </w:r>
      </w:hyperlink>
      <w:r>
        <w:t xml:space="preserve"> and a minimum of 16 </w:t>
      </w:r>
      <w:hyperlink w:anchor="_Toc22" w:tooltip="License means the right to download, install, access and use a Product." w:history="1">
        <w:r>
          <w:rPr>
            <w:rStyle w:val="Hyperlink"/>
            <w:color w:val="505050"/>
          </w:rPr>
          <w:t>Licenses</w:t>
        </w:r>
      </w:hyperlink>
      <w:r>
        <w:t xml:space="preserve"> per </w:t>
      </w:r>
      <w:hyperlink w:anchor="_Toc22" w:tooltip="Server means a physical hardware system capable of running server software." w:history="1">
        <w:r>
          <w:rPr>
            <w:rStyle w:val="Hyperlink"/>
            <w:color w:val="505050"/>
          </w:rPr>
          <w:t>Server</w:t>
        </w:r>
      </w:hyperlink>
      <w:r>
        <w:t xml:space="preserve">. Customer may assign additional CIS Suite Standard edition </w:t>
      </w:r>
      <w:hyperlink w:anchor="_Toc22" w:tooltip="License means the right to download, install, access and use a Product." w:history="1">
        <w:r>
          <w:rPr>
            <w:rStyle w:val="Hyperlink"/>
            <w:color w:val="505050"/>
          </w:rPr>
          <w:t>Licenses</w:t>
        </w:r>
      </w:hyperlink>
      <w:r>
        <w:t xml:space="preserve"> to the </w:t>
      </w:r>
      <w:hyperlink w:anchor="_Toc22" w:tooltip="Licensed Server means a single Server to which a License is assigned. See Glossary for full definition." w:history="1">
        <w:r>
          <w:rPr>
            <w:rStyle w:val="Hyperlink"/>
            <w:color w:val="505050"/>
          </w:rPr>
          <w:t>Licensed Server</w:t>
        </w:r>
      </w:hyperlink>
      <w:r>
        <w:t xml:space="preserve"> equal to the number specified in the prior sentence and run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and Manage two additional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w:t>
      </w:r>
    </w:p>
    <w:p>
      <w:pPr>
        <w:pStyle w:val="NormalWeb"/>
        <w:spacing w:before="150"/>
      </w:pPr>
      <w:r>
        <w:t xml:space="preserve">Alternatively, for customers with subscription licenses or </w:t>
      </w:r>
      <w:hyperlink w:anchor="_Toc22" w:tooltip="License means the right to download, install, access and use a Product." w:history="1">
        <w:r>
          <w:rPr>
            <w:rStyle w:val="Hyperlink"/>
            <w:color w:val="505050"/>
          </w:rPr>
          <w:t>Licenses</w:t>
        </w:r>
      </w:hyperlink>
      <w:r>
        <w:t xml:space="preserve"> with active Software Assurance (including </w:t>
      </w:r>
      <w:hyperlink w:anchor="_Toc22" w:tooltip="CAL means client access license, which may be assigned by user or device, as appropriate. (Refer to Glossary for full definition)" w:history="1">
        <w:r>
          <w:rPr>
            <w:rStyle w:val="Hyperlink"/>
            <w:color w:val="505050"/>
          </w:rPr>
          <w:t>CALs</w:t>
        </w:r>
      </w:hyperlink>
      <w:r>
        <w:t xml:space="preserve">), customer may use and manage the server software in one </w:t>
      </w:r>
      <w:hyperlink w:anchor="_Toc22" w:tooltip="Virtual OSE means an OSE that is configured to run on a virtual hardware system." w:history="1">
        <w:r>
          <w:rPr>
            <w:rStyle w:val="Hyperlink"/>
            <w:color w:val="505050"/>
          </w:rPr>
          <w:t>Virtual OSE</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provided it acquires sufficient Server licenses as described below:</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 License and Management License Assignment</w:t>
      </w:r>
    </w:p>
    <w:p>
      <w:pPr>
        <w:pStyle w:val="NormalWeb"/>
        <w:spacing w:after="150"/>
      </w:pPr>
      <w:r>
        <w:t xml:space="preserve">For purposes of applying License Terms for Windows Server and System Center to Customer's use of CIS Suite, Customer is deemed to have assigned to the </w:t>
      </w:r>
      <w:hyperlink w:anchor="_Toc22" w:tooltip="Licensed Server means a single Server to which a License is assigned. See Glossary for full definition." w:history="1">
        <w:r>
          <w:rPr>
            <w:rStyle w:val="Hyperlink"/>
            <w:color w:val="505050"/>
          </w:rPr>
          <w:t>Licensed Server</w:t>
        </w:r>
      </w:hyperlink>
      <w:r>
        <w:t xml:space="preserve"> Windows Server and System Center Licenses equal to the number of CIS Suite </w:t>
      </w:r>
      <w:hyperlink w:anchor="_Toc22" w:tooltip="License means the right to download, install, access and use a Product." w:history="1">
        <w:r>
          <w:rPr>
            <w:rStyle w:val="Hyperlink"/>
            <w:color w:val="505050"/>
          </w:rPr>
          <w:t>Licenses</w:t>
        </w:r>
      </w:hyperlink>
      <w:r>
        <w:t xml:space="preserve"> assigned to the </w:t>
      </w:r>
      <w:hyperlink w:anchor="_Toc22"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Additional Terms</w:t>
      </w:r>
    </w:p>
    <w:p>
      <w:pPr>
        <w:pStyle w:val="NormalWeb"/>
        <w:spacing w:after="150"/>
      </w:pPr>
      <w:r>
        <w:t>Customer may run a prior version or a down edition of any of the individual Products included in the CIS Suite as permitted in the license terms for that Product in the Product Terms.</w:t>
      </w:r>
    </w:p>
    <w:p>
      <w:pPr>
        <w:pStyle w:val="NormalWeb"/>
        <w:spacing w:before="150"/>
      </w:pPr>
      <w:r>
        <w:t xml:space="preserve">All other requirements to acquire and assign </w:t>
      </w:r>
      <w:hyperlink w:anchor="_Toc22" w:tooltip="External Connector License means a License assigned to a Server dedicated to Customer's use that permits access to the corresponding version of the server software or earlier versions of the server software by External Users." w:history="1">
        <w:r>
          <w:rPr>
            <w:rStyle w:val="Hyperlink"/>
            <w:color w:val="505050"/>
          </w:rPr>
          <w:t>External Connector Licenses</w:t>
        </w:r>
      </w:hyperlink>
      <w:r>
        <w:t xml:space="preserve">, </w:t>
      </w:r>
      <w:hyperlink w:anchor="_Toc22" w:tooltip="CAL means client access license, which may be assigned by user or device, as appropriate. (Refer to Glossary for full definition)" w:history="1">
        <w:r>
          <w:rPr>
            <w:rStyle w:val="Hyperlink"/>
            <w:color w:val="505050"/>
          </w:rPr>
          <w:t>CALs</w:t>
        </w:r>
      </w:hyperlink>
      <w:r>
        <w:t xml:space="preserve"> and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to users or devices for access and management, as set forth in the Product Terms, remain in full force and effect.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95"/>
        <w:gridCol w:w="70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tgtFrame="_blank"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(formerly, System Center Configuration Manager) Current Branch Rights</w:t>
      </w:r>
    </w:p>
    <w:p>
      <w:pPr>
        <w:pStyle w:val="NormalWeb"/>
        <w:spacing w:after="150"/>
      </w:pPr>
      <w:r>
        <w:t xml:space="preserve">Customers with active SA on CIS Suite Standard or Datacenter </w:t>
      </w:r>
      <w:hyperlink w:anchor="_Toc22" w:tooltip="License means the right to download, install, access and use a Product." w:history="1">
        <w:r>
          <w:rPr>
            <w:rStyle w:val="Hyperlink"/>
            <w:color w:val="505050"/>
          </w:rPr>
          <w:t>Licenses</w:t>
        </w:r>
      </w:hyperlink>
      <w:r>
        <w:t xml:space="preserve">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Software Assurance Rights and Benefits for Subscription Licenses</w:t>
      </w:r>
    </w:p>
    <w:p>
      <w:pPr>
        <w:pStyle w:val="NormalWeb"/>
        <w:spacing w:after="150"/>
      </w:pPr>
      <w:r>
        <w:t xml:space="preserve">Any Subscription License Customer acquires under SCE is granted the same SA rights and benefits during the term of the subscription as </w:t>
      </w:r>
      <w:hyperlink w:anchor="_Toc22" w:tooltip="License means the right to download, install, access and use a Product." w:history="1">
        <w:r>
          <w:rPr>
            <w:rStyle w:val="Hyperlink"/>
            <w:color w:val="505050"/>
          </w:rPr>
          <w:t>Licenses</w:t>
        </w:r>
      </w:hyperlink>
      <w:r>
        <w:t xml:space="preserve"> with SA coverage.</w:t>
      </w:r>
    </w:p>
    <w:p>
      <w:pPr>
        <w:pStyle w:val="Heading3"/>
        <w:spacing w:before="150" w:beforeAutospacing="0"/>
        <w:rPr>
          <w:rFonts w:eastAsia="Times New Roman"/>
          <w:color w:val="0078D4"/>
          <w:sz w:val="26"/>
          <w:szCs w:val="26"/>
        </w:rPr>
      </w:pPr>
      <w:r>
        <w:rPr>
          <w:rFonts w:eastAsia="Times New Roman"/>
          <w:color w:val="0078D4"/>
          <w:sz w:val="26"/>
          <w:szCs w:val="26"/>
        </w:rPr>
        <w:t>Software Assurance Renewal Offer for Windows Server and System Center</w:t>
      </w:r>
    </w:p>
    <w:p>
      <w:pPr>
        <w:pStyle w:val="NormalWeb"/>
        <w:spacing w:after="150"/>
      </w:pPr>
      <w:r>
        <w:t xml:space="preserve">Customers who have </w:t>
      </w:r>
      <w:hyperlink w:anchor="_Toc22" w:tooltip="License means the right to download, install, access and use a Product." w:history="1">
        <w:r>
          <w:rPr>
            <w:rStyle w:val="Hyperlink"/>
            <w:color w:val="505050"/>
          </w:rPr>
          <w:t>Licenses</w:t>
        </w:r>
      </w:hyperlink>
      <w:r>
        <w:t xml:space="preserve"> with active SA for both of the Products in Column A of the table below may, upon expiration of that coverage, acquire SA for the corresponding CIS Suite in Column B without acquiring the underlying CIS Suite </w:t>
      </w:r>
      <w:hyperlink w:anchor="_Toc22" w:tooltip="License means the right to download, install, access and use a Product." w:history="1">
        <w:r>
          <w:rPr>
            <w:rStyle w:val="Hyperlink"/>
            <w:color w:val="505050"/>
          </w:rPr>
          <w:t>License</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4"/>
        <w:gridCol w:w="36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 (2-packs of Core Licenses) and System Center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 (2-packs of Core Licenses) and System Center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r>
    </w:tbl>
    <w:p>
      <w:pPr>
        <w:pStyle w:val="NormalWeb"/>
      </w:pPr>
      <w:r>
        <w:t xml:space="preserve">Customers who license and use CIS Suite (Standard or Datacenter) under this offer may no longer use software under their qualifying </w:t>
      </w:r>
      <w:hyperlink w:anchor="_Toc22" w:tooltip="License means the right to download, install, access and use a Product." w:history="1">
        <w:r>
          <w:rPr>
            <w:rStyle w:val="Hyperlink"/>
            <w:color w:val="505050"/>
          </w:rPr>
          <w:t>Licenses</w:t>
        </w:r>
      </w:hyperlink>
      <w:r>
        <w:t xml:space="preserve"> shown in Column A. </w:t>
      </w:r>
      <w:hyperlink w:anchor="_Toc22" w:tooltip="License means the right to download, install, access and use a Product." w:history="1">
        <w:r>
          <w:rPr>
            <w:rStyle w:val="Hyperlink"/>
            <w:color w:val="505050"/>
          </w:rPr>
          <w:t>Licenses</w:t>
        </w:r>
      </w:hyperlink>
      <w:r>
        <w:t xml:space="preserve"> and SA acquired under a subscription agreement do not qualify for this offer.</w:t>
      </w:r>
    </w:p>
    <w:p w:rsidR="00ED5159" w:rsidP="00ED5159">
      <w:pPr>
        <w:pStyle w:val="ProductList-Offering2Heading"/>
        <w:outlineLvl w:val="2"/>
      </w:pPr>
      <w:r>
        <w:t>Forefront Identity Manager</w:t>
      </w:r>
      <w:r>
        <w:fldChar w:fldCharType="begin"/>
      </w:r>
      <w:r>
        <w:instrText xml:space="preserve"> TC </w:instrText>
      </w:r>
      <w:bookmarkStart w:id="18" w:name="_Toc256000012"/>
      <w:r>
        <w:instrText>"</w:instrText>
      </w:r>
      <w:r>
        <w:instrText>Forefront Identity Manager</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Forefront Identity Manager 2010 R2 -  Windows Live Edition</w:t>
            </w:r>
          </w:p>
        </w:tc>
        <w:tc>
          <w:tcPr/>
          <w:p w:rsidR="00A363CA" w:rsidP="00A363CA">
            <w:pPr>
              <w:pStyle w:val="ProductList-TableBody"/>
            </w:pPr>
            <w:r>
              <w:t>5/12</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27"/>
        <w:gridCol w:w="1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  Windows Live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35"/>
        <w:gridCol w:w="73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 Windows Live Edition (4/10)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Forefront Identity Manager 2010 - Windows Live Edition</w:t>
      </w:r>
    </w:p>
    <w:p>
      <w:pPr>
        <w:pStyle w:val="NormalWeb"/>
        <w:spacing w:after="150"/>
      </w:pPr>
      <w:r>
        <w:t>Forefront Identity Manager 2010 - Windows Live Edition is the next version for Identity Lifecycle Manager 2007 - Windows Live Edition.</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Importing identity data: Forefront Identity Manager 2010 R2 Windows Live Edition</w:t>
      </w:r>
    </w:p>
    <w:p>
      <w:pPr>
        <w:pStyle w:val="NormalWeb"/>
        <w:spacing w:after="150"/>
      </w:pPr>
      <w:r>
        <w:t>Customer may use the software to import identity data, and changes to those data, from one or more connected data sources and to facilitate the synchronization and transfer of those data, between Customer's connected data sources and the Microsoft Passport Network / Windows Live ID service. Customer may not use the software for any other purpose.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Identity Manager</w:t>
      </w:r>
      <w:r>
        <w:fldChar w:fldCharType="begin"/>
      </w:r>
      <w:r>
        <w:instrText xml:space="preserve"> TC </w:instrText>
      </w:r>
      <w:bookmarkStart w:id="19" w:name="_Toc256000013"/>
      <w:r>
        <w:instrText>"</w:instrText>
      </w:r>
      <w:r>
        <w:instrText>Microsoft Identity Manager</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Identity Manager 2016 External Connector</w:t>
            </w:r>
          </w:p>
        </w:tc>
        <w:tc>
          <w:tcPr/>
          <w:p w:rsidR="00A363CA" w:rsidP="00A363CA">
            <w:pPr>
              <w:pStyle w:val="ProductList-TableBody"/>
            </w:pPr>
            <w:r>
              <w:t>8/15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Identity Manager 2016 CAL (User)</w:t>
            </w:r>
          </w:p>
        </w:tc>
        <w:tc>
          <w:tcPr/>
          <w:p w:rsidR="00A363CA" w:rsidP="00A363CA">
            <w:pPr>
              <w:pStyle w:val="ProductList-TableBody"/>
            </w:pPr>
            <w:r>
              <w:t>8/15</w:t>
            </w:r>
          </w:p>
        </w:tc>
        <w:tc>
          <w:tcPr/>
          <w:p w:rsidR="00A363CA" w:rsidP="00A363CA">
            <w:pPr>
              <w:pStyle w:val="ProductList-TableBody"/>
            </w:pPr>
            <w:r>
              <w: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665"/>
        <w:gridCol w:w="1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42"/>
        <w:gridCol w:w="67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(5/12)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2"/>
        <w:gridCol w:w="49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Microsoft Identity Manager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2"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2"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w:t>
      </w:r>
      <w:r>
        <w:fldChar w:fldCharType="begin"/>
      </w:r>
      <w:r>
        <w:instrText xml:space="preserve"> TC </w:instrText>
      </w:r>
      <w:bookmarkStart w:id="20" w:name="_Toc256000014"/>
      <w:r>
        <w:instrText>"</w:instrText>
      </w:r>
      <w:r>
        <w:instrText>System Center</w:instrText>
      </w:r>
      <w:r>
        <w:instrText>"</w:instrText>
      </w:r>
      <w:bookmarkEnd w:id="20"/>
      <w:r>
        <w:instrText xml:space="preserve"> \l 2</w:instrText>
      </w:r>
      <w:r>
        <w:fldChar w:fldCharType="end"/>
      </w:r>
    </w:p>
    <w:p w:rsidR="00ED5159" w:rsidP="00ED5159">
      <w:pPr>
        <w:pStyle w:val="ProductList-Offering2Heading"/>
        <w:outlineLvl w:val="2"/>
      </w:pPr>
      <w:r>
        <w:t>System Center Server</w:t>
      </w:r>
      <w:r>
        <w:fldChar w:fldCharType="begin"/>
      </w:r>
      <w:r>
        <w:instrText xml:space="preserve"> TC </w:instrText>
      </w:r>
      <w:bookmarkStart w:id="21" w:name="_Toc256000015"/>
      <w:r>
        <w:instrText>"</w:instrText>
      </w:r>
      <w:bookmarkStart w:id="22" w:name=""/>
      <w:r>
        <w:instrText>System Center Server</w:instrText>
      </w:r>
      <w:bookmarkEnd w:id="22"/>
      <w:r>
        <w:instrText>"</w:instrText>
      </w:r>
      <w:bookmarkEnd w:id="2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Datacenter Server Management License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Standard Server Management License (16-packs of Core Licenses)</w:t>
            </w:r>
          </w:p>
        </w:tc>
        <w:tc>
          <w:tcPr/>
          <w:p w:rsidR="00A363CA" w:rsidP="00A363CA">
            <w:pPr>
              <w:pStyle w:val="ProductList-TableBody"/>
            </w:pPr>
            <w:r>
              <w:t>11/24</w:t>
            </w:r>
          </w:p>
        </w:tc>
        <w:tc>
          <w:tcPr/>
          <w:p w:rsidR="00A363CA" w:rsidP="00A363CA">
            <w:pPr>
              <w:pStyle w:val="ProductList-TableBody"/>
            </w:pPr>
            <w:r>
              <w:t>Additional Product</w:t>
            </w: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22"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22" w:tooltip="Virtual OSE means an OSE that is configured to run on a virtual hardware system" w:history="1">
        <w:r>
          <w:rPr>
            <w:rStyle w:val="Hyperlink"/>
            <w:color w:val="505050"/>
          </w:rPr>
          <w:t>Virtual OSEs</w:t>
        </w:r>
      </w:hyperlink>
      <w:r>
        <w:t xml:space="preserve"> can be running on shared or dedicated </w:t>
      </w:r>
      <w:hyperlink w:anchor="_Toc22"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22"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22" w:tooltip="Windows Server Container is a feature of Windows Server software." w:history="1">
        <w:r>
          <w:rPr>
            <w:rStyle w:val="Hyperlink"/>
            <w:color w:val="505050"/>
          </w:rPr>
          <w:t>Windows Server Containers</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(License Mobility through SA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Endpoint Configuration Manager</w:t>
      </w:r>
      <w:r>
        <w:fldChar w:fldCharType="begin"/>
      </w:r>
      <w:r>
        <w:instrText xml:space="preserve"> TC </w:instrText>
      </w:r>
      <w:bookmarkStart w:id="23" w:name="_Toc256000016"/>
      <w:r>
        <w:instrText>"</w:instrText>
      </w:r>
      <w:r>
        <w:instrText>Microsoft Endpoint Configuration Manager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Endpoint Configuration Manager Client Management License per OSE*</w:t>
            </w:r>
          </w:p>
        </w:tc>
        <w:tc>
          <w:tcPr/>
          <w:p w:rsidR="00A363CA" w:rsidP="00A363CA">
            <w:pPr>
              <w:pStyle w:val="ProductList-TableBody"/>
            </w:pPr>
            <w:r>
              <w:t>10/16</w:t>
            </w:r>
          </w:p>
        </w:tc>
        <w:tc>
          <w:tcPr/>
          <w:p w:rsidR="00A363CA" w:rsidP="00A363CA">
            <w:pPr>
              <w:pStyle w:val="ProductList-TableBody"/>
            </w:pPr>
            <w:r>
              <w:t>Additional Product Organization Wide,Student Offering</w:t>
            </w:r>
          </w:p>
        </w:tc>
      </w:tr>
    </w:tbl>
    <w:p>
      <w:pPr>
        <w:pStyle w:val="NormalWeb"/>
      </w:pPr>
      <w:r>
        <w:rPr>
          <w:i/>
          <w:iCs/>
        </w:rPr>
        <w:t>*Microsoft Endpoint Configuration Manager is a Current Branch release originally made available in 10/16 as System Center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2"/>
        <w:gridCol w:w="71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Configuration Manager 1606 (10/16)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Microsoft Endpoint Configuration Manager 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w:t>
        </w:r>
      </w:hyperlink>
      <w:r>
        <w:t xml:space="preserve"> per OSE and deploy as per User or per OSE as contemplated in the Management Servers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only for the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Endpoint Configuration Manager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365 F3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Management License Equivalent License (refer to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 VDI Rights</w:t>
      </w:r>
    </w:p>
    <w:p>
      <w:pPr>
        <w:pStyle w:val="NormalWeb"/>
        <w:spacing w:after="150"/>
      </w:pPr>
      <w:r>
        <w:t xml:space="preserve">Customers with active SA coverage for Microsoft Endpoint Configuration Manager CMLs, Core CALs, or Enterprise CALs (each, a “VDI qualifying license”) may use the software to manage, at any one time, up to four </w:t>
      </w:r>
      <w:hyperlink w:anchor="_Toc22" w:tooltip="Virtual OSE means an OSE that is configured to run on a virtual hardware system" w:history="1">
        <w:r>
          <w:rPr>
            <w:rStyle w:val="Hyperlink"/>
            <w:color w:val="505050"/>
          </w:rPr>
          <w:t>Virtual OSEs</w:t>
        </w:r>
      </w:hyperlink>
      <w:r>
        <w:t xml:space="preserve"> in which software used remotely from the device or by the user to which that VDI qualifying </w:t>
      </w:r>
      <w:hyperlink w:anchor="_Toc22" w:tooltip="License means the right to download, install, access and use a Product." w:history="1">
        <w:r>
          <w:rPr>
            <w:rStyle w:val="Hyperlink"/>
            <w:color w:val="505050"/>
          </w:rPr>
          <w:t>License</w:t>
        </w:r>
      </w:hyperlink>
      <w:r>
        <w:t xml:space="preserve"> has been assigned, is running. Each </w:t>
      </w:r>
      <w:hyperlink w:anchor="_Toc22" w:tooltip="Virtual OSE means an OSE that is configured to run on a virtual hardware system." w:history="1">
        <w:r>
          <w:rPr>
            <w:rStyle w:val="Hyperlink"/>
            <w:color w:val="505050"/>
          </w:rPr>
          <w:t>Virtual OSE</w:t>
        </w:r>
      </w:hyperlink>
      <w:r>
        <w:t xml:space="preserve"> may be run on a different virtual desktop infrastructure hosts.</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Current Branch Rights</w:t>
      </w:r>
    </w:p>
    <w:p>
      <w:pPr>
        <w:pStyle w:val="NormalWeb"/>
        <w:spacing w:after="150"/>
      </w:pPr>
      <w:r>
        <w:t xml:space="preserve">Customers with active SA on Microsoft Endpoint Configuration Manager Licenses, or ML equivalent </w:t>
      </w:r>
      <w:hyperlink w:anchor="_Toc22" w:tooltip="License means the right to download, install, access and use a Product." w:history="1">
        <w:r>
          <w:rPr>
            <w:rStyle w:val="Hyperlink"/>
            <w:color w:val="505050"/>
          </w:rPr>
          <w:t>Licenses</w:t>
        </w:r>
      </w:hyperlink>
      <w:r>
        <w:t>,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Access to Intune</w:t>
      </w:r>
    </w:p>
    <w:p>
      <w:pPr>
        <w:pStyle w:val="NormalWeb"/>
        <w:spacing w:after="150"/>
      </w:pPr>
      <w:r>
        <w:t xml:space="preserve">Customers with active SA on Microsoft Endpoint Configuration Manager Licenses, or ML equivalent </w:t>
      </w:r>
      <w:hyperlink w:anchor="_Toc22" w:tooltip="License means the right to download, install, access and use a Product." w:history="1">
        <w:r>
          <w:rPr>
            <w:rStyle w:val="Hyperlink"/>
            <w:color w:val="505050"/>
          </w:rPr>
          <w:t>Licenses</w:t>
        </w:r>
      </w:hyperlink>
      <w:r>
        <w:t xml:space="preserve">, may permit limited access to Intune by its </w:t>
      </w:r>
      <w:hyperlink w:anchor="_Toc22" w:tooltip="Licensed User means the single person to whom a License is assigned." w:history="1">
        <w:r>
          <w:rPr>
            <w:rStyle w:val="Hyperlink"/>
            <w:color w:val="505050"/>
          </w:rPr>
          <w:t>Licensed Users</w:t>
        </w:r>
      </w:hyperlink>
      <w:r>
        <w:t xml:space="preserve"> in conjunction with use of Microsoft Endpoint Configuration Manager for the co-management of those users’ PCs. Access and use of these Intune features are subject to the Intune License Terms as set forth in </w:t>
      </w:r>
      <w:hyperlink r:id="rId110" w:history="1">
        <w:r>
          <w:rPr>
            <w:rStyle w:val="Hyperlink"/>
            <w:color w:val="505050"/>
          </w:rPr>
          <w:t>Microsoft Intune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to System Center Configuration Manager 1606</w:t>
      </w:r>
    </w:p>
    <w:p>
      <w:pPr>
        <w:pStyle w:val="NormalWeb"/>
        <w:spacing w:after="150"/>
      </w:pPr>
      <w:r>
        <w:t xml:space="preserve">Optionally, Customer may use System Center Configuration Manager 1606 in place of the Microsoft Endpoint Configuration Manager to manage its </w:t>
      </w:r>
      <w:hyperlink w:anchor="_Toc22" w:tooltip="Licensed Device means a single physical hardware system to which a License is assigned (see Glossary for full definition)" w:history="1">
        <w:r>
          <w:rPr>
            <w:rStyle w:val="Hyperlink"/>
            <w:color w:val="505050"/>
          </w:rPr>
          <w:t>Licensed Devices</w:t>
        </w:r>
      </w:hyperlink>
      <w:r>
        <w:t xml:space="preserve"> or devices used by </w:t>
      </w:r>
      <w:hyperlink w:anchor="_Toc22" w:tooltip="Licensed User means the single person to whom a License is assigned." w:history="1">
        <w:r>
          <w:rPr>
            <w:rStyle w:val="Hyperlink"/>
            <w:color w:val="505050"/>
          </w:rPr>
          <w:t>Licensed Users</w:t>
        </w:r>
      </w:hyperlink>
      <w:r>
        <w:t>. The right to use System Center Configuration Manager 1606 continues upon expiration of Customer’s SA except in the case of expired subscription-based Microsoft Endpoint Configuration Manager</w:t>
      </w:r>
    </w:p>
    <w:p>
      <w:pPr>
        <w:pStyle w:val="NormalWeb"/>
        <w:spacing w:before="150"/>
      </w:pPr>
      <w:r>
        <w:t>Licenses or expired subscription-based ML equivalent Licenses. This does not permit ongoing use of Microsoft Endpoint Configuration Manager after SA expires.</w:t>
      </w:r>
    </w:p>
    <w:p w:rsidR="00ED5159" w:rsidP="00ED5159">
      <w:pPr>
        <w:pStyle w:val="ProductList-Offering2Heading"/>
        <w:outlineLvl w:val="2"/>
      </w:pPr>
      <w:r>
        <w:t>System Center Data Protection Manager</w:t>
      </w:r>
      <w:r>
        <w:fldChar w:fldCharType="begin"/>
      </w:r>
      <w:r>
        <w:instrText xml:space="preserve"> TC </w:instrText>
      </w:r>
      <w:bookmarkStart w:id="24" w:name="_Toc256000017"/>
      <w:r>
        <w:instrText>"</w:instrText>
      </w:r>
      <w:r>
        <w:instrText>System Center Data Protection Manager</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2019 Data Protection Manager per OSE (Client ML)</w:t>
            </w:r>
          </w:p>
        </w:tc>
        <w:tc>
          <w:tcPr/>
          <w:p w:rsidR="00A363CA" w:rsidP="00A363CA">
            <w:pPr>
              <w:pStyle w:val="ProductList-TableBody"/>
            </w:pPr>
            <w:r>
              <w:t>3/19</w:t>
            </w:r>
          </w:p>
        </w:tc>
        <w:tc>
          <w:tcPr/>
          <w:p w:rsidR="00A363CA" w:rsidP="00A363CA">
            <w:pPr>
              <w:pStyle w:val="ProductList-TableBody"/>
            </w:pPr>
            <w:r>
              <w: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934"/>
        <w:gridCol w:w="13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03"/>
        <w:gridCol w:w="71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2016 Data Protection Manager (1/17)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Enrollment for Education Solutions and School Subscription Enrollment customers may purchase System Center 2019 Data Protection Manager Client Management License per OSE and deploy as per User or per OSE.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11"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Data Protection Manager Current Branch Rights</w:t>
      </w:r>
    </w:p>
    <w:p>
      <w:pPr>
        <w:pStyle w:val="NormalWeb"/>
        <w:spacing w:after="150"/>
      </w:pPr>
      <w:r>
        <w:t>Customers with active SA on System Center Data Protection Manager Licenses, or ML equivalent License, may install and use the Current Branch option of System Center Data Protection Manager.</w:t>
      </w:r>
    </w:p>
    <w:p w:rsidR="00ED5159" w:rsidP="00ED5159">
      <w:pPr>
        <w:pStyle w:val="ProductList-Offering2Heading"/>
        <w:outlineLvl w:val="2"/>
      </w:pPr>
      <w:r>
        <w:t>System Center Endpoint Protection</w:t>
      </w:r>
      <w:r>
        <w:fldChar w:fldCharType="begin"/>
      </w:r>
      <w:r>
        <w:instrText xml:space="preserve"> TC </w:instrText>
      </w:r>
      <w:bookmarkStart w:id="25" w:name="_Toc256000018"/>
      <w:r>
        <w:instrText>"</w:instrText>
      </w:r>
      <w:r>
        <w:instrText>System Center Endpoint Protection</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Endpoint Protection 1606 (Device and User SL)</w:t>
            </w:r>
          </w:p>
        </w:tc>
        <w:tc>
          <w:tcPr/>
          <w:p w:rsidR="00A363CA" w:rsidP="00A363CA">
            <w:pPr>
              <w:pStyle w:val="ProductList-TableBody"/>
            </w:pPr>
            <w:r>
              <w:t>10/16</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59"/>
        <w:gridCol w:w="147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1606 (Device and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6"/>
        <w:gridCol w:w="71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Endpoint Protection (10/13)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Server Management SLs</w:t>
      </w:r>
    </w:p>
    <w:p>
      <w:pPr>
        <w:pStyle w:val="NormalWeb"/>
        <w:spacing w:after="150"/>
      </w:pPr>
      <w:r>
        <w:t xml:space="preserve">In addition to User SL requirements, Server Management Licenses are required for each Server in the number specified in the System Center 2016 Datacenter and Standard license terms. For purposes of this statement,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running server operating systems that access System Center Endpoint Protection or related software are managed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For this paragraph, a “Servers" is a device on which Customer runs server operating system software.</w:t>
      </w:r>
    </w:p>
    <w:p>
      <w:pPr>
        <w:pStyle w:val="Heading3"/>
        <w:spacing w:before="150" w:beforeAutospacing="0"/>
        <w:rPr>
          <w:rFonts w:eastAsia="Times New Roman"/>
          <w:color w:val="0078D4"/>
          <w:sz w:val="26"/>
          <w:szCs w:val="26"/>
        </w:rPr>
      </w:pPr>
      <w:r>
        <w:rPr>
          <w:rFonts w:eastAsia="Times New Roman"/>
          <w:color w:val="0078D4"/>
          <w:sz w:val="26"/>
          <w:szCs w:val="26"/>
        </w:rPr>
        <w:t>Substitution of Scan Engines</w:t>
      </w:r>
    </w:p>
    <w:p>
      <w:pPr>
        <w:pStyle w:val="NormalWeb"/>
        <w:spacing w:after="150"/>
      </w:pPr>
      <w:r>
        <w:t>Microsoft may substitute comparable software and files for the Online Service's:</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anti-virus and anti-spam software; and</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signature files and content filtering data files.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(User or Device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(User SL, Add-on), Intune for EDU (User SL, Device SL, Add-on), Intune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E5 and A5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Education E5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24"/>
        <w:gridCol w:w="51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Current Branch Rights</w:t>
      </w:r>
    </w:p>
    <w:p>
      <w:pPr>
        <w:pStyle w:val="NormalWeb"/>
        <w:spacing w:after="150"/>
      </w:pPr>
      <w:r>
        <w:t>Customers with active SA on System Center Endpoint Protection Licenses, or ML equivalent License, may install and use the Current Branch option of System Center Endpoint Protection.</w:t>
      </w:r>
    </w:p>
    <w:p w:rsidR="00ED5159" w:rsidP="00ED5159">
      <w:pPr>
        <w:pStyle w:val="ProductList-Offering2Heading"/>
        <w:outlineLvl w:val="2"/>
      </w:pPr>
      <w:r>
        <w:t>System Center Operations Manager</w:t>
      </w:r>
      <w:r>
        <w:fldChar w:fldCharType="begin"/>
      </w:r>
      <w:r>
        <w:instrText xml:space="preserve"> TC </w:instrText>
      </w:r>
      <w:bookmarkStart w:id="26" w:name="_Toc256000019"/>
      <w:r>
        <w:instrText>"</w:instrText>
      </w:r>
      <w:r>
        <w:instrText>System Center Operations Manager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Operations Manager per OSE (Client ML)</w:t>
            </w:r>
          </w:p>
        </w:tc>
        <w:tc>
          <w:tcPr/>
          <w:p w:rsidR="00A363CA" w:rsidP="00A363CA">
            <w:pPr>
              <w:pStyle w:val="ProductList-TableBody"/>
            </w:pPr>
            <w:r>
              <w:t>11/24</w:t>
            </w:r>
          </w:p>
        </w:tc>
        <w:tc>
          <w:tcPr/>
          <w:p w:rsidR="00A363CA" w:rsidP="00A363CA">
            <w:pPr>
              <w:pStyle w:val="ProductList-TableBody"/>
            </w:pPr>
            <w:r>
              <w: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53"/>
        <w:gridCol w:w="147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Operations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46"/>
        <w:gridCol w:w="69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Operations Manager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Enrollment for Education Solutions and School Subscription Enrollment customers may purchase System Center 2025 Operations Manager Client Management License per OSE and deploy as per User or per OSE.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Operations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Operations Manager Current Branch Rights</w:t>
      </w:r>
    </w:p>
    <w:p>
      <w:pPr>
        <w:pStyle w:val="NormalWeb"/>
        <w:spacing w:after="150"/>
      </w:pPr>
      <w:r>
        <w:t>Customers with active SA on System Center Operations Manager Licenses, or ML equivalent License, may install and use the Current Branch option of System Center Operations Manager.</w:t>
      </w:r>
    </w:p>
    <w:p w:rsidR="00ED5159" w:rsidP="00ED5159">
      <w:pPr>
        <w:pStyle w:val="ProductList-Offering2Heading"/>
        <w:outlineLvl w:val="2"/>
      </w:pPr>
      <w:r>
        <w:t>System Center Orchestrator</w:t>
      </w:r>
      <w:r>
        <w:fldChar w:fldCharType="begin"/>
      </w:r>
      <w:r>
        <w:instrText xml:space="preserve"> TC </w:instrText>
      </w:r>
      <w:bookmarkStart w:id="27" w:name="_Toc256000020"/>
      <w:r>
        <w:instrText>"</w:instrText>
      </w:r>
      <w:r>
        <w:instrText>System Center Orchestrator</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Orchestrator per OSE (Client ML)</w:t>
            </w:r>
          </w:p>
        </w:tc>
        <w:tc>
          <w:tcPr/>
          <w:p w:rsidR="00A363CA" w:rsidP="00A363CA">
            <w:pPr>
              <w:pStyle w:val="ProductList-TableBody"/>
            </w:pPr>
            <w:r>
              <w:t>11/24</w:t>
            </w:r>
          </w:p>
        </w:tc>
        <w:tc>
          <w:tcPr/>
          <w:p w:rsidR="00A363CA" w:rsidP="00A363CA">
            <w:pPr>
              <w:pStyle w:val="ProductList-TableBody"/>
            </w:pPr>
            <w:r>
              <w: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684"/>
        <w:gridCol w:w="16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Orchestrator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51"/>
        <w:gridCol w:w="66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Orchestrator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System Center 2025 Orchestrator Client Management License per OSE and deploy as per User or per OSE as contemplated in the </w:t>
      </w:r>
      <w:hyperlink w:anchor="_Sec544" w:history="1">
        <w:r>
          <w:rPr>
            <w:rStyle w:val="Hyperlink"/>
            <w:color w:val="505050"/>
          </w:rPr>
          <w:t>Management Servers</w:t>
        </w:r>
      </w:hyperlink>
      <w:r>
        <w:t xml:space="preserve">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Orchestrator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Service Manager</w:t>
      </w:r>
      <w:r>
        <w:fldChar w:fldCharType="begin"/>
      </w:r>
      <w:r>
        <w:instrText xml:space="preserve"> TC </w:instrText>
      </w:r>
      <w:bookmarkStart w:id="28" w:name="_Toc256000021"/>
      <w:r>
        <w:instrText>"</w:instrText>
      </w:r>
      <w:r>
        <w:instrText>System Center Service Manager</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Service Manager per OSE (Client ML)</w:t>
            </w:r>
          </w:p>
        </w:tc>
        <w:tc>
          <w:tcPr/>
          <w:p w:rsidR="00A363CA" w:rsidP="00A363CA">
            <w:pPr>
              <w:pStyle w:val="ProductList-TableBody"/>
            </w:pPr>
            <w:r>
              <w:t>11/24</w:t>
            </w:r>
          </w:p>
        </w:tc>
        <w:tc>
          <w:tcPr/>
          <w:p w:rsidR="00A363CA" w:rsidP="00A363CA">
            <w:pPr>
              <w:pStyle w:val="ProductList-TableBody"/>
            </w:pPr>
            <w:r>
              <w: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773"/>
        <w:gridCol w:w="1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9"/>
        <w:gridCol w:w="6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Service Manager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System Center 2025 Service Manager Client Management License per OSE and deploy as per User or per OSE as contemplated in the </w:t>
      </w:r>
      <w:hyperlink w:anchor="_Sec544" w:history="1">
        <w:r>
          <w:rPr>
            <w:rStyle w:val="Hyperlink"/>
            <w:color w:val="505050"/>
          </w:rPr>
          <w:t>Management Servers</w:t>
        </w:r>
      </w:hyperlink>
      <w:r>
        <w:t xml:space="preserve">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License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Service Manager Current Branch Rights</w:t>
      </w:r>
    </w:p>
    <w:p>
      <w:pPr>
        <w:pStyle w:val="NormalWeb"/>
        <w:spacing w:after="150"/>
      </w:pPr>
      <w:r>
        <w:t>Customers with active SA on System Center Service Manager Licenses, or ML equivalent License, may install and use the Current Branch option of System Center Service Manager.</w:t>
      </w:r>
    </w:p>
    <w:p w:rsidR="00ED5159" w:rsidP="00ED5159">
      <w:pPr>
        <w:pStyle w:val="ProductList-OfferingGroupHeading"/>
        <w:outlineLvl w:val="1"/>
      </w:pPr>
      <w:r>
        <w:t>Microsoft Dynamics 365 On-premises</w:t>
      </w:r>
      <w:r>
        <w:fldChar w:fldCharType="begin"/>
      </w:r>
      <w:r>
        <w:instrText xml:space="preserve"> TC </w:instrText>
      </w:r>
      <w:bookmarkStart w:id="29" w:name="_Toc256000022"/>
      <w:r>
        <w:instrText>"</w:instrText>
      </w:r>
      <w:r>
        <w:instrText>Microsoft Dynamics 365 On-premises</w:instrText>
      </w:r>
      <w:r>
        <w:instrText>"</w:instrText>
      </w:r>
      <w:bookmarkEnd w:id="2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Customer Service On-premises CAL (Device and User)</w:t>
            </w:r>
          </w:p>
        </w:tc>
        <w:tc>
          <w:tcPr/>
          <w:p w:rsidR="00A363CA" w:rsidP="00A363CA">
            <w:pPr>
              <w:pStyle w:val="ProductList-TableBody"/>
            </w:pPr>
            <w:r>
              <w:t>12/16</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Server</w:t>
            </w:r>
          </w:p>
        </w:tc>
        <w:tc>
          <w:tcPr/>
          <w:p w:rsidR="00A363CA" w:rsidP="00A363CA">
            <w:pPr>
              <w:pStyle w:val="ProductList-TableBody"/>
            </w:pPr>
            <w:r>
              <w:t>6/17</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On-premises CAL (Device and User)</w:t>
            </w:r>
          </w:p>
        </w:tc>
        <w:tc>
          <w:tcPr/>
          <w:p w:rsidR="00A363CA" w:rsidP="00A363CA">
            <w:pPr>
              <w:pStyle w:val="ProductList-TableBody"/>
            </w:pPr>
            <w:r>
              <w:t>12/16</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Activity On-premises CAL (User)</w:t>
            </w:r>
          </w:p>
        </w:tc>
        <w:tc>
          <w:tcPr/>
          <w:p w:rsidR="00A363CA" w:rsidP="00A363CA">
            <w:pPr>
              <w:pStyle w:val="ProductList-TableBody"/>
            </w:pPr>
            <w:r>
              <w:t>6/17</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On-premises CAL (User)</w:t>
            </w:r>
          </w:p>
        </w:tc>
        <w:tc>
          <w:tcPr/>
          <w:p w:rsidR="00A363CA" w:rsidP="00A363CA">
            <w:pPr>
              <w:pStyle w:val="ProductList-TableBody"/>
            </w:pPr>
            <w:r>
              <w:t>6/17</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Team Members On-premises CAL (Device and User)</w:t>
            </w:r>
          </w:p>
        </w:tc>
        <w:tc>
          <w:tcPr/>
          <w:p w:rsidR="00A363CA" w:rsidP="00A363CA">
            <w:pPr>
              <w:pStyle w:val="ProductList-TableBody"/>
            </w:pPr>
            <w:r>
              <w:t>12/16</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Device On-premises CAL (Device)</w:t>
            </w:r>
          </w:p>
        </w:tc>
        <w:tc>
          <w:tcPr/>
          <w:p w:rsidR="00A363CA" w:rsidP="00A363CA">
            <w:pPr>
              <w:pStyle w:val="ProductList-TableBody"/>
            </w:pPr>
            <w:r>
              <w:t>6/17</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024"/>
        <w:gridCol w:w="13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 CAL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Activity On-premises CAL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Device On-premises CAL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72"/>
        <w:gridCol w:w="81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CRM 2016 (12/15), Dynamics CRM 2015 (12/14), Dynamics AX 2012 R3 (5/14), Dynamics AX 2012 R2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70"/>
        <w:gridCol w:w="77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Sales and Customer Service CALs, except for (i) Customer's or its Affiliates' contractors or agents; (ii) access through Dynamics 365 Clients; or (iii) Licensed with 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for Operations Servers </w:t>
      </w:r>
    </w:p>
    <w:p>
      <w:pPr>
        <w:pStyle w:val="NormalWeb"/>
        <w:spacing w:after="150"/>
      </w:pPr>
      <w:r>
        <w:t>The software may include plug-ins, runtime, and other components identified in printed or online documentation that allow Customer to extend its functionality. Customer may modify or create derivative works of these components and use those derivative works, but only with the software and only for Customer's internal purposes. </w:t>
      </w:r>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On-Premises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Use Rights for Dynamics 365 CALs</w:t>
      </w:r>
    </w:p>
    <w:p>
      <w:pPr>
        <w:pStyle w:val="NormalWeb"/>
        <w:spacing w:after="150"/>
      </w:pPr>
      <w:r>
        <w:t xml:space="preserve">Customers with Dynamics 365 CALs may install and use any number of copies of the corresponding Dynamics 365 Server software on a server dedicated to Customer's use. Any </w:t>
      </w:r>
      <w:hyperlink w:anchor="_Toc22" w:tooltip="Server means a physical hardware system capable of running server software." w:history="1">
        <w:r>
          <w:rPr>
            <w:rStyle w:val="Hyperlink"/>
            <w:color w:val="505050"/>
          </w:rPr>
          <w:t>Server</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This right does not apply to Dynamics 365 Operations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for Qualified Offers</w:t>
      </w:r>
    </w:p>
    <w:p>
      <w:pPr>
        <w:pStyle w:val="NormalWeb"/>
        <w:spacing w:after="150"/>
      </w:pPr>
      <w:r>
        <w:t>Customers renewing an agreement with Dynamics CRM CAL Licenses as of November 1, 2016 may acquire Dynamics 365 On-premises CAL Qualified Offer Licenses in agreement renewals before October 31, 2019.</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Team Members CALs</w:t>
      </w:r>
    </w:p>
    <w:p>
      <w:pPr>
        <w:pStyle w:val="NormalWeb"/>
        <w:spacing w:after="150"/>
      </w:pPr>
      <w:r>
        <w:t xml:space="preserve">Existing Enterprise Agreement Subscription customers with Team Members licenses acquired prior to May 1, 2019 may use existing and newly acquired Dynamics 365 Team Members CALs in accordance with the Dynamics 365 service description at </w:t>
      </w:r>
      <w:hyperlink r:id="rId112" w:history="1">
        <w:r>
          <w:rPr>
            <w:rStyle w:val="Hyperlink"/>
            <w:color w:val="505050"/>
          </w:rPr>
          <w:t>https://aka.ms/D365TeamMembersExistingCustomer</w:t>
        </w:r>
      </w:hyperlink>
      <w:r>
        <w:t xml:space="preserve"> through the duration of their existing agreement and any subsequent subscription term begun prior to December 31, 2020.</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72"/>
        <w:gridCol w:w="3690"/>
        <w:gridCol w:w="316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Microsoft Outlook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E-Mail Router and Rule Deployment Wizard for Microsoft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Reporting Extensions for Microsoft Dynamics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Report Authoring Extensions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Multilingual User Interface (MUI)</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supported devices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On-premises Server Software Access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90"/>
        <w:gridCol w:w="524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access entitlement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Team Members On-premises CAL (Device and User)</w:t>
            </w:r>
          </w:p>
          <w:p>
            <w:pPr>
              <w:pStyle w:val="NormalWeb"/>
              <w:spacing w:before="150"/>
            </w:pPr>
            <w: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 Team Members use (Except that Device CALs do not include access to Operations functionality.)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On-premises CAL (Device and User)</w:t>
            </w:r>
          </w:p>
          <w:p>
            <w:pPr>
              <w:pStyle w:val="NormalWeb"/>
              <w:spacing w:before="150"/>
            </w:pPr>
            <w:r>
              <w:t>Dynamics 365 Sales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Customer Service On-premises CAL (Device and User)</w:t>
            </w:r>
          </w:p>
          <w:p>
            <w:pPr>
              <w:pStyle w:val="NormalWeb"/>
              <w:spacing w:before="150"/>
            </w:pPr>
            <w:r>
              <w:t>Dynamics 365 Customer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Customer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On-premises CAL (User)</w:t>
            </w:r>
          </w:p>
          <w:p>
            <w:pPr>
              <w:pStyle w:val="NormalWeb"/>
              <w:spacing w:before="150"/>
            </w:pPr>
            <w:r>
              <w:t>Dynamics 365 Supply Chain Management (User SL)</w:t>
            </w:r>
          </w:p>
          <w:p>
            <w:pPr>
              <w:pStyle w:val="NormalWeb"/>
              <w:spacing w:before="150"/>
            </w:pPr>
            <w:r>
              <w:t>Dynamics 365 Finance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Activity On-premises CAL (User)</w:t>
            </w:r>
          </w:p>
          <w:p>
            <w:pPr>
              <w:pStyle w:val="NormalWeb"/>
              <w:spacing w:before="150"/>
            </w:pPr>
            <w:r>
              <w:t>Dynamics 365 Operations Activity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Activity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Device On-premises CAL (Device)</w:t>
            </w:r>
          </w:p>
          <w:p>
            <w:pPr>
              <w:pStyle w:val="NormalWeb"/>
              <w:spacing w:before="150"/>
            </w:pPr>
            <w:r>
              <w:t>Dynamics 365 Operations Device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Device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773"/>
        <w:gridCol w:w="7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November 2014 and June 2015</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December 2016</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July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Server Rights </w:t>
      </w:r>
    </w:p>
    <w:p>
      <w:pPr>
        <w:pStyle w:val="NormalWeb"/>
        <w:spacing w:after="150"/>
      </w:pPr>
      <w:r>
        <w:t>Customers with Dynamics 365 CALs and active SA may install and use any number of copies of the corresponding Dynamics 365 Server software on a network server or shared server. This right does not apply to Dynamics 365 Operations Server. </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Server Rights</w:t>
      </w:r>
    </w:p>
    <w:p>
      <w:pPr>
        <w:pStyle w:val="NormalWeb"/>
        <w:spacing w:after="150"/>
      </w:pPr>
      <w:r>
        <w:t>Dynamics 365 for Operations Server may only be used by Customers that have active SA or equivalent license. Customers that allow SA or equivalent license to lapse must uninstall the server software. Customers that have perpetual rights may install the latest update of Dynamics AX 2012 R3 Server or Commerce Server software that is available at the time of lapse.</w:t>
      </w:r>
    </w:p>
    <w:p>
      <w:pPr>
        <w:pStyle w:val="Heading3"/>
        <w:spacing w:before="150" w:beforeAutospacing="0"/>
        <w:rPr>
          <w:rFonts w:eastAsia="Times New Roman"/>
          <w:color w:val="0078D4"/>
          <w:sz w:val="26"/>
          <w:szCs w:val="26"/>
        </w:rPr>
      </w:pPr>
      <w:r>
        <w:rPr>
          <w:rFonts w:eastAsia="Times New Roman"/>
          <w:color w:val="0078D4"/>
          <w:sz w:val="26"/>
          <w:szCs w:val="26"/>
        </w:rPr>
        <w:t>Dynamics 365 Operations Server Fail-over Rights</w:t>
      </w:r>
    </w:p>
    <w:p>
      <w:pPr>
        <w:pStyle w:val="NormalWeb"/>
        <w:spacing w:after="150"/>
      </w:pPr>
      <w:r>
        <w:t xml:space="preserve">Customer may run passive fail-over instances of Dynamics 365 Operations Server as follows. Passive fail-over Instances may be run in either a separate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xml:space="preserve"> or on a different </w:t>
      </w:r>
      <w:hyperlink w:anchor="_Toc22" w:tooltip="Server means a physical hardware system capable of running server software." w:history="1">
        <w:r>
          <w:rPr>
            <w:rStyle w:val="Hyperlink"/>
            <w:color w:val="505050"/>
          </w:rPr>
          <w:t>Server</w:t>
        </w:r>
      </w:hyperlink>
      <w:r>
        <w:t xml:space="preserve"> dedicated to Customer's use.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hyperlink w:anchor="_Toc22" w:tooltip="Fail-Over Rights: An SA benefit that allows Customer to run passive fail-over Instances as described in the Product entry." w:history="1">
        <w:r>
          <w:rPr>
            <w:rStyle w:val="Hyperlink"/>
            <w:color w:val="505050"/>
          </w:rPr>
          <w:t>Fail-Over Rights</w:t>
        </w:r>
      </w:hyperlink>
      <w:r>
        <w:t xml:space="preserve"> apply only if the number of licenses that otherwise would be required to run the passive fail-over Instances does not exceed the number of licenses required to run the corresponding production Instances. This SA benefit requires SA for the </w:t>
      </w:r>
      <w:hyperlink w:anchor="_Toc22" w:tooltip="Licensed Server means a single Server to which a License is assigned. See Glossary for full definition." w:history="1">
        <w:r>
          <w:rPr>
            <w:rStyle w:val="Hyperlink"/>
            <w:color w:val="505050"/>
          </w:rPr>
          <w:t>Licensed Server</w:t>
        </w:r>
      </w:hyperlink>
      <w:r>
        <w:t xml:space="preserve"> and access license, if any.</w:t>
      </w:r>
    </w:p>
    <w:p>
      <w:pPr>
        <w:pStyle w:val="Heading3"/>
        <w:spacing w:before="150" w:beforeAutospacing="0"/>
        <w:rPr>
          <w:rFonts w:eastAsia="Times New Roman"/>
          <w:color w:val="0078D4"/>
          <w:sz w:val="26"/>
          <w:szCs w:val="26"/>
        </w:rPr>
      </w:pPr>
      <w:r>
        <w:rPr>
          <w:rFonts w:eastAsia="Times New Roman"/>
          <w:color w:val="0078D4"/>
          <w:sz w:val="26"/>
          <w:szCs w:val="26"/>
        </w:rPr>
        <w:t>Localization and Updates</w:t>
      </w:r>
    </w:p>
    <w:p>
      <w:pPr>
        <w:pStyle w:val="NormalWeb"/>
        <w:spacing w:after="150"/>
      </w:pPr>
      <w:r>
        <w:t xml:space="preserve">Customer is eligible to receive and use updates related to government tax and regulatory requirements on </w:t>
      </w:r>
      <w:hyperlink w:anchor="_Toc22" w:tooltip="Licensed Server means a single Server to which a License is assigned.  See Glossary for full definition." w:history="1">
        <w:r>
          <w:rPr>
            <w:rStyle w:val="Hyperlink"/>
            <w:color w:val="505050"/>
          </w:rPr>
          <w:t>Licensed Servers</w:t>
        </w:r>
      </w:hyperlink>
      <w:r>
        <w:t xml:space="preserve"> provided it has active SA or equivalent license for the </w:t>
      </w:r>
      <w:hyperlink w:anchor="_Toc22" w:tooltip="Licensed Server means a single Server to which a License is assigned.  See Glossary for full definition." w:history="1">
        <w:r>
          <w:rPr>
            <w:rStyle w:val="Hyperlink"/>
            <w:color w:val="505050"/>
          </w:rPr>
          <w:t>Licensed Servers</w:t>
        </w:r>
      </w:hyperlink>
      <w:r>
        <w:t xml:space="preserve"> and </w:t>
      </w:r>
      <w:hyperlink w:anchor="_Toc22" w:tooltip="CAL means client access license, which may be assigned by user or device, as appropriate. (Refer to Glossary for full definition)" w:history="1">
        <w:r>
          <w:rPr>
            <w:rStyle w:val="Hyperlink"/>
            <w:color w:val="505050"/>
          </w:rPr>
          <w:t>CALs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For each Dynamics 365 for Sales On-premises CAL or Dynamics 365 for Customer Service On-premises CAL for which Customer has SA, Customer may install and use USD on 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The right to use USD is limited to the user or device to whom the qualifying </w:t>
      </w:r>
      <w:hyperlink w:anchor="_Toc22" w:tooltip="CAL means client access license, which may be assigned by user or device, as appropriate. Refer to glossary for full definition." w:history="1">
        <w:r>
          <w:rPr>
            <w:rStyle w:val="Hyperlink"/>
            <w:color w:val="505050"/>
          </w:rPr>
          <w:t>CAL</w:t>
        </w:r>
      </w:hyperlink>
      <w:r>
        <w:t xml:space="preserve"> is assigned.</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Dynamics 365 On-premises CAL customers with active SA have access to CustomerSource.</w:t>
      </w:r>
    </w:p>
    <w:p w:rsidR="00ED5159" w:rsidP="00ED5159">
      <w:pPr>
        <w:pStyle w:val="ProductList-OfferingGroupHeading"/>
        <w:outlineLvl w:val="1"/>
      </w:pPr>
      <w:r>
        <w:t>Office Applications</w:t>
      </w:r>
      <w:r>
        <w:fldChar w:fldCharType="begin"/>
      </w:r>
      <w:r>
        <w:instrText xml:space="preserve"> TC </w:instrText>
      </w:r>
      <w:bookmarkStart w:id="30" w:name="_Toc256000023"/>
      <w:r>
        <w:instrText>"</w:instrText>
      </w:r>
      <w:bookmarkStart w:id="31" w:name="_Toc7"/>
      <w:r>
        <w:instrText>Office Applications</w:instrText>
      </w:r>
      <w:bookmarkEnd w:id="31"/>
      <w:r>
        <w:instrText>"</w:instrText>
      </w:r>
      <w:bookmarkEnd w:id="30"/>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32" w:name="_Toc256000024"/>
      <w:r>
        <w:instrText>"</w:instrText>
      </w:r>
      <w:r>
        <w:instrText>Office Desktop Applications (Windows)</w:instrText>
      </w:r>
      <w:r>
        <w:instrText>"</w:instrText>
      </w:r>
      <w:bookmarkEnd w:id="3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LTSC Professional 2024</w:t>
            </w:r>
          </w:p>
        </w:tc>
        <w:tc>
          <w:tcPr/>
          <w:p w:rsidR="00A363CA" w:rsidP="00A363CA">
            <w:pPr>
              <w:pStyle w:val="ProductList-TableBody"/>
            </w:pPr>
            <w:r>
              <w:t>10/24</w:t>
            </w:r>
          </w:p>
        </w:tc>
        <w:tc>
          <w:tcPr/>
          <w:p w:rsidR="00A363CA" w:rsidP="00A363CA">
            <w:pPr>
              <w:pStyle w:val="ProductList-TableBody"/>
            </w:pPr>
            <w:r>
              <w:t>Additional Product,Additional Product Organization Wide,Student Offering</w:t>
            </w:r>
          </w:p>
        </w:tc>
      </w:tr>
      <w:tr w:rsidTr="00610FDE">
        <w:tblPrEx>
          <w:tblW w:w="0" w:type="auto"/>
          <w:tblLook w:val="04A0"/>
        </w:tblPrEx>
        <w:tc>
          <w:tcPr/>
          <w:p w:rsidR="00A363CA" w:rsidP="00A363CA">
            <w:pPr>
              <w:pStyle w:val="ProductList-TableBody"/>
            </w:pPr>
            <w:r>
              <w:t>Skype for Business LTSC 2024</w:t>
            </w:r>
          </w:p>
        </w:tc>
        <w:tc>
          <w:tcPr/>
          <w:p w:rsidR="00A363CA" w:rsidP="00A363CA">
            <w:pPr>
              <w:pStyle w:val="ProductList-TableBody"/>
            </w:pPr>
            <w:r>
              <w:t>10/24</w:t>
            </w:r>
          </w:p>
        </w:tc>
        <w:tc>
          <w:tcPr/>
          <w:p w:rsidR="00A363CA" w:rsidP="00A363CA">
            <w:pPr>
              <w:pStyle w:val="ProductList-TableBody"/>
            </w:pPr>
            <w:r>
              <w:t>Additional Product,Additional Product Organization Wide,Student Offering</w:t>
            </w:r>
          </w:p>
        </w:tc>
      </w:tr>
      <w:tr w:rsidTr="00610FDE">
        <w:tblPrEx>
          <w:tblW w:w="0" w:type="auto"/>
          <w:tblLook w:val="04A0"/>
        </w:tblPrEx>
        <w:tc>
          <w:tcPr/>
          <w:p w:rsidR="00A363CA" w:rsidP="00A363CA">
            <w:pPr>
              <w:pStyle w:val="ProductList-TableBody"/>
            </w:pPr>
            <w:r>
              <w:t>Project Professional 2024</w:t>
            </w:r>
          </w:p>
        </w:tc>
        <w:tc>
          <w:tcPr/>
          <w:p w:rsidR="00A363CA" w:rsidP="00A363CA">
            <w:pPr>
              <w:pStyle w:val="ProductList-TableBody"/>
            </w:pPr>
            <w:r>
              <w:t>10/24</w:t>
            </w:r>
          </w:p>
        </w:tc>
        <w:tc>
          <w:tcPr/>
          <w:p w:rsidR="00A363CA" w:rsidP="00A363CA">
            <w:pPr>
              <w:pStyle w:val="ProductList-TableBody"/>
            </w:pPr>
            <w:r>
              <w:t>Additional Product,Additional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79"/>
        <w:gridCol w:w="225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LTSC Professional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06"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3"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4"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The following applies to customers in Academic Volume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Apps for enterprise Extended Use Rights</w:t>
      </w:r>
    </w:p>
    <w:p>
      <w:pPr>
        <w:pStyle w:val="NormalWeb"/>
        <w:spacing w:after="150"/>
      </w:pPr>
      <w:r>
        <w:t>Provided an Institution has licensed Office Professional Plus for all Faculty and Staff in its defined Organization under an Open Value Subscription Agreement for Education Solutions or an Enrollment for Education Solutions (pre 2017 versions), each Licensed User may use a Microsoft 365 Apps for enterprise subscription for the sole use of each Licensed User for the duration of the agreement. Licenses acquired at no cost through this offer may not be counted toward satisfaction of Institution's minimum order requirements.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67"/>
        <w:gridCol w:w="7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(Office Multi-Language Pack and Visio Premium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Project and Visio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Office Servers</w:t>
      </w:r>
      <w:r>
        <w:fldChar w:fldCharType="begin"/>
      </w:r>
      <w:r>
        <w:instrText xml:space="preserve"> TC </w:instrText>
      </w:r>
      <w:bookmarkStart w:id="33" w:name="_Toc256000025"/>
      <w:r>
        <w:instrText>"</w:instrText>
      </w:r>
      <w:bookmarkStart w:id="34" w:name="_Toc8"/>
      <w:r>
        <w:instrText>Office Servers</w:instrText>
      </w:r>
      <w:bookmarkEnd w:id="34"/>
      <w:r>
        <w:instrText>"</w:instrText>
      </w:r>
      <w:bookmarkEnd w:id="33"/>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35" w:name="_Toc256000026"/>
      <w:r>
        <w:instrText>"</w:instrText>
      </w:r>
      <w:r>
        <w:instrText>Exchange Server</w:instrText>
      </w:r>
      <w:r>
        <w:instrText>"</w:instrText>
      </w:r>
      <w:bookmarkEnd w:id="3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r>
              <w:t>Additional Product Faculty,Student Offering</w:t>
            </w: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Server Subscription Edition Standard CAL (Device and User)*</w:t>
            </w:r>
          </w:p>
        </w:tc>
        <w:tc>
          <w:tcPr/>
          <w:p w:rsidR="00A363CA" w:rsidP="00A363CA">
            <w:pPr>
              <w:pStyle w:val="ProductList-TableBody"/>
            </w:pPr>
            <w:r>
              <w:t>7/25</w:t>
            </w:r>
          </w:p>
        </w:tc>
        <w:tc>
          <w:tcPr/>
          <w:p w:rsidR="00A363CA" w:rsidP="00A363CA">
            <w:pPr>
              <w:pStyle w:val="ProductList-TableBody"/>
            </w:pPr>
            <w:r>
              <w:t>Additional Product Faculty,Student Offering</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006"/>
        <w:gridCol w:w="13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7"/>
        <w:gridCol w:w="6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Exchange Enterprise CAL with Services Supplemental Terms and Conditions</w:t>
      </w:r>
    </w:p>
    <w:p>
      <w:pPr>
        <w:pStyle w:val="NormalWeb"/>
        <w:spacing w:after="150"/>
      </w:pPr>
      <w:r>
        <w:t>Exchange Server Subscription Edition Enterprise CAL with active SA coverage includes the rights to Data Loss Prevention and Exchange Online Protection.</w:t>
      </w:r>
    </w:p>
    <w:p>
      <w:pPr>
        <w:pStyle w:val="Heading3"/>
        <w:spacing w:before="150" w:beforeAutospacing="0"/>
        <w:rPr>
          <w:rFonts w:eastAsia="Times New Roman"/>
          <w:color w:val="0078D4"/>
          <w:sz w:val="26"/>
          <w:szCs w:val="26"/>
        </w:rPr>
      </w:pPr>
      <w:r>
        <w:rPr>
          <w:rFonts w:eastAsia="Times New Roman"/>
          <w:color w:val="0078D4"/>
          <w:sz w:val="26"/>
          <w:szCs w:val="26"/>
        </w:rPr>
        <w:t>Exchange Online Voice Mail Service</w:t>
      </w:r>
    </w:p>
    <w:p>
      <w:pPr>
        <w:pStyle w:val="NormalWeb"/>
        <w:spacing w:after="150"/>
      </w:pPr>
      <w:r>
        <w:t xml:space="preserve">Customers with active SA coverage for Exchange Server Subscription Edition Standard or Exchange Server Subscription Edition Enterprise may use the Exchange Online Voice Mail Service of Cloud Voicemail to access voice messages from Outlook. Use of this Online Service is subject to </w:t>
      </w:r>
      <w:hyperlink r:id="rId115" w:history="1">
        <w:r>
          <w:rPr>
            <w:rStyle w:val="Hyperlink"/>
            <w:color w:val="505050"/>
          </w:rPr>
          <w:t>Exchange Online</w:t>
        </w:r>
      </w:hyperlink>
      <w:r>
        <w:t xml:space="preserve"> terms.</w:t>
      </w:r>
    </w:p>
    <w:p w:rsidR="00ED5159" w:rsidP="00ED5159">
      <w:pPr>
        <w:pStyle w:val="ProductList-Offering2Heading"/>
        <w:outlineLvl w:val="2"/>
      </w:pPr>
      <w:r>
        <w:t>Project Server</w:t>
      </w:r>
      <w:r>
        <w:fldChar w:fldCharType="begin"/>
      </w:r>
      <w:r>
        <w:instrText xml:space="preserve"> TC </w:instrText>
      </w:r>
      <w:bookmarkStart w:id="36" w:name="_Toc256000027"/>
      <w:r>
        <w:instrText>"</w:instrText>
      </w:r>
      <w:r>
        <w:instrText>Project Server</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Subscription Edition</w:t>
            </w:r>
          </w:p>
        </w:tc>
        <w:tc>
          <w:tcPr/>
          <w:p w:rsidR="00A363CA" w:rsidP="00A363CA">
            <w:pPr>
              <w:pStyle w:val="ProductList-TableBody"/>
            </w:pPr>
            <w:r>
              <w:t>11/21</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Project Server Subscription Edition CAL (Device and User)</w:t>
            </w:r>
          </w:p>
        </w:tc>
        <w:tc>
          <w:tcPr/>
          <w:p w:rsidR="00A363CA" w:rsidP="00A363CA">
            <w:pPr>
              <w:pStyle w:val="ProductList-TableBody"/>
            </w:pPr>
            <w:r>
              <w:t>11/21</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772"/>
        <w:gridCol w:w="15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is required to run and access Project Server Subscription Edition software (server and CAL). Project Server Subscription Edition licenses include a perpetual entitlement to run Project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SharePoint Server</w:t>
      </w:r>
      <w:r>
        <w:fldChar w:fldCharType="begin"/>
      </w:r>
      <w:r>
        <w:instrText xml:space="preserve"> TC </w:instrText>
      </w:r>
      <w:bookmarkStart w:id="37" w:name="_Toc256000028"/>
      <w:r>
        <w:instrText>"</w:instrText>
      </w:r>
      <w:r>
        <w:instrText>SharePoint Server</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Subscription Edition</w:t>
            </w:r>
          </w:p>
        </w:tc>
        <w:tc>
          <w:tcPr/>
          <w:p w:rsidR="00A363CA" w:rsidP="00A363CA">
            <w:pPr>
              <w:pStyle w:val="ProductList-TableBody"/>
            </w:pPr>
            <w:r>
              <w:t>11/21</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SharePoint Server Subscription Edition Enterprise CAL (Device and User)</w:t>
            </w:r>
          </w:p>
        </w:tc>
        <w:tc>
          <w:tcPr/>
          <w:p w:rsidR="00A363CA" w:rsidP="00A363CA">
            <w:pPr>
              <w:pStyle w:val="ProductList-TableBody"/>
            </w:pPr>
            <w:r>
              <w:t>11/21</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SharePoint Server Subscription Edition Standard CAL (Device and User)</w:t>
            </w:r>
          </w:p>
        </w:tc>
        <w:tc>
          <w:tcPr/>
          <w:p w:rsidR="00A363CA" w:rsidP="00A363CA">
            <w:pPr>
              <w:pStyle w:val="ProductList-TableBody"/>
            </w:pPr>
            <w:r>
              <w:t>11/21</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026"/>
        <w:gridCol w:w="13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or a subscription license is required to run and access SharePoint Server Subscription Edition software (server and CAL). SharePoint Server Subscription Edition licenses include a perpetual entitlement to run SharePoint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Base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22"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75"/>
        <w:gridCol w:w="73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and Office Audit and Control Management Server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(SharePoint Server and SharePoint Server for Internet 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Skype for Business Server</w:t>
      </w:r>
      <w:r>
        <w:fldChar w:fldCharType="begin"/>
      </w:r>
      <w:r>
        <w:instrText xml:space="preserve"> TC </w:instrText>
      </w:r>
      <w:bookmarkStart w:id="38" w:name="_Toc256000029"/>
      <w:r>
        <w:instrText>"</w:instrText>
      </w:r>
      <w:r>
        <w:instrText>Skype for Business Server</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r>
              <w:t>7/25</w:t>
            </w:r>
          </w:p>
        </w:tc>
        <w:tc>
          <w:tcPr/>
          <w:p w:rsidR="00A363CA" w:rsidP="00A363CA">
            <w:pPr>
              <w:pStyle w:val="ProductList-TableBody"/>
            </w:pPr>
            <w:r>
              <w:t>Additional Product Faculty,Student Offering</w:t>
            </w: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r>
              <w:t>7/25</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r>
              <w:t>7/25</w:t>
            </w:r>
          </w:p>
        </w:tc>
        <w:tc>
          <w:tcPr/>
          <w:p w:rsidR="00A363CA" w:rsidP="00A363CA">
            <w:pPr>
              <w:pStyle w:val="ProductList-TableBody"/>
            </w:pPr>
            <w:r>
              <w:t>Additional Product Faculty,Student Offering</w:t>
            </w:r>
          </w:p>
        </w:tc>
      </w:tr>
      <w:tr w:rsidTr="00610FDE">
        <w:tblPrEx>
          <w:tblW w:w="0" w:type="auto"/>
          <w:tblLook w:val="04A0"/>
        </w:tblPrEx>
        <w:tc>
          <w:tcPr/>
          <w:p w:rsidR="00A363CA" w:rsidP="00A363CA">
            <w:pPr>
              <w:pStyle w:val="ProductList-TableBody"/>
            </w:pPr>
            <w:r>
              <w:t>Skype for Business Plus CAL (User SL)</w:t>
            </w:r>
          </w:p>
        </w:tc>
        <w:tc>
          <w:tcPr/>
          <w:p w:rsidR="00A363CA" w:rsidP="00A363CA">
            <w:pPr>
              <w:pStyle w:val="ProductList-TableBody"/>
            </w:pP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130"/>
        <w:gridCol w:w="12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16"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April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6"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SQL Server</w:t>
      </w:r>
      <w:r>
        <w:fldChar w:fldCharType="begin"/>
      </w:r>
      <w:r>
        <w:instrText xml:space="preserve"> TC </w:instrText>
      </w:r>
      <w:bookmarkStart w:id="39" w:name="_Toc256000030"/>
      <w:r>
        <w:instrText>"</w:instrText>
      </w:r>
      <w:r>
        <w:instrText>SQL Server</w:instrText>
      </w:r>
      <w:r>
        <w:instrText>"</w:instrText>
      </w:r>
      <w:bookmarkEnd w:id="3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11/25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ESU (Standard and Enterprise, Server and Core)</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11/25</w:t>
            </w:r>
          </w:p>
        </w:tc>
        <w:tc>
          <w:tcPr/>
          <w:p w:rsidR="00A363CA" w:rsidP="00A363CA">
            <w:pPr>
              <w:pStyle w:val="ProductList-TableBody"/>
            </w:pPr>
            <w:r>
              <w: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08"/>
        <w:gridCol w:w="15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Standard Core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Enterprise Core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7"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8"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8"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22"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22"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22" w:tooltip="Server means a physical hardware system capable of running server software." w:history="1">
        <w:r>
          <w:rPr>
            <w:rStyle w:val="Hyperlink"/>
            <w:color w:val="505050"/>
          </w:rPr>
          <w:t>Server</w:t>
        </w:r>
      </w:hyperlink>
      <w:r>
        <w:t xml:space="preserve"> License, software may be run in only one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at a time, but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22"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22" w:tooltip="License means the right to download, install, access and use a Product." w:history="1">
        <w:r>
          <w:rPr>
            <w:rStyle w:val="Hyperlink"/>
            <w:color w:val="505050"/>
          </w:rPr>
          <w:t>Licenses</w:t>
        </w:r>
      </w:hyperlink>
      <w:r>
        <w:t xml:space="preserve"> for the software running in fail-over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22"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22"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22" w:tooltip="Licensed Server means a single Server to which a License is assigned. See Glossary for full definition." w:history="1">
        <w:r>
          <w:rPr>
            <w:rStyle w:val="Hyperlink"/>
            <w:color w:val="505050"/>
          </w:rPr>
          <w:t>Licensed Server</w:t>
        </w:r>
      </w:hyperlink>
      <w:r>
        <w:t xml:space="preserve"> in connection with that use. For clarity, if hyperthreading is enabled and Customer is licensing use under the Virtual OSE Per Core License Model, Customer must assign a Core License for each </w:t>
      </w:r>
      <w:hyperlink w:anchor="_Toc22" w:tooltip="Hardware Thread means either a Physical Core or a hyper-thread in a Physical Processor." w:history="1">
        <w:r>
          <w:rPr>
            <w:rStyle w:val="Hyperlink"/>
            <w:color w:val="505050"/>
          </w:rPr>
          <w:t>Hardware Thread</w:t>
        </w:r>
      </w:hyperlink>
      <w:r>
        <w:t xml:space="preserve"> mapped to a container, subject to a minimum of four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22"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22" w:tooltip="License means the right to download, install, access and use a Product." w:history="1">
        <w:r>
          <w:rPr>
            <w:rStyle w:val="Hyperlink"/>
            <w:color w:val="505050"/>
          </w:rPr>
          <w:t>Licenses</w:t>
        </w:r>
      </w:hyperlink>
      <w:r>
        <w:t xml:space="preserve"> assigned to the </w:t>
      </w:r>
      <w:hyperlink w:anchor="_Toc22"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22"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22"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2" w:tooltip="Physical Core means a core in a Physical Processor." w:history="1">
        <w:r>
          <w:rPr>
            <w:rStyle w:val="Hyperlink"/>
            <w:color w:val="505050"/>
          </w:rPr>
          <w:t>Physical Core</w:t>
        </w:r>
      </w:hyperlink>
      <w:r>
        <w:t xml:space="preserve"> on a </w:t>
      </w:r>
      <w:hyperlink w:anchor="_Toc22" w:tooltip="Server means a physical hardware system capable of running server software." w:history="1">
        <w:r>
          <w:rPr>
            <w:rStyle w:val="Hyperlink"/>
            <w:color w:val="505050"/>
          </w:rPr>
          <w:t>Server</w:t>
        </w:r>
      </w:hyperlink>
      <w:r>
        <w:t xml:space="preserve"> or Licensing by Individual </w:t>
      </w:r>
      <w:hyperlink w:anchor="_Toc22"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91"/>
        <w:gridCol w:w="72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See Fail-Over Rights section below for additional terms for SQL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of SQL Server (Not applicable to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5" w:tgtFrame="_blank" w:history="1">
              <w:r>
                <w:rPr>
                  <w:rStyle w:val="Hyperlink"/>
                  <w:rFonts w:ascii="Segoe UI" w:eastAsia="Times New Roman" w:hAnsi="Segoe UI" w:cs="Segoe UI"/>
                  <w:sz w:val="16"/>
                  <w:szCs w:val="16"/>
                </w:rPr>
                <w:t>Product Terms - October 2019</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Unlimited Virtualization</w:t>
      </w:r>
    </w:p>
    <w:p>
      <w:pPr>
        <w:pStyle w:val="NormalWeb"/>
        <w:spacing w:after="150"/>
      </w:pPr>
      <w:r>
        <w:t xml:space="preserve">When licensing by physical core, customers with active Software Assurance may run any number of instances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2"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Standard/Enterprise Core - Unlimited Containers</w:t>
      </w:r>
    </w:p>
    <w:p>
      <w:pPr>
        <w:pStyle w:val="NormalWeb"/>
        <w:spacing w:after="150"/>
      </w:pPr>
      <w:r>
        <w:t xml:space="preserve">When licensing by </w:t>
      </w:r>
      <w:hyperlink w:anchor="_Toc22" w:tooltip="Virtual OSE means an OSE that is configured to run on a virtual hardware system." w:history="1">
        <w:r>
          <w:rPr>
            <w:rStyle w:val="Hyperlink"/>
            <w:color w:val="505050"/>
          </w:rPr>
          <w:t>Virtual OSE</w:t>
        </w:r>
      </w:hyperlink>
      <w:r>
        <w:t xml:space="preserve">, customers with active SA may run any number of instances of the server software in any number of containers in the </w:t>
      </w:r>
      <w:hyperlink w:anchor="_Toc22" w:tooltip="Virtual OSE means an OSE that is configured to run on a virtual hardware system." w:history="1">
        <w:r>
          <w:rPr>
            <w:rStyle w:val="Hyperlink"/>
            <w:color w:val="505050"/>
          </w:rPr>
          <w:t>Virtual OSE</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xml:space="preserve">. When electing this benefit, a container is not considered to be a </w:t>
      </w:r>
      <w:hyperlink w:anchor="_Toc22"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SQL on Microsoft Azure</w:t>
      </w:r>
    </w:p>
    <w:p>
      <w:pPr>
        <w:pStyle w:val="NormalWeb"/>
        <w:spacing w:after="150"/>
      </w:pPr>
      <w:r>
        <w:t>When using SQL Server on Azure under Azure Hybrid Benefit rights, or Disaster Recovery Rights, Customer should indicate such use, as prompted in the Azure portal or Azure command line APIs.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Parallel Data Warehouse Feature Updates</w:t>
      </w:r>
    </w:p>
    <w:p>
      <w:pPr>
        <w:pStyle w:val="NormalWeb"/>
        <w:spacing w:after="150"/>
      </w:pPr>
      <w:r>
        <w:t>Customers with SA coverage are eligible for Parallel Data Warehouse feature releases (e.g., appliance updates) available between major product releases.</w:t>
      </w:r>
    </w:p>
    <w:p>
      <w:pPr>
        <w:pStyle w:val="Heading3"/>
        <w:spacing w:before="150" w:beforeAutospacing="0"/>
        <w:rPr>
          <w:rFonts w:eastAsia="Times New Roman"/>
          <w:color w:val="0078D4"/>
          <w:sz w:val="26"/>
          <w:szCs w:val="26"/>
        </w:rPr>
      </w:pPr>
      <w:r>
        <w:rPr>
          <w:rFonts w:eastAsia="Times New Roman"/>
          <w:color w:val="0078D4"/>
          <w:sz w:val="26"/>
          <w:szCs w:val="26"/>
        </w:rPr>
        <w:t>SQL Server Buy-Out Option under the Enrollment for Application Platform EAP</w:t>
      </w:r>
    </w:p>
    <w:p>
      <w:pPr>
        <w:pStyle w:val="NormalWeb"/>
        <w:spacing w:after="150"/>
      </w:pPr>
      <w:r>
        <w:t xml:space="preserve">Customer may renew SA for SQL Server Enterprise Server/CAL </w:t>
      </w:r>
      <w:hyperlink w:anchor="_Toc22" w:tooltip="License means the right to download, install, access and use a Product." w:history="1">
        <w:r>
          <w:rPr>
            <w:rStyle w:val="Hyperlink"/>
            <w:color w:val="505050"/>
          </w:rPr>
          <w:t>Licenses</w:t>
        </w:r>
      </w:hyperlink>
      <w:r>
        <w:t xml:space="preserve">, but the only buy-out option at the end of Customer’s enrollment term will be for core </w:t>
      </w:r>
      <w:hyperlink w:anchor="_Toc22" w:tooltip="License means the right to download, install, access and use a Product." w:history="1">
        <w:r>
          <w:rPr>
            <w:rStyle w:val="Hyperlink"/>
            <w:color w:val="505050"/>
          </w:rPr>
          <w:t>Licenses</w:t>
        </w:r>
      </w:hyperlink>
      <w:r>
        <w:t>.</w:t>
      </w:r>
    </w:p>
    <w:p w:rsidR="00ED5159" w:rsidP="00ED5159">
      <w:pPr>
        <w:pStyle w:val="ProductList-OfferingGroupHeading"/>
        <w:outlineLvl w:val="1"/>
      </w:pPr>
      <w:r>
        <w:t>Virtual Desktop Infrastructure (VDI Suite)</w:t>
      </w:r>
      <w:r>
        <w:fldChar w:fldCharType="begin"/>
      </w:r>
      <w:r>
        <w:instrText xml:space="preserve"> TC </w:instrText>
      </w:r>
      <w:bookmarkStart w:id="40" w:name="_Toc256000031"/>
      <w:r>
        <w:instrText>"</w:instrText>
      </w:r>
      <w:r>
        <w:instrText>Virtual Desktop Infrastructure (VDI Suite)</w:instrText>
      </w:r>
      <w:r>
        <w:instrText>"</w:instrText>
      </w:r>
      <w:bookmarkEnd w:id="4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VDI Suite with MDOP</w:t>
            </w:r>
          </w:p>
        </w:tc>
        <w:tc>
          <w:tcPr/>
          <w:p w:rsidR="00A363CA" w:rsidP="00A363CA">
            <w:pPr>
              <w:pStyle w:val="ProductList-TableBody"/>
            </w:pPr>
            <w:r>
              <w:t>4/12</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VDI Suite</w:t>
            </w:r>
          </w:p>
        </w:tc>
        <w:tc>
          <w:tcPr/>
          <w:p w:rsidR="00A363CA" w:rsidP="00A363CA">
            <w:pPr>
              <w:pStyle w:val="ProductList-TableBody"/>
            </w:pPr>
            <w:r>
              <w:t>4/12</w:t>
            </w:r>
          </w:p>
        </w:tc>
        <w:tc>
          <w:tcPr/>
          <w:p w:rsidR="00A363CA" w:rsidP="00A363CA">
            <w:pPr>
              <w:pStyle w:val="ProductList-TableBody"/>
            </w:pPr>
            <w:r>
              <w:t>Additional Product,Student Offering</w:t>
            </w:r>
          </w:p>
        </w:tc>
      </w:tr>
    </w:tbl>
    <w:p w:rsidR="00ED5159" w:rsidP="00ED5159">
      <w:pPr>
        <w:pStyle w:val="ProductList-Offering1SubSection"/>
      </w:pPr>
      <w:r>
        <w:t>Use Rights</w:t>
      </w:r>
    </w:p>
    <w:p>
      <w:pPr>
        <w:pStyle w:val="NormalWeb"/>
      </w:pPr>
      <w:r>
        <w:t xml:space="preserve">Customers looking for information about how to license and use the VDI Suite should refer to the April 2015 Product Use Rights </w:t>
      </w:r>
      <w:hyperlink r:id="rId119" w:history="1">
        <w:r>
          <w:rPr>
            <w:rStyle w:val="Hyperlink"/>
            <w:color w:val="505050"/>
          </w:rPr>
          <w:t>http://go.microsoft.com/?linkid=9839206</w:t>
        </w:r>
      </w:hyperlink>
      <w:r>
        <w:t xml:space="preserve"> and June 2015 Product List </w:t>
      </w:r>
      <w:hyperlink r:id="rId105" w:history="1">
        <w:r>
          <w:rPr>
            <w:rStyle w:val="Hyperlink"/>
            <w:color w:val="505050"/>
          </w:rPr>
          <w:t>http://go.microsoft.com/?linkid=9839207</w:t>
        </w:r>
      </w:hyperlink>
      <w:r>
        <w:t>.</w:t>
      </w:r>
    </w:p>
    <w:p w:rsidR="00ED5159" w:rsidP="00ED5159">
      <w:pPr>
        <w:pStyle w:val="ProductList-OfferingGroupHeading"/>
        <w:outlineLvl w:val="1"/>
      </w:pPr>
      <w:r>
        <w:t>Visual Studio</w:t>
      </w:r>
      <w:r>
        <w:fldChar w:fldCharType="begin"/>
      </w:r>
      <w:r>
        <w:instrText xml:space="preserve"> TC </w:instrText>
      </w:r>
      <w:bookmarkStart w:id="41" w:name="_Toc256000032"/>
      <w:r>
        <w:instrText>"</w:instrText>
      </w:r>
      <w:bookmarkStart w:id="42" w:name="_Toc11"/>
      <w:r>
        <w:instrText>Visual Studio</w:instrText>
      </w:r>
      <w:bookmarkEnd w:id="42"/>
      <w:r>
        <w:instrText>"</w:instrText>
      </w:r>
      <w:bookmarkEnd w:id="41"/>
      <w:r>
        <w:instrText xml:space="preserve"> \l 2</w:instrText>
      </w:r>
      <w:r>
        <w:fldChar w:fldCharType="end"/>
      </w:r>
    </w:p>
    <w:p w:rsidR="00ED5159" w:rsidP="00ED5159">
      <w:pPr>
        <w:pStyle w:val="ProductList-Offering2Heading"/>
        <w:outlineLvl w:val="2"/>
      </w:pPr>
      <w:r>
        <w:t>Visual Studio Subscriptions</w:t>
      </w:r>
      <w:r>
        <w:fldChar w:fldCharType="begin"/>
      </w:r>
      <w:r>
        <w:instrText xml:space="preserve"> TC </w:instrText>
      </w:r>
      <w:bookmarkStart w:id="43" w:name="_Toc256000033"/>
      <w:r>
        <w:instrText>"</w:instrText>
      </w:r>
      <w:r>
        <w:instrText>Visual Studio Subscriptions</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MSDN Platforms</w:t>
            </w:r>
          </w:p>
        </w:tc>
        <w:tc>
          <w:tcPr/>
          <w:p w:rsidR="00A363CA" w:rsidP="00A363CA">
            <w:pPr>
              <w:pStyle w:val="ProductList-TableBody"/>
            </w:pPr>
            <w:r>
              <w:t>6/13</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Enterprise Subscription</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Professional Subscription</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Test Professional Subscription</w:t>
            </w:r>
          </w:p>
        </w:tc>
        <w:tc>
          <w:tcPr/>
          <w:p w:rsidR="00A363CA" w:rsidP="00A363CA">
            <w:pPr>
              <w:pStyle w:val="ProductList-TableBody"/>
            </w:pP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420"/>
        <w:gridCol w:w="191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22" w:tooltip="License means the right to download, install, access and use a Product." w:history="1">
        <w:r>
          <w:rPr>
            <w:rStyle w:val="Hyperlink"/>
            <w:color w:val="505050"/>
          </w:rPr>
          <w:t>License</w:t>
        </w:r>
      </w:hyperlink>
      <w:r>
        <w:t xml:space="preserve"> for Azure DevOps Server and one Azure DevOps Server User </w:t>
      </w:r>
      <w:hyperlink w:anchor="_Toc22" w:tooltip="CAL means client access license, which may be assigned by user or device, as appropriate. Refer to glossary for full definition." w:history="1">
        <w:r>
          <w:rPr>
            <w:rStyle w:val="Hyperlink"/>
            <w:color w:val="505050"/>
          </w:rPr>
          <w:t>CAL</w:t>
        </w:r>
      </w:hyperlink>
      <w:r>
        <w:t xml:space="preserve">. The </w:t>
      </w:r>
      <w:hyperlink w:anchor="_Toc22"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22"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7"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2"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20" w:history="1">
        <w:r>
          <w:rPr>
            <w:rStyle w:val="Hyperlink"/>
            <w:color w:val="505050"/>
          </w:rPr>
          <w:t>Office Desktop Applications (Windows)</w:t>
        </w:r>
      </w:hyperlink>
      <w:r>
        <w:t xml:space="preserve"> terms applies to the </w:t>
      </w:r>
      <w:hyperlink w:anchor="_Toc22" w:tooltip="Licensed User means the single person to whom a License is assigned." w:history="1">
        <w:r>
          <w:rPr>
            <w:rStyle w:val="Hyperlink"/>
            <w:color w:val="505050"/>
          </w:rPr>
          <w:t>Licensed User</w:t>
        </w:r>
      </w:hyperlink>
      <w:r>
        <w:t xml:space="preserve">'s use of Office LTSC Professional Plus and the </w:t>
      </w:r>
      <w:hyperlink r:id="rId121" w:history="1">
        <w:r>
          <w:rPr>
            <w:rStyle w:val="Hyperlink"/>
            <w:color w:val="505050"/>
          </w:rPr>
          <w:t>Microsoft 365 Applications</w:t>
        </w:r>
      </w:hyperlink>
      <w:r>
        <w:t xml:space="preserve"> terms applies to </w:t>
      </w:r>
      <w:hyperlink w:anchor="_Toc22"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22"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60"/>
        </w:numPr>
        <w:spacing w:before="100" w:beforeAutospacing="1" w:line="240" w:lineRule="auto"/>
        <w:ind w:left="600"/>
        <w:rPr>
          <w:rFonts w:ascii="Segoe UI" w:eastAsia="Times New Roman" w:hAnsi="Segoe UI" w:cs="Segoe UI"/>
          <w:color w:val="505050"/>
          <w:sz w:val="18"/>
          <w:szCs w:val="18"/>
        </w:rPr>
      </w:pP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6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22"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22"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22"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4"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2Heading"/>
        <w:outlineLvl w:val="2"/>
      </w:pPr>
      <w:r>
        <w:t>Azure DevOps Server</w:t>
      </w:r>
      <w:r>
        <w:fldChar w:fldCharType="begin"/>
      </w:r>
      <w:r>
        <w:instrText xml:space="preserve"> TC </w:instrText>
      </w:r>
      <w:bookmarkStart w:id="44" w:name="_Toc256000034"/>
      <w:r>
        <w:instrText>"</w:instrText>
      </w:r>
      <w:r>
        <w:instrText>Azure DevOps Server</w:instrText>
      </w:r>
      <w:r>
        <w:instrText>"</w:instrText>
      </w:r>
      <w:bookmarkEnd w:id="4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DevOps Server 2022 with SQL Server Technology</w:t>
            </w:r>
          </w:p>
        </w:tc>
        <w:tc>
          <w:tcPr/>
          <w:p w:rsidR="00A363CA" w:rsidP="00A363CA">
            <w:pPr>
              <w:pStyle w:val="ProductList-TableBody"/>
            </w:pPr>
            <w:r>
              <w:t>11/22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Azure DevOps Server 2022 CAL (Device and User)</w:t>
            </w:r>
          </w:p>
        </w:tc>
        <w:tc>
          <w:tcPr/>
          <w:p w:rsidR="00A363CA" w:rsidP="00A363CA">
            <w:pPr>
              <w:pStyle w:val="ProductList-TableBody"/>
            </w:pPr>
            <w:r>
              <w:t>11/22</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98"/>
        <w:gridCol w:w="64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2020 (10/20)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Usage Not Requiring CALs</w:t>
      </w:r>
    </w:p>
    <w:p>
      <w:pPr>
        <w:pStyle w:val="NormalWeb"/>
        <w:spacing w:after="150"/>
      </w:pPr>
      <w:r>
        <w:t xml:space="preserve">The following uses do not require </w:t>
      </w:r>
      <w:hyperlink w:anchor="_Toc22" w:tooltip="CAL means client access license, which may be assigned by user or device, as appropriate. (Refer to Glossary for full definition)" w:history="1">
        <w:r>
          <w:rPr>
            <w:rStyle w:val="Hyperlink"/>
            <w:color w:val="505050"/>
          </w:rPr>
          <w:t>CALs</w:t>
        </w:r>
      </w:hyperlink>
      <w:r>
        <w:t>; view, edit, or enter work items; access Azure DevOps Server Reporting; accessing Azure DevOps Services via a Azure DevOps Server Proxy; providing approvals to stages as part of the Release Management pipeline; and accessing Azure DevOps Server through a pooled connection from another integrated application or service.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2"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Azure DevOps Server Build Services</w:t>
      </w:r>
    </w:p>
    <w:p>
      <w:pPr>
        <w:pStyle w:val="NormalWeb"/>
        <w:spacing w:after="150"/>
      </w:pPr>
      <w:r>
        <w:t xml:space="preserve">If Customer has one or more </w:t>
      </w:r>
      <w:hyperlink w:anchor="_Toc22" w:tooltip="Licensed User means the single person to whom a License is assigned." w:history="1">
        <w:r>
          <w:rPr>
            <w:rStyle w:val="Hyperlink"/>
            <w:color w:val="505050"/>
          </w:rPr>
          <w:t>Licensed Users</w:t>
        </w:r>
      </w:hyperlink>
      <w:r>
        <w:t xml:space="preserve"> of Visual Studio Enterprise Subscription, Visual Studio Professional Subscription, Visual Studio Enterprise monthly subscription, or Visual Studio Professional monthly subscription then Customer may also install the Visual Studio software and permit access and use of it as part Azure DevOps Server Build Services by Customer’s </w:t>
      </w:r>
      <w:hyperlink w:anchor="_Toc22" w:tooltip="Licensed User means the single person to whom a License is assigned." w:history="1">
        <w:r>
          <w:rPr>
            <w:rStyle w:val="Hyperlink"/>
            <w:color w:val="505050"/>
          </w:rPr>
          <w:t>Licensed Users</w:t>
        </w:r>
      </w:hyperlink>
      <w:r>
        <w:t xml:space="preserve"> and </w:t>
      </w:r>
      <w:hyperlink w:anchor="_Toc22" w:tooltip="Licensed Device means a single physical hardware system to which a License is assigned (see Glossary for full definition)" w:history="1">
        <w:r>
          <w:rPr>
            <w:rStyle w:val="Hyperlink"/>
            <w:color w:val="505050"/>
          </w:rPr>
          <w:t>Licensed Devices</w:t>
        </w:r>
      </w:hyperlink>
      <w:r>
        <w:t xml:space="preserve"> of Azure DevOps Server.</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Azure DevOps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Build Services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1"/>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paid user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w:t>
      </w:r>
    </w:p>
    <w:p>
      <w:pPr>
        <w:pStyle w:val="NormalWeb"/>
        <w:spacing w:after="150"/>
      </w:pPr>
      <w:r>
        <w:t>Test Plan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Test Manager paid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Windows Desktop Operating System</w:t>
      </w:r>
      <w:r>
        <w:fldChar w:fldCharType="begin"/>
      </w:r>
      <w:r>
        <w:instrText xml:space="preserve"> TC </w:instrText>
      </w:r>
      <w:bookmarkStart w:id="45" w:name="_Toc256000035"/>
      <w:r>
        <w:instrText>"</w:instrText>
      </w:r>
      <w:r>
        <w:instrText>Windows Desktop Operating System</w:instrText>
      </w:r>
      <w:r>
        <w:instrText>"</w:instrText>
      </w:r>
      <w:bookmarkEnd w:id="4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11 Education (Per Device)</w:t>
            </w:r>
          </w:p>
        </w:tc>
        <w:tc>
          <w:tcPr/>
          <w:p w:rsidR="00A363CA" w:rsidP="00A363CA">
            <w:pPr>
              <w:pStyle w:val="ProductList-TableBody"/>
            </w:pPr>
            <w:r>
              <w:t>8/15</w:t>
            </w:r>
          </w:p>
        </w:tc>
        <w:tc>
          <w:tcPr/>
          <w:p w:rsidR="00A363CA" w:rsidP="00A363CA">
            <w:pPr>
              <w:pStyle w:val="ProductList-TableBody"/>
            </w:pPr>
            <w:r>
              <w:t>School Desktop Platform Product,Student Offering School Only</w:t>
            </w:r>
          </w:p>
        </w:tc>
      </w:tr>
      <w:tr w:rsidTr="00610FDE">
        <w:tblPrEx>
          <w:tblW w:w="0" w:type="auto"/>
          <w:tblLook w:val="04A0"/>
        </w:tblPrEx>
        <w:tc>
          <w:tcPr/>
          <w:p w:rsidR="00A363CA" w:rsidP="00A363CA">
            <w:pPr>
              <w:pStyle w:val="ProductList-TableBody"/>
            </w:pPr>
            <w:r>
              <w:t>Windows 11 Education A3 (Per User)</w:t>
            </w:r>
          </w:p>
        </w:tc>
        <w:tc>
          <w:tcPr/>
          <w:p w:rsidR="00A363CA" w:rsidP="00A363CA">
            <w:pPr>
              <w:pStyle w:val="ProductList-TableBody"/>
            </w:pPr>
            <w:r>
              <w:t>10/17</w:t>
            </w:r>
          </w:p>
        </w:tc>
        <w:tc>
          <w:tcPr/>
          <w:p w:rsidR="00A363CA" w:rsidP="00A363CA">
            <w:pPr>
              <w:pStyle w:val="ProductList-TableBody"/>
            </w:pPr>
            <w:r>
              <w:t>Education Platform Product</w:t>
            </w:r>
          </w:p>
        </w:tc>
      </w:tr>
      <w:tr w:rsidTr="00610FDE">
        <w:tblPrEx>
          <w:tblW w:w="0" w:type="auto"/>
          <w:tblLook w:val="04A0"/>
        </w:tblPrEx>
        <w:tc>
          <w:tcPr/>
          <w:p w:rsidR="00A363CA" w:rsidP="00A363CA">
            <w:pPr>
              <w:pStyle w:val="ProductList-TableBody"/>
            </w:pPr>
            <w:r>
              <w:t>Windows 11 Enterprise E3 Per User Add-on (to Enterprise per device) (SL)</w:t>
            </w:r>
          </w:p>
        </w:tc>
        <w:tc>
          <w:tcPr/>
          <w:p w:rsidR="00A363CA" w:rsidP="00A363CA">
            <w:pPr>
              <w:pStyle w:val="ProductList-TableBody"/>
            </w:pPr>
            <w:r>
              <w:t>12/14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Universal Print Volume Add-on (500)</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Universal Print Volume Add-on (10K)</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7 ESU 2021 (Per Device)</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7 ESU 2021 For M365 (Per Device)</w:t>
            </w:r>
          </w:p>
        </w:tc>
        <w:tc>
          <w:tcPr/>
          <w:p w:rsidR="00A363CA" w:rsidP="00A363CA">
            <w:pPr>
              <w:pStyle w:val="ProductList-TableBody"/>
            </w:pPr>
            <w:r>
              <w:t>4/19</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11 Education A5 (Per User)</w:t>
            </w:r>
          </w:p>
        </w:tc>
        <w:tc>
          <w:tcPr/>
          <w:p w:rsidR="00A363CA" w:rsidP="00A363CA">
            <w:pPr>
              <w:pStyle w:val="ProductList-TableBody"/>
            </w:pPr>
            <w:r>
              <w:t>10/17</w:t>
            </w:r>
          </w:p>
        </w:tc>
        <w:tc>
          <w:tcPr/>
          <w:p w:rsidR="00A363CA" w:rsidP="00A363CA">
            <w:pPr>
              <w:pStyle w:val="ProductList-TableBody"/>
            </w:pPr>
            <w:r>
              <w:t>Education Platform Product</w:t>
            </w:r>
          </w:p>
        </w:tc>
      </w:tr>
      <w:tr w:rsidTr="00610FDE">
        <w:tblPrEx>
          <w:tblW w:w="0" w:type="auto"/>
          <w:tblLook w:val="04A0"/>
        </w:tblPrEx>
        <w:tc>
          <w:tcPr/>
          <w:p w:rsidR="00A363CA" w:rsidP="00A363CA">
            <w:pPr>
              <w:pStyle w:val="ProductList-TableBody"/>
            </w:pPr>
            <w:r>
              <w:t>HEVC Codec (Per Device)</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10 ESU (Per Device)</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VDA per device (SL)</w:t>
            </w:r>
          </w:p>
        </w:tc>
        <w:tc>
          <w:tcPr/>
          <w:p w:rsidR="00A363CA" w:rsidP="00A363CA">
            <w:pPr>
              <w:pStyle w:val="ProductList-TableBody"/>
            </w:pPr>
            <w:r>
              <w:t>7/07</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Universal Print (Per User)</w:t>
            </w:r>
          </w:p>
        </w:tc>
        <w:tc>
          <w:tcPr/>
          <w:p w:rsidR="00A363CA" w:rsidP="00A363CA">
            <w:pPr>
              <w:pStyle w:val="ProductList-TableBody"/>
            </w:pP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047"/>
        <w:gridCol w:w="12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Per User Add-on (to Enterprise per device)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per device(SL)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06"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the </w:t>
      </w:r>
      <w:hyperlink w:anchor="_Toc22"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22"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Use Qualifying OS for Per Device Licenses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48"/>
        <w:gridCol w:w="2192"/>
        <w:gridCol w:w="2252"/>
        <w:gridCol w:w="2178"/>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New Enterprise Agreement (EA)/Open Value Company Wide (OV-OW)</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10/11 IoT Enterprise for Retail or Thin Clients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8 and 8.1 Industry Retail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for Point of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XP Embedded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Heading5"/>
        <w:rPr>
          <w:rFonts w:eastAsia="Times New Roman"/>
        </w:rPr>
      </w:pPr>
      <w:r>
        <w:rPr>
          <w:rStyle w:val="Strong"/>
          <w:rFonts w:eastAsia="Times New Roman"/>
        </w:rPr>
        <w:t>Restricted Use Qualifying Operating Systems</w:t>
      </w:r>
    </w:p>
    <w:p>
      <w:pPr>
        <w:pStyle w:val="NormalWeb"/>
      </w:pPr>
      <w:r>
        <w:t>The right to use Windows software acquired through a volume licensing agreement on a device licensed with a Restricted Use Qualifying OS is limited to the specific use for which the device was designed. The device running the acquired Windows software may not be used as a general-purpose PC or as a commercially viable substitute for such a system. Acquired Windows software installed on devices licensed with a Point of Sale (POS) version of Windows Embedded must be primarily used for running a POS application.</w:t>
      </w:r>
    </w:p>
    <w:p>
      <w:pPr>
        <w:pStyle w:val="Heading5"/>
        <w:rPr>
          <w:rFonts w:eastAsia="Times New Roman"/>
        </w:rPr>
      </w:pPr>
      <w:r>
        <w:rPr>
          <w:rStyle w:val="Strong"/>
          <w:rFonts w:eastAsia="Times New Roman"/>
        </w:rPr>
        <w:t>Software Assurance Purchase Limitation for Restricted Use Qualifying Operating Systems</w:t>
      </w:r>
    </w:p>
    <w:p>
      <w:pPr>
        <w:pStyle w:val="NormalWeb"/>
      </w:pPr>
      <w:r>
        <w:t>Software Assurance may not be acquired for devices licensed with Restricted Use Qualifying Operating Systems. This limitation does not apply to devices licensed with Windows 10/11 IoT for Retail or Thin Clients.</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Regional Fulfillment Options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KN Editions</w:t>
      </w:r>
    </w:p>
    <w:p>
      <w:pPr>
        <w:pStyle w:val="NormalWeb"/>
        <w:spacing w:after="150"/>
      </w:pPr>
      <w:r>
        <w:t>Customers located in Korea with an active volume licensing agreement or enrollment may acquire media for Windows KN editions for deployment and use in Korea. No other use is permitted.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N Editions (Not with Windows Media Player)</w:t>
      </w:r>
    </w:p>
    <w:p>
      <w:pPr>
        <w:pStyle w:val="NormalWeb"/>
        <w:spacing w:after="150"/>
      </w:pPr>
      <w:r>
        <w:t>Customers located in countries established in the European Union (EU) or European Free Trade Association (EFTA) with an active volume licensing agreement or enrollment may acquire media for Microsoft Windows N editions for deployment and use in countries in the European Union (EU) or the European Free Trade Association (EFTA). (For purposes of Open License, an "active agreement" is one associated with an active Open License Authorization Number.)</w:t>
      </w:r>
    </w:p>
    <w:p>
      <w:pPr>
        <w:pStyle w:val="Heading3"/>
        <w:spacing w:before="150" w:beforeAutospacing="0"/>
        <w:rPr>
          <w:rFonts w:eastAsia="Times New Roman"/>
          <w:color w:val="0078D4"/>
          <w:sz w:val="26"/>
          <w:szCs w:val="26"/>
        </w:rPr>
      </w:pPr>
      <w:r>
        <w:rPr>
          <w:rFonts w:eastAsia="Times New Roman"/>
          <w:color w:val="0078D4"/>
          <w:sz w:val="26"/>
          <w:szCs w:val="26"/>
        </w:rPr>
        <w:t>Windows Embedded 8 Standard Enterprise Kit</w:t>
      </w:r>
    </w:p>
    <w:p>
      <w:pPr>
        <w:pStyle w:val="NormalWeb"/>
        <w:spacing w:after="150"/>
      </w:pPr>
      <w:r>
        <w:t>Use of the software features enabled by the Windows Embedded 8 Standard Enterprise Kit is subject to the license terms for the underlying Windows Embedded 8 Standard software. The right to use the software features expires when the right to use the underlying software expires. The Windows Embedded 8 Standard Enterprise Kit License must be permanently assigned to a single device and may not be transferred to any other device.</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pPr>
        <w:pStyle w:val="Heading3"/>
        <w:spacing w:before="150" w:beforeAutospacing="0"/>
        <w:rPr>
          <w:rFonts w:eastAsia="Times New Roman"/>
          <w:color w:val="0078D4"/>
          <w:sz w:val="26"/>
          <w:szCs w:val="26"/>
        </w:rPr>
      </w:pPr>
      <w:r>
        <w:rPr>
          <w:rFonts w:eastAsia="Times New Roman"/>
          <w:color w:val="0078D4"/>
          <w:sz w:val="26"/>
          <w:szCs w:val="26"/>
        </w:rPr>
        <w:t>Windows 10 ESU (Extended Security Updates)</w:t>
      </w:r>
    </w:p>
    <w:p>
      <w:pPr>
        <w:pStyle w:val="NormalWeb"/>
        <w:spacing w:after="150"/>
      </w:pPr>
      <w:r>
        <w:t xml:space="preserve">Customer may acquire Windows 10 ESU licenses on a per device basis. Devices running a local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covered by ESU or accessing </w:t>
      </w:r>
      <w:hyperlink w:anchor="_Toc22" w:tooltip="Virtual OSE means an OSE that is configured to run on a virtual hardware system" w:history="1">
        <w:r>
          <w:rPr>
            <w:rStyle w:val="Hyperlink"/>
            <w:color w:val="505050"/>
          </w:rPr>
          <w:t>virtual OSEs</w:t>
        </w:r>
      </w:hyperlink>
      <w:r>
        <w:t xml:space="preserve"> covered by ESU must be licensed with Windows 10 ESU for the respective year of coverage. Devices do not need an ESU license to access Windows 10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running on Azure Virtual Desktop or Windows 365. If Customer has one or more ESU licenses, devices do not need an ESU license to run or access Windows 10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when the OSE is licensed through a Visual Studio Subscription for development or test purposes. Windows 10 ESU 2025/2026/2027 licenses may be assigned to any device. Windows 10 ESU 2026 &amp; 2027 may only be assigned to devices also licensed with ESU(s) for the prior year(s).</w:t>
      </w:r>
    </w:p>
    <w:p>
      <w:pPr>
        <w:pStyle w:val="Heading3"/>
        <w:spacing w:before="150" w:beforeAutospacing="0"/>
        <w:rPr>
          <w:rFonts w:eastAsia="Times New Roman"/>
          <w:color w:val="0078D4"/>
          <w:sz w:val="26"/>
          <w:szCs w:val="26"/>
        </w:rPr>
      </w:pPr>
      <w:r>
        <w:rPr>
          <w:rFonts w:eastAsia="Times New Roman"/>
          <w:color w:val="0078D4"/>
          <w:sz w:val="26"/>
          <w:szCs w:val="26"/>
        </w:rPr>
        <w:t>Windows 7 ESU (Extended Security Updates)</w:t>
      </w:r>
    </w:p>
    <w:p>
      <w:pPr>
        <w:pStyle w:val="NormalWeb"/>
        <w:spacing w:after="150"/>
      </w:pPr>
      <w:r>
        <w:t xml:space="preserve">Customer may acquire Windows 7 ESU licenses on a per device basis. Devices running a local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covered by ESU or accessing </w:t>
      </w:r>
      <w:hyperlink w:anchor="_Toc22" w:tooltip="Virtual OSE means an OSE that is configured to run on a virtual hardware system" w:history="1">
        <w:r>
          <w:rPr>
            <w:rStyle w:val="Hyperlink"/>
            <w:color w:val="505050"/>
          </w:rPr>
          <w:t>virtual OSEs</w:t>
        </w:r>
      </w:hyperlink>
      <w:r>
        <w:t xml:space="preserve"> covered by ESU must be licensed with Windows 7 ESU for the respective year of coverage. Devices do not need an ESU license to access Windows 7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running on Azure Virtual Desktop. If Customer has one or more ESU licenses, devices do not need an ESU license to run or access Windows 7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when the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is licensed through a Visual Studio Subscription for development or test purposes. Windows 7 ESU 2020/2021/2022 for M365 licenses may only be assigned to devices with active Software Assurance or used exclusively by users with Windows Enterprise, VDA, or M365 SLs (that include Windows Enterprise). Windows 7 ESU 2020/2021/2022 licenses may be assigned to any device. Windows 7 ESU 2021 &amp; 2022 and Windows 7 ESU 2021 &amp; 2022 for M365 licenses may only be assigned to devices also licensed with ESU(s) for the prior year(s).</w:t>
      </w:r>
    </w:p>
    <w:p>
      <w:pPr>
        <w:pStyle w:val="Heading3"/>
        <w:spacing w:before="150" w:beforeAutospacing="0"/>
        <w:rPr>
          <w:rFonts w:eastAsia="Times New Roman"/>
          <w:color w:val="0078D4"/>
          <w:sz w:val="26"/>
          <w:szCs w:val="26"/>
        </w:rPr>
      </w:pPr>
      <w:r>
        <w:rPr>
          <w:rFonts w:eastAsia="Times New Roman"/>
          <w:color w:val="0078D4"/>
          <w:sz w:val="26"/>
          <w:szCs w:val="26"/>
        </w:rPr>
        <w:t>Academic and Charity Programs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w:t>
      </w:r>
    </w:p>
    <w:p>
      <w:pPr>
        <w:pStyle w:val="Heading5"/>
        <w:rPr>
          <w:rFonts w:eastAsia="Times New Roman"/>
        </w:rPr>
      </w:pPr>
      <w:r>
        <w:rPr>
          <w:rStyle w:val="Strong"/>
          <w:rFonts w:eastAsia="Times New Roman"/>
        </w:rPr>
        <w:t>Per User License Assignment</w:t>
      </w:r>
    </w:p>
    <w:p>
      <w:pPr>
        <w:pStyle w:val="NormalWeb"/>
      </w:pPr>
      <w:r>
        <w:t xml:space="preserve">The </w:t>
      </w:r>
      <w:hyperlink w:anchor="_Toc22" w:tooltip="Licensed User means the single person to whom a License is assigned." w:history="1">
        <w:r>
          <w:rPr>
            <w:rStyle w:val="Hyperlink"/>
            <w:color w:val="505050"/>
          </w:rPr>
          <w:t>Licensed User</w:t>
        </w:r>
      </w:hyperlink>
      <w:r>
        <w:t xml:space="preserve"> must be the </w:t>
      </w:r>
      <w:hyperlink w:anchor="_Toc22" w:tooltip="Primary User means the user who uses a Licensed Device more than 50% of the time in any 90 day period." w:history="1">
        <w:r>
          <w:rPr>
            <w:rStyle w:val="Hyperlink"/>
            <w:color w:val="505050"/>
          </w:rPr>
          <w:t>Primary User</w:t>
        </w:r>
      </w:hyperlink>
      <w:r>
        <w:t xml:space="preserve"> of at least one device that satisfies the Qualifying OS Per Device License requirements.</w:t>
      </w:r>
    </w:p>
    <w:p>
      <w:pPr>
        <w:pStyle w:val="Heading5"/>
        <w:rPr>
          <w:rFonts w:eastAsia="Times New Roman"/>
        </w:rPr>
      </w:pPr>
      <w:r>
        <w:rPr>
          <w:rStyle w:val="Strong"/>
          <w:rFonts w:eastAsia="Times New Roman"/>
        </w:rPr>
        <w:t>Per Device License Assignment</w:t>
      </w:r>
    </w:p>
    <w:p>
      <w:pPr>
        <w:pStyle w:val="NormalWeb"/>
      </w:pPr>
      <w:r>
        <w:t xml:space="preserve">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must satisfy the Qualifying OS Per Device license requirements, and the Qualifying OS must be installed on the </w:t>
      </w:r>
      <w:hyperlink w:anchor="_Toc22"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Academic Program Windows Edition Rights</w:t>
      </w:r>
    </w:p>
    <w:p>
      <w:pPr>
        <w:pStyle w:val="NormalWeb"/>
        <w:spacing w:after="150"/>
      </w:pPr>
      <w:r>
        <w:t>Windows Education licenses include rights to install or activate Windows Enterprise in lieu of Windows Education.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Lab and Library Use</w:t>
      </w:r>
    </w:p>
    <w:p>
      <w:pPr>
        <w:pStyle w:val="NormalWeb"/>
        <w:spacing w:after="150"/>
      </w:pPr>
      <w:r>
        <w:t xml:space="preserve">Institutions with Windows Education E3/E5, or Windows Education (per device) assigned to all faculty and staff,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may install Windows Education, Windows Enterprise, or Windows Pro Academic on any open access lab or library within the Institution's Organization. Use of the software is otherwise subject to the License terms for Windows Education. This provision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Shared Devices</w:t>
      </w:r>
    </w:p>
    <w:p>
      <w:pPr>
        <w:pStyle w:val="NormalWeb"/>
        <w:spacing w:after="150"/>
      </w:pPr>
      <w:r>
        <w:t xml:space="preserve">Institutions with Windows Education E3/E5 assigned to all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or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are licensed to run Windows Education, Windows Enterprise, or Windows Pro Academic on any shared device with a qualifying operating system within the Institution's Organization. For the purposes of this subsection, shared device means a device not used by any one person more than 50% of the time during a single work day period, and not assigned to any </w:t>
      </w:r>
      <w:hyperlink w:anchor="_Toc22" w:tooltip="Primary User means the user who uses a Licensed Device more than 50% of the time in any 90 day period." w:history="1">
        <w:r>
          <w:rPr>
            <w:rStyle w:val="Hyperlink"/>
            <w:color w:val="505050"/>
          </w:rPr>
          <w:t>Primary User</w:t>
        </w:r>
      </w:hyperlink>
      <w:r>
        <w:t xml:space="preserve"> as their primary work device. Use of Windows on shared devices does not count as use of an Education Platform Product under the Enrollment for Education Solutions. Use of the software is otherwise subject to the License terms for Windows Education.</w:t>
      </w:r>
    </w:p>
    <w:p>
      <w:pPr>
        <w:pStyle w:val="Heading3"/>
        <w:spacing w:before="150" w:beforeAutospacing="0"/>
        <w:rPr>
          <w:rFonts w:eastAsia="Times New Roman"/>
          <w:color w:val="0078D4"/>
          <w:sz w:val="26"/>
          <w:szCs w:val="26"/>
        </w:rPr>
      </w:pPr>
      <w:r>
        <w:rPr>
          <w:rFonts w:eastAsia="Times New Roman"/>
          <w:color w:val="0078D4"/>
          <w:sz w:val="26"/>
          <w:szCs w:val="26"/>
        </w:rPr>
        <w:t>Universal Print Volume Add-on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0"/>
        <w:gridCol w:w="74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Universal Print Volume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A3/A5/E3/E5/F3; Microsoft 365 Business Premium; Windows 11 Education A3/A5; Windows 11 Enterprise E3/E5; Universal Print</w:t>
            </w:r>
          </w:p>
        </w:tc>
      </w:tr>
    </w:tbl>
    <w:p>
      <w:pPr>
        <w:rPr>
          <w:rFonts w:eastAsia="Times New Roman"/>
          <w:color w:val="0078D4"/>
          <w:sz w:val="26"/>
          <w:szCs w:val="26"/>
        </w:rPr>
      </w:pP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4"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3"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22"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4" w:tgtFrame="_blank" w:history="1">
        <w:r>
          <w:rPr>
            <w:rStyle w:val="Hyperlink"/>
            <w:color w:val="505050"/>
          </w:rPr>
          <w:t>http://go.microsoft.com/fwlink/?linkid=246338</w:t>
        </w:r>
      </w:hyperlink>
      <w:r>
        <w:t xml:space="preserve"> or for Windows apps that access Xbox services, the Xbox.com terms of use at </w:t>
      </w:r>
      <w:hyperlink r:id="rId125"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 on Azure</w:t>
      </w:r>
    </w:p>
    <w:p>
      <w:pPr>
        <w:pStyle w:val="NormalWeb"/>
        <w:spacing w:after="150"/>
      </w:pPr>
      <w:r>
        <w:t xml:space="preserve">Customers with Windows 11 Enterprise Per User SLs, Windows 11 Education Per User SLs, or VDA Per User SLs using Microsoft Entra ID-based activation on supported editions may install the Windows 10 Creators Update or later version software on a virtual machine running in Customer's Microsoft Azure accounts. Each </w:t>
      </w:r>
      <w:hyperlink w:anchor="_Toc22"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6" w:tgtFrame="_blank" w:history="1">
        <w:r>
          <w:rPr>
            <w:rStyle w:val="Hyperlink"/>
            <w:color w:val="505050"/>
          </w:rPr>
          <w:t>https://docs.microsoft.com/windows/deployment/vda-subscription-activation</w:t>
        </w:r>
      </w:hyperlink>
      <w:r>
        <w:t xml:space="preserve">. This section does not apply to Students receiving access to software through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7"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82"/>
        <w:gridCol w:w="674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(Windows Companion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February 2016 – Product Terms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Additional Use Rights</w:t>
      </w:r>
    </w:p>
    <w:p>
      <w:pPr>
        <w:pStyle w:val="NormalWeb"/>
        <w:spacing w:after="150"/>
      </w:pPr>
      <w:r>
        <w:t>This section (Software Assurance) applies to the following licenses.</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per device</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Education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per device</w:t>
      </w:r>
    </w:p>
    <w:p>
      <w:pPr>
        <w:pStyle w:val="NormalWeb"/>
        <w:spacing w:before="150"/>
      </w:pPr>
      <w:r>
        <w:t xml:space="preserve">This provision does not apply to SLs acquired under the Microsoft Cloud Agreement and Microsoft Customer Agreement or by way of the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Virtualization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Local Virtualization</w:t>
      </w:r>
    </w:p>
    <w:p>
      <w:pPr>
        <w:pStyle w:val="NormalWeb"/>
        <w:spacing w:after="150"/>
      </w:pPr>
      <w:r>
        <w:t xml:space="preserve">Customer may run Windows software acquired through a volume licensing agreement on up to four </w:t>
      </w:r>
      <w:hyperlink w:anchor="_Toc22" w:tooltip="Virtual OSE means an OSE that is configured to run on a virtual hardware system" w:history="1">
        <w:r>
          <w:rPr>
            <w:rStyle w:val="Hyperlink"/>
            <w:color w:val="505050"/>
          </w:rPr>
          <w:t>Virtual OSEs</w:t>
        </w:r>
      </w:hyperlink>
      <w:r>
        <w:t xml:space="preserve"> locally on </w:t>
      </w:r>
      <w:hyperlink w:anchor="_Toc22" w:tooltip="Licensed Device means a single physical hardware system to which a License is assigned (see Glossary for full definition)" w:history="1">
        <w:r>
          <w:rPr>
            <w:rStyle w:val="Hyperlink"/>
            <w:color w:val="505050"/>
          </w:rPr>
          <w:t>Licensed Devices</w:t>
        </w:r>
      </w:hyperlink>
      <w:r>
        <w:t xml:space="preserve">. This local use right applies to VDA Per Device licenses only if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is also licensed with a Qualifying Operating System. </w:t>
      </w:r>
      <w:hyperlink w:anchor="_Toc22" w:tooltip="Licensed User means the single person to whom a License is assigned." w:history="1">
        <w:r>
          <w:rPr>
            <w:rStyle w:val="Hyperlink"/>
            <w:color w:val="505050"/>
          </w:rPr>
          <w:t>Licensed Users</w:t>
        </w:r>
      </w:hyperlink>
      <w:r>
        <w:t xml:space="preserve"> may run Windows software acquired through a volume licensing agreement on up to four </w:t>
      </w:r>
      <w:hyperlink w:anchor="_Toc22" w:tooltip="Virtual OSE means an OSE that is configured to run on a virtual hardware system" w:history="1">
        <w:r>
          <w:rPr>
            <w:rStyle w:val="Hyperlink"/>
            <w:color w:val="505050"/>
          </w:rPr>
          <w:t>Virtual OSEs</w:t>
        </w:r>
      </w:hyperlink>
      <w:r>
        <w:t xml:space="preserve"> locally on devices licensed with a Qualifying Operating System. If all permitted </w:t>
      </w:r>
      <w:hyperlink w:anchor="_Toc22" w:tooltip="Virtual OSE means an OSE that is configured to run on a virtual hardware system" w:history="1">
        <w:r>
          <w:rPr>
            <w:rStyle w:val="Hyperlink"/>
            <w:color w:val="505050"/>
          </w:rPr>
          <w:t>Virtual OSEs</w:t>
        </w:r>
      </w:hyperlink>
      <w:r>
        <w:t xml:space="preserve"> are used Customer may use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only to host and manage the </w:t>
      </w:r>
      <w:hyperlink w:anchor="_Toc22" w:tooltip="Virtual OSE means an OSE that is configured to run on a virtual hardware system" w:history="1">
        <w:r>
          <w:rPr>
            <w:rStyle w:val="Hyperlink"/>
            <w:color w:val="505050"/>
          </w:rPr>
          <w:t>Virtual OSEs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Remote Virtualization</w:t>
      </w:r>
    </w:p>
    <w:p>
      <w:pPr>
        <w:pStyle w:val="NormalWeb"/>
        <w:spacing w:after="150"/>
      </w:pPr>
      <w:r>
        <w:t xml:space="preserve">Any user of 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or any device used by a </w:t>
      </w:r>
      <w:hyperlink w:anchor="_Toc22" w:tooltip="Licensed User means the single person to whom a License is assigned." w:history="1">
        <w:r>
          <w:rPr>
            <w:rStyle w:val="Hyperlink"/>
            <w:color w:val="505050"/>
          </w:rPr>
          <w:t>Licensed User</w:t>
        </w:r>
      </w:hyperlink>
      <w:r>
        <w:t xml:space="preserve">, may remotely access up to four </w:t>
      </w:r>
      <w:hyperlink w:anchor="_Toc22" w:tooltip="Virtual OSE means an OSE that is configured to run on a virtual hardware system" w:history="1">
        <w:r>
          <w:rPr>
            <w:rStyle w:val="Hyperlink"/>
            <w:color w:val="505050"/>
          </w:rPr>
          <w:t>Virtual OSEs</w:t>
        </w:r>
      </w:hyperlink>
      <w:r>
        <w:t xml:space="preserve"> or one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of Windows software acquired through a volume licensing agreement. Customer's use of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28" w:history="1">
        <w:r>
          <w:rPr>
            <w:rStyle w:val="Hyperlink"/>
            <w:color w:val="505050"/>
          </w:rPr>
          <w:t>Outsourcing Software Management</w:t>
        </w:r>
      </w:hyperlink>
      <w:r>
        <w:t xml:space="preserve"> clause. Notwithstanding anything to the contrary in the </w:t>
      </w:r>
      <w:hyperlink r:id="rId128" w:history="1">
        <w:r>
          <w:rPr>
            <w:rStyle w:val="Hyperlink"/>
            <w:color w:val="505050"/>
          </w:rPr>
          <w:t>Outsourcing Software Management</w:t>
        </w:r>
      </w:hyperlink>
      <w:r>
        <w:t xml:space="preserve"> clause, Customer's VDA E3 and E5 </w:t>
      </w:r>
      <w:hyperlink w:anchor="_Toc22" w:tooltip="Licensed User means the single person to whom a License is assigned." w:history="1">
        <w:r>
          <w:rPr>
            <w:rStyle w:val="Hyperlink"/>
            <w:color w:val="505050"/>
          </w:rPr>
          <w:t>Licensed Users</w:t>
        </w:r>
      </w:hyperlink>
      <w:r>
        <w:t xml:space="preserve"> may remotely access Windows software under these Remote Virtualization rights on any </w:t>
      </w:r>
      <w:hyperlink w:anchor="_Toc22" w:tooltip="Listed Providers include entities identified by Microsoft at http://aka.ms/listedproviders. Microsoft may identify additional Listed Providers at http://aka.ms/listedproviders from time to time." w:history="1">
        <w:r>
          <w:rPr>
            <w:rStyle w:val="Hyperlink"/>
            <w:color w:val="505050"/>
          </w:rPr>
          <w:t>Listed Provider</w:t>
        </w:r>
      </w:hyperlink>
      <w:r>
        <w:t>'s devices dedicated to Customer's use.</w:t>
      </w:r>
    </w:p>
    <w:p>
      <w:pPr>
        <w:pStyle w:val="Heading3"/>
        <w:spacing w:before="150" w:beforeAutospacing="0"/>
        <w:rPr>
          <w:rFonts w:eastAsia="Times New Roman"/>
          <w:color w:val="0078D4"/>
          <w:sz w:val="26"/>
          <w:szCs w:val="26"/>
        </w:rPr>
      </w:pPr>
      <w:r>
        <w:rPr>
          <w:rFonts w:eastAsia="Times New Roman"/>
          <w:color w:val="0078D4"/>
          <w:sz w:val="26"/>
          <w:szCs w:val="26"/>
        </w:rPr>
        <w:t>10.1" Screen Device Benefit</w:t>
      </w:r>
    </w:p>
    <w:p>
      <w:pPr>
        <w:pStyle w:val="NormalWeb"/>
        <w:spacing w:after="150"/>
      </w:pPr>
      <w:r>
        <w:t>Customer with Per User license may install Windows software acquired through a volume licensing agreement on all Windows licensed devices with integrated screens 10.1" diagonally or less.</w:t>
      </w:r>
    </w:p>
    <w:p>
      <w:pPr>
        <w:pStyle w:val="Heading3"/>
        <w:spacing w:before="150" w:beforeAutospacing="0"/>
        <w:rPr>
          <w:rFonts w:eastAsia="Times New Roman"/>
          <w:color w:val="0078D4"/>
          <w:sz w:val="26"/>
          <w:szCs w:val="26"/>
        </w:rPr>
      </w:pPr>
      <w:r>
        <w:rPr>
          <w:rFonts w:eastAsia="Times New Roman"/>
          <w:color w:val="0078D4"/>
          <w:sz w:val="26"/>
          <w:szCs w:val="26"/>
        </w:rPr>
        <w:t>Windows Pro SA</w:t>
      </w:r>
    </w:p>
    <w:p>
      <w:pPr>
        <w:pStyle w:val="NormalWeb"/>
        <w:spacing w:after="150"/>
      </w:pPr>
      <w:r>
        <w:t>Customers who previously acquired SA for Windows Pro may renew SA on their covered devices without the need to buy a Windows Enterprise license.</w:t>
      </w:r>
    </w:p>
    <w:p>
      <w:pPr>
        <w:pStyle w:val="Heading3"/>
        <w:spacing w:before="150" w:beforeAutospacing="0"/>
        <w:rPr>
          <w:rFonts w:eastAsia="Times New Roman"/>
          <w:color w:val="0078D4"/>
          <w:sz w:val="26"/>
          <w:szCs w:val="26"/>
        </w:rPr>
      </w:pPr>
      <w:r>
        <w:rPr>
          <w:rFonts w:eastAsia="Times New Roman"/>
          <w:color w:val="0078D4"/>
          <w:sz w:val="26"/>
          <w:szCs w:val="26"/>
        </w:rPr>
        <w:t>Microsoft Desktop Optimization Pack (MDOP)</w:t>
      </w:r>
    </w:p>
    <w:p>
      <w:pPr>
        <w:pStyle w:val="NormalWeb"/>
        <w:spacing w:after="150"/>
      </w:pPr>
      <w:r>
        <w:t xml:space="preserve">Customer may install and use management functionality in the MDOP on Customer’s other devices dedicated to their use to manage software on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or </w:t>
      </w:r>
      <w:hyperlink w:anchor="_Toc22" w:tooltip="Licensed User means the single person to whom a License is assigned." w:history="1">
        <w:r>
          <w:rPr>
            <w:rStyle w:val="Hyperlink"/>
            <w:color w:val="505050"/>
          </w:rPr>
          <w:t>Licensed User</w:t>
        </w:r>
      </w:hyperlink>
      <w:r>
        <w:t>’s Devices. Customer may also use the AGPM, DaRT and UE-V to manage software on servers within its domain, so long as the desktops within that domain are licensed for MDOP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MDOP Eligibility</w:t>
      </w:r>
    </w:p>
    <w:p>
      <w:pPr>
        <w:pStyle w:val="NormalWeb"/>
        <w:spacing w:after="150"/>
      </w:pPr>
      <w:r>
        <w:t>Customers with the following licenses have rights to use MDOP and do not need to purchase MDOP separately.</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Education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Agreement with an August 1, 2015, or later effective date and VDA per device or Windows Enterprise per device.</w:t>
      </w:r>
    </w:p>
    <w:p>
      <w:pPr>
        <w:pStyle w:val="Heading3"/>
        <w:spacing w:before="150" w:beforeAutospacing="0"/>
        <w:rPr>
          <w:rFonts w:eastAsia="Times New Roman"/>
          <w:color w:val="0078D4"/>
          <w:sz w:val="26"/>
          <w:szCs w:val="26"/>
        </w:rPr>
      </w:pPr>
      <w:r>
        <w:rPr>
          <w:rFonts w:eastAsia="Times New Roman"/>
          <w:color w:val="0078D4"/>
          <w:sz w:val="26"/>
          <w:szCs w:val="26"/>
        </w:rPr>
        <w:t>Rights to run Clustered HPC Applications</w:t>
      </w:r>
    </w:p>
    <w:p>
      <w:pPr>
        <w:pStyle w:val="NormalWeb"/>
        <w:spacing w:after="150"/>
      </w:pPr>
      <w:r>
        <w:t xml:space="preserve">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or a device used by a </w:t>
      </w:r>
      <w:hyperlink w:anchor="_Toc22" w:tooltip="Licensed User means the single person to whom a License is assigned." w:history="1">
        <w:r>
          <w:rPr>
            <w:rStyle w:val="Hyperlink"/>
            <w:color w:val="505050"/>
          </w:rPr>
          <w:t>Licensed User</w:t>
        </w:r>
      </w:hyperlink>
      <w:r>
        <w:t xml:space="preserve"> may be used as a </w:t>
      </w:r>
      <w:hyperlink w:anchor="_Toc22" w:tooltip="Cycle Harvesting Node means a device that is not dedicated to running Clustered HPC Applications or job scheduling services for Clustered HPC Applications." w:history="1">
        <w:r>
          <w:rPr>
            <w:rStyle w:val="Hyperlink"/>
            <w:color w:val="505050"/>
          </w:rPr>
          <w:t>Cycle Harvesting Node</w:t>
        </w:r>
      </w:hyperlink>
      <w:r>
        <w:t xml:space="preserve"> to run </w:t>
      </w:r>
      <w:hyperlink w:anchor="_Toc22" w:tooltip="Clustered HPC Application means a high performance computing applications that solves, in parallel, complex computational problems. (Refer to  Glossary for full definition)" w:history="1">
        <w:r>
          <w:rPr>
            <w:rStyle w:val="Hyperlink"/>
            <w:color w:val="505050"/>
          </w:rPr>
          <w:t>Clustered HPC Applications</w:t>
        </w:r>
      </w:hyperlink>
      <w:r>
        <w:t>, as long as the device is not used as a general purpose Server, database Server, web Server, e-mail Server, print Server or file Server, for other multi-user access purposes, or for any other similar resource sharing purpose.</w:t>
      </w:r>
    </w:p>
    <w:p>
      <w:pPr>
        <w:pStyle w:val="Heading3"/>
        <w:spacing w:before="150" w:beforeAutospacing="0"/>
        <w:rPr>
          <w:rFonts w:eastAsia="Times New Roman"/>
          <w:color w:val="0078D4"/>
          <w:sz w:val="26"/>
          <w:szCs w:val="26"/>
        </w:rPr>
      </w:pPr>
      <w:r>
        <w:rPr>
          <w:rFonts w:eastAsia="Times New Roman"/>
          <w:color w:val="0078D4"/>
          <w:sz w:val="26"/>
          <w:szCs w:val="26"/>
        </w:rPr>
        <w:t>Software Assurance Lapse on Perpetual Licenses</w:t>
      </w:r>
    </w:p>
    <w:p>
      <w:pPr>
        <w:pStyle w:val="NormalWeb"/>
        <w:spacing w:after="150"/>
      </w:pPr>
      <w:r>
        <w:t xml:space="preserve">Windows Enterprise General Availability Channel must be uninstalled on any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if Software Assurance coverage lapses. If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was assigned a perpetual Windows Enterprise license, Customer may install on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the version of Windows Enterprise Long Term Servicing Channel that is current at the time of the lapse.</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Windows Desktop Operating System</w:t>
      </w:r>
    </w:p>
    <w:p>
      <w:pPr>
        <w:pStyle w:val="NormalWeb"/>
        <w:spacing w:after="150"/>
      </w:pPr>
      <w:r>
        <w:t>The Licensed User must be the Primary User of a device with either active Windows Desktop Operating System SA coverage or Windows VDA coverage.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18"/>
        <w:gridCol w:w="41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Add-on</w:t>
            </w:r>
          </w:p>
        </w:tc>
      </w:tr>
    </w:tbl>
    <w:p/>
    <w:p w:rsidR="00ED5159" w:rsidP="00ED5159">
      <w:pPr>
        <w:pStyle w:val="ProductList-OfferingGroupHeading"/>
        <w:outlineLvl w:val="1"/>
      </w:pPr>
      <w:r>
        <w:t>Windows Server</w:t>
      </w:r>
      <w:r>
        <w:fldChar w:fldCharType="begin"/>
      </w:r>
      <w:r>
        <w:instrText xml:space="preserve"> TC </w:instrText>
      </w:r>
      <w:bookmarkStart w:id="46" w:name="_Toc256000036"/>
      <w:r>
        <w:instrText>"</w:instrText>
      </w:r>
      <w:bookmarkStart w:id="47" w:name="_Toc13"/>
      <w:r>
        <w:instrText>Windows Server</w:instrText>
      </w:r>
      <w:bookmarkEnd w:id="47"/>
      <w:r>
        <w:instrText>"</w:instrText>
      </w:r>
      <w:bookmarkEnd w:id="46"/>
      <w:r>
        <w:instrText xml:space="preserve"> \l 2</w:instrText>
      </w:r>
      <w:r>
        <w:fldChar w:fldCharType="end"/>
      </w:r>
    </w:p>
    <w:p w:rsidR="00ED5159" w:rsidP="00ED5159">
      <w:pPr>
        <w:pStyle w:val="ProductList-Offering2Heading"/>
        <w:outlineLvl w:val="2"/>
      </w:pPr>
      <w:r>
        <w:t>Windows Multipoint Server</w:t>
      </w:r>
      <w:r>
        <w:fldChar w:fldCharType="begin"/>
      </w:r>
      <w:r>
        <w:instrText xml:space="preserve"> TC </w:instrText>
      </w:r>
      <w:bookmarkStart w:id="48" w:name="_Toc256000037"/>
      <w:r>
        <w:instrText>"</w:instrText>
      </w:r>
      <w:r>
        <w:instrText>Windows Multipoint Server</w:instrText>
      </w:r>
      <w:r>
        <w:instrText>"</w:instrText>
      </w:r>
      <w:bookmarkEnd w:id="4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MultiPoint Server 2016 Premium</w:t>
            </w:r>
          </w:p>
        </w:tc>
        <w:tc>
          <w:tcPr/>
          <w:p w:rsidR="00A363CA" w:rsidP="00A363CA">
            <w:pPr>
              <w:pStyle w:val="ProductList-TableBody"/>
            </w:pPr>
            <w:r>
              <w:t>10/16</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9"/>
        <w:gridCol w:w="19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10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1"/>
        <w:gridCol w:w="6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3"/>
        <w:gridCol w:w="62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 refer to </w:t>
            </w:r>
            <w:hyperlink r:id="rId114"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Running Instances of the Software</w:t>
      </w:r>
    </w:p>
    <w:p>
      <w:pPr>
        <w:pStyle w:val="NormalWeb"/>
        <w:spacing w:after="150"/>
      </w:pPr>
      <w:r>
        <w:t xml:space="preserve">Customer may run on the </w:t>
      </w:r>
      <w:hyperlink w:anchor="_Toc22" w:tooltip="Licensed Server means a single Server to which a License is assigned. See Glossary for full definition." w:history="1">
        <w:r>
          <w:rPr>
            <w:rStyle w:val="Hyperlink"/>
            <w:color w:val="505050"/>
          </w:rPr>
          <w:t>Licensed Server</w:t>
        </w:r>
      </w:hyperlink>
      <w:r>
        <w:t xml:space="preserve"> at any one time one </w:t>
      </w:r>
      <w:hyperlink w:anchor="_Toc22" w:tooltip="Instance means an image of software that is created by executing the software's setup or install procedure or by duplicating an existing Instance." w:history="1">
        <w:r>
          <w:rPr>
            <w:rStyle w:val="Hyperlink"/>
            <w:color w:val="505050"/>
          </w:rPr>
          <w:t>Instance</w:t>
        </w:r>
      </w:hyperlink>
      <w:r>
        <w:t xml:space="preserve"> of the server software in each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and one </w:t>
      </w:r>
      <w:hyperlink w:anchor="_Toc22" w:tooltip="Virtual OSE means an OSE that is configured to run on a virtual hardware system." w:history="1">
        <w:r>
          <w:rPr>
            <w:rStyle w:val="Hyperlink"/>
            <w:color w:val="505050"/>
          </w:rPr>
          <w:t>Virtual OSE</w:t>
        </w:r>
      </w:hyperlink>
      <w:r>
        <w:t xml:space="preserve">. If Customer uses the server software in a </w:t>
      </w:r>
      <w:hyperlink w:anchor="_Toc22" w:tooltip="Virtual OSE means an OSE that is configured to run on a virtual hardware system." w:history="1">
        <w:r>
          <w:rPr>
            <w:rStyle w:val="Hyperlink"/>
            <w:color w:val="505050"/>
          </w:rPr>
          <w:t>Virtual OSE</w:t>
        </w:r>
      </w:hyperlink>
      <w:r>
        <w:t xml:space="preserve">, then server software used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may be used only to host and manage the </w:t>
      </w:r>
      <w:hyperlink w:anchor="_Toc22"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Licenses</w:t>
      </w:r>
    </w:p>
    <w:p>
      <w:pPr>
        <w:pStyle w:val="NormalWeb"/>
        <w:spacing w:after="150"/>
      </w:pPr>
      <w:hyperlink w:anchor="_Toc22" w:tooltip="CAL means client access license, which may be assigned by user or device, as appropriate. (Refer to Glossary for full definition)" w:history="1">
        <w:r>
          <w:rPr>
            <w:rStyle w:val="Hyperlink"/>
            <w:color w:val="505050"/>
          </w:rPr>
          <w:t>CALs</w:t>
        </w:r>
      </w:hyperlink>
      <w:r>
        <w:t xml:space="preserve"> are not required for access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that is used solely for hosting and managing </w:t>
      </w:r>
      <w:hyperlink w:anchor="_Toc22" w:tooltip="Virtual OSE means an OSE that is configured to run on a virtual hardware system" w:history="1">
        <w:r>
          <w:rPr>
            <w:rStyle w:val="Hyperlink"/>
            <w:color w:val="505050"/>
          </w:rPr>
          <w:t>Virtual 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MultiPoint Server 2016 Connector</w:t>
      </w:r>
    </w:p>
    <w:p>
      <w:pPr>
        <w:pStyle w:val="NormalWeb"/>
        <w:spacing w:after="150"/>
      </w:pPr>
      <w:r>
        <w:t>Customer may install and use the Windows Server 2016 MultiPoint Connector software on any device that is licensed to access Windows Server 2016 (or later). It may use this software only to access the MultiPoint Server software. If it accesses the server software from this device solely to use the MultiPoint Dashboard it does not need a Remote Desktop Services CAL.</w:t>
      </w:r>
    </w:p>
    <w:p>
      <w:pPr>
        <w:pStyle w:val="Heading3"/>
        <w:spacing w:before="150" w:beforeAutospacing="0"/>
        <w:rPr>
          <w:rFonts w:eastAsia="Times New Roman"/>
          <w:color w:val="0078D4"/>
          <w:sz w:val="26"/>
          <w:szCs w:val="26"/>
        </w:rPr>
      </w:pPr>
      <w:r>
        <w:rPr>
          <w:rFonts w:eastAsia="Times New Roman"/>
          <w:color w:val="0078D4"/>
          <w:sz w:val="26"/>
          <w:szCs w:val="26"/>
        </w:rPr>
        <w:t>Installation Type</w:t>
      </w:r>
    </w:p>
    <w:p>
      <w:pPr>
        <w:pStyle w:val="NormalWeb"/>
        <w:spacing w:after="150"/>
      </w:pPr>
      <w:r>
        <w:t>Customer may only install Remote Desktop Services and deploy and use the MultiPoint Services role.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For a list of Additional Software refer to </w:t>
            </w:r>
            <w:hyperlink r:id="rId129" w:history="1">
              <w:r>
                <w:rPr>
                  <w:rStyle w:val="Hyperlink"/>
                  <w:rFonts w:ascii="Segoe UI" w:eastAsia="Times New Roman" w:hAnsi="Segoe UI" w:cs="Segoe UI"/>
                  <w:sz w:val="16"/>
                  <w:szCs w:val="16"/>
                </w:rPr>
                <w:t>http://go.microsoft.com/fwlink/?LinkId=245856</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7"/>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and Windows Server 2025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Remote Desktop Services CAL and CAL Equivalent License (refer to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Active Directory Rights Management Services CAL </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9"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66"/>
        <w:gridCol w:w="53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tgtFrame="_blank" w:history="1">
              <w:r>
                <w:rPr>
                  <w:rStyle w:val="Hyperlink"/>
                  <w:rFonts w:ascii="Segoe UI" w:eastAsia="Times New Roman" w:hAnsi="Segoe UI" w:cs="Segoe UI"/>
                  <w:sz w:val="16"/>
                  <w:szCs w:val="16"/>
                </w:rPr>
                <w:t>Product Term - October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2Heading"/>
        <w:outlineLvl w:val="2"/>
      </w:pPr>
      <w:r>
        <w:t>Windows Server Standard, Datacenter, and Essentials</w:t>
      </w:r>
      <w:r>
        <w:fldChar w:fldCharType="begin"/>
      </w:r>
      <w:r>
        <w:instrText xml:space="preserve"> TC </w:instrText>
      </w:r>
      <w:bookmarkStart w:id="49" w:name="_Toc256000038"/>
      <w:r>
        <w:instrText>"</w:instrText>
      </w:r>
      <w:r>
        <w:instrText>Windows Server Standard, Datacenter, and Essentials</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2025 CAL</w:t>
            </w:r>
          </w:p>
        </w:tc>
        <w:tc>
          <w:tcPr/>
          <w:p w:rsidR="00A363CA" w:rsidP="00A363CA">
            <w:pPr>
              <w:pStyle w:val="ProductList-TableBody"/>
            </w:pPr>
            <w:r>
              <w:t>11/24</w:t>
            </w:r>
          </w:p>
        </w:tc>
        <w:tc>
          <w:tcPr/>
          <w:p w:rsidR="00A363CA" w:rsidP="00A363CA">
            <w:pPr>
              <w:pStyle w:val="ProductList-TableBody"/>
            </w:pPr>
            <w:r>
              <w:t>Additional Product Organization Wide,Student Offering</w:t>
            </w:r>
          </w:p>
        </w:tc>
      </w:tr>
      <w:tr w:rsidTr="00610FDE">
        <w:tblPrEx>
          <w:tblW w:w="0" w:type="auto"/>
          <w:tblLook w:val="04A0"/>
        </w:tblPrEx>
        <w:tc>
          <w:tcPr/>
          <w:p w:rsidR="00A363CA" w:rsidP="00A363CA">
            <w:pPr>
              <w:pStyle w:val="ProductList-TableBody"/>
            </w:pPr>
            <w:r>
              <w:t>Windows Server 2025 Active Directory Rights Management Services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ESU (Standard and Datacenter)</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Datacenter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2019 Essentials</w:t>
            </w:r>
          </w:p>
        </w:tc>
        <w:tc>
          <w:tcPr/>
          <w:p w:rsidR="00A363CA" w:rsidP="00A363CA">
            <w:pPr>
              <w:pStyle w:val="ProductList-TableBody"/>
            </w:pPr>
            <w:r>
              <w:t>10/18</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Remote Desktop Services CAL (Device and User)</w:t>
            </w:r>
          </w:p>
        </w:tc>
        <w:tc>
          <w:tcPr/>
          <w:p w:rsidR="00A363CA" w:rsidP="00A363CA">
            <w:pPr>
              <w:pStyle w:val="ProductList-TableBody"/>
            </w:pPr>
            <w:r>
              <w:t>11/24</w:t>
            </w:r>
          </w:p>
        </w:tc>
        <w:tc>
          <w:tcPr/>
          <w:p w:rsidR="00A363CA" w:rsidP="00A363CA">
            <w:pPr>
              <w:pStyle w:val="ProductList-TableBody"/>
            </w:pPr>
            <w:r>
              <w:t>Additional Product,Additional Product Organization Wide,Student Offering</w:t>
            </w:r>
          </w:p>
        </w:tc>
      </w:tr>
      <w:tr w:rsidTr="00610FDE">
        <w:tblPrEx>
          <w:tblW w:w="0" w:type="auto"/>
          <w:tblLook w:val="04A0"/>
        </w:tblPrEx>
        <w:tc>
          <w:tcPr/>
          <w:p w:rsidR="00A363CA" w:rsidP="00A363CA">
            <w:pPr>
              <w:pStyle w:val="ProductList-TableBody"/>
            </w:pPr>
            <w:r>
              <w:t>Windows Server 2025 Standard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Remote Desktop Services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Datacenter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Active Directory Rights Management Services CAL</w:t>
            </w:r>
          </w:p>
        </w:tc>
        <w:tc>
          <w:tcPr/>
          <w:p w:rsidR="00A363CA" w:rsidP="00A363CA">
            <w:pPr>
              <w:pStyle w:val="ProductList-TableBody"/>
            </w:pPr>
            <w:r>
              <w:t>11/24</w:t>
            </w:r>
          </w:p>
        </w:tc>
        <w:tc>
          <w:tcPr/>
          <w:p w:rsidR="00A363CA" w:rsidP="00A363CA">
            <w:pPr>
              <w:pStyle w:val="ProductList-TableBody"/>
            </w:pPr>
            <w:r>
              <w:t>Additional Product Organization Wide,Student Offering</w:t>
            </w:r>
          </w:p>
        </w:tc>
      </w:tr>
      <w:tr w:rsidTr="00610FDE">
        <w:tblPrEx>
          <w:tblW w:w="0" w:type="auto"/>
          <w:tblLook w:val="04A0"/>
        </w:tblPrEx>
        <w:tc>
          <w:tcPr/>
          <w:p w:rsidR="00A363CA" w:rsidP="00A363CA">
            <w:pPr>
              <w:pStyle w:val="ProductList-TableBody"/>
            </w:pPr>
            <w:r>
              <w:t>Windows Server 2025 Standard (16-packs of Core Licenses)</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220"/>
        <w:gridCol w:w="111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Datacenter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2019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Standard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31"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4"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22"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22"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6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6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6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2"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2"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66"/>
        <w:gridCol w:w="81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w:t>
            </w:r>
            <w:hyperlink r:id="rId105" w:tgtFrame="_blank" w:history="1">
              <w:r>
                <w:rPr>
                  <w:rStyle w:val="Hyperlink"/>
                  <w:rFonts w:ascii="Segoe UI" w:eastAsia="Times New Roman" w:hAnsi="Segoe UI" w:cs="Segoe UI"/>
                  <w:sz w:val="16"/>
                  <w:szCs w:val="16"/>
                </w:rPr>
                <w:t>Product List - October 2013 and March 2014</w:t>
              </w:r>
            </w:hyperlink>
            <w:r>
              <w:rPr>
                <w:rFonts w:ascii="Segoe UI" w:eastAsia="Times New Roman" w:hAnsi="Segoe UI" w:cs="Segoe UI"/>
                <w:sz w:val="16"/>
                <w:szCs w:val="16"/>
              </w:rPr>
              <w:t xml:space="preserve"> (prior versions as well as HPC Pack, Windows HPC Server, Windows Server Enterprise, Windows Server HPC Edition, Windows Server for Itanium Based Systems, Windows Small Business Server);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(Forefront Identity Manager 2010 R2);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(except Essentials)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Remote Desktop Services (“RDS”) User CAL and User SL Extended Rights</w:t>
      </w:r>
    </w:p>
    <w:p>
      <w:pPr>
        <w:pStyle w:val="NormalWeb"/>
        <w:spacing w:after="150"/>
      </w:pPr>
      <w:r>
        <w:t xml:space="preserve">Customer may use its RDS User CALs and User SLs with Windows Server software running in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dedicated to its internal use on either Microsoft Azure Services or the shared or dedicated servers of a </w:t>
      </w:r>
      <w:hyperlink w:anchor="_Toc22"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for which it has completed and submitted the License Mobility verification form. Other than administrative access by Customer’s </w:t>
      </w:r>
      <w:hyperlink w:anchor="_Toc22"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no other party may access the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(s). For any </w:t>
      </w:r>
      <w:hyperlink w:anchor="_Toc22" w:tooltip="CAL means client access license, which may be assigned by user or device, as appropriate. Refer to glossary for full definition." w:history="1">
        <w:r>
          <w:rPr>
            <w:rStyle w:val="Hyperlink"/>
            <w:color w:val="505050"/>
          </w:rPr>
          <w:t>CAL</w:t>
        </w:r>
      </w:hyperlink>
      <w:r>
        <w:t xml:space="preserve"> or User SL Customer has used in this manner, it may later move to Microsoft Azure Services or a new </w:t>
      </w:r>
      <w:hyperlink w:anchor="_Toc22"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but not sooner than 90 days after it initiated use in the environment it is leaving.</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 Server </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Windows Server virtual machines.</w:t>
      </w:r>
    </w:p>
    <w:p>
      <w:pPr>
        <w:pStyle w:val="Heading3"/>
        <w:spacing w:before="150" w:beforeAutospacing="0"/>
        <w:rPr>
          <w:rFonts w:eastAsia="Times New Roman"/>
          <w:color w:val="0078D4"/>
          <w:sz w:val="26"/>
          <w:szCs w:val="26"/>
        </w:rPr>
      </w:pPr>
      <w:r>
        <w:rPr>
          <w:rFonts w:eastAsia="Times New Roman"/>
          <w:color w:val="0078D4"/>
          <w:sz w:val="26"/>
          <w:szCs w:val="26"/>
        </w:rPr>
        <w:t>Windows Server Annual Channel for Containers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w:t>
      </w:r>
    </w:p>
    <w:p>
      <w:pPr>
        <w:pStyle w:val="NormalWeb"/>
        <w:spacing w:after="150"/>
      </w:pPr>
      <w:r>
        <w:t>Customer may only use Windows Server Annual Channel for Containers if it has Windows Server Datacenter core licenses with either an active subscription or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Annual Channel for Containers only as an operating system to host Windows Server containers in conjunction with a Certified Kubernetes product, as defined by Cloud Native Computing Foundation.</w:t>
      </w:r>
    </w:p>
    <w:p w:rsidR="00ED5159" w:rsidP="00ED5159">
      <w:pPr>
        <w:pStyle w:val="ProductList-OfferingGroupHeading"/>
        <w:outlineLvl w:val="1"/>
      </w:pPr>
      <w:r>
        <w:t>Enterprise Mobility + Security</w:t>
      </w:r>
      <w:r>
        <w:fldChar w:fldCharType="begin"/>
      </w:r>
      <w:r>
        <w:instrText xml:space="preserve"> TC </w:instrText>
      </w:r>
      <w:bookmarkStart w:id="50" w:name="_Toc256000039"/>
      <w:r>
        <w:instrText>"</w:instrText>
      </w:r>
      <w:r>
        <w:instrText>Enterprise Mobility + Security</w:instrText>
      </w:r>
      <w:r>
        <w:instrText>"</w:instrText>
      </w:r>
      <w:bookmarkEnd w:id="5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Mobility + Security A3 (User SL)</w:t>
            </w:r>
          </w:p>
        </w:tc>
        <w:tc>
          <w:tcPr/>
          <w:p w:rsidR="00A363CA" w:rsidP="00A363CA">
            <w:pPr>
              <w:pStyle w:val="ProductList-TableBody"/>
            </w:pPr>
            <w:r>
              <w:t>Education Platform Product,Additional Product School,Student Offering</w:t>
            </w:r>
          </w:p>
        </w:tc>
      </w:tr>
      <w:tr w:rsidTr="00610FDE">
        <w:tblPrEx>
          <w:tblW w:w="0" w:type="auto"/>
          <w:tblLook w:val="04A0"/>
        </w:tblPrEx>
        <w:tc>
          <w:tcPr/>
          <w:p w:rsidR="00A363CA" w:rsidP="00A363CA">
            <w:pPr>
              <w:pStyle w:val="ProductList-TableBody"/>
            </w:pPr>
            <w:r>
              <w:t>Enterprise Mobility + Security A5 Add-on (User SL)</w:t>
            </w:r>
          </w:p>
        </w:tc>
        <w:tc>
          <w:tcPr/>
          <w:p w:rsidR="00A363CA" w:rsidP="00A363CA">
            <w:pPr>
              <w:pStyle w:val="ProductList-TableBody"/>
            </w:pPr>
            <w:r>
              <w:t>Education Platform Product,Additional Product School,Student Offering</w:t>
            </w:r>
          </w:p>
        </w:tc>
      </w:tr>
      <w:tr w:rsidTr="00610FDE">
        <w:tblPrEx>
          <w:tblW w:w="0" w:type="auto"/>
          <w:tblLook w:val="04A0"/>
        </w:tblPrEx>
        <w:tc>
          <w:tcPr/>
          <w:p w:rsidR="00A363CA" w:rsidP="00A363CA">
            <w:pPr>
              <w:pStyle w:val="ProductList-TableBody"/>
            </w:pPr>
            <w:r>
              <w:t>Enterprise Mobility + Security A5 (User SL)</w:t>
            </w:r>
          </w:p>
        </w:tc>
        <w:tc>
          <w:tcPr/>
          <w:p w:rsidR="00A363CA" w:rsidP="00A363CA">
            <w:pPr>
              <w:pStyle w:val="ProductList-TableBody"/>
            </w:pPr>
            <w:r>
              <w:t>Education Platform Product,Additional Product School,Student Offering</w:t>
            </w:r>
          </w:p>
        </w:tc>
      </w:tr>
      <w:tr w:rsidTr="00610FDE">
        <w:tblPrEx>
          <w:tblW w:w="0" w:type="auto"/>
          <w:tblLook w:val="04A0"/>
        </w:tblPrEx>
        <w:tc>
          <w:tcPr/>
          <w:p w:rsidR="00A363CA" w:rsidP="00A363CA">
            <w:pPr>
              <w:pStyle w:val="ProductList-TableBody"/>
            </w:pPr>
            <w:r>
              <w:t>Enterprise Mobility + Security A3 Add-on (User SL)</w:t>
            </w:r>
          </w:p>
        </w:tc>
        <w:tc>
          <w:tcPr/>
          <w:p w:rsidR="00A363CA" w:rsidP="00A363CA">
            <w:pPr>
              <w:pStyle w:val="ProductList-TableBody"/>
            </w:pPr>
            <w:r>
              <w:t>Education Platform Product,Additional Product School,Student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9"/>
        <w:gridCol w:w="67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Style w:val="Hyperlink"/>
                  <w:rFonts w:ascii="Segoe UI" w:eastAsia="Times New Roman" w:hAnsi="Segoe UI" w:cs="Segoe UI"/>
                  <w:sz w:val="16"/>
                  <w:szCs w:val="16"/>
                </w:rPr>
                <w:t>Student Use Benefits and Academic Programs section</w:t>
              </w:r>
            </w:hyperlink>
          </w:p>
        </w:tc>
      </w:tr>
    </w:tbl>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3"/>
        <w:gridCol w:w="44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(E3/A3 and E5/A5) Add-on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 w:rsidR="00ED5159" w:rsidP="00ED5159">
      <w:pPr>
        <w:pStyle w:val="ProductList-OfferingGroupHeading"/>
        <w:outlineLvl w:val="1"/>
      </w:pPr>
      <w:r>
        <w:t>Microsoft 365</w:t>
      </w:r>
      <w:r>
        <w:fldChar w:fldCharType="begin"/>
      </w:r>
      <w:r>
        <w:instrText xml:space="preserve"> TC </w:instrText>
      </w:r>
      <w:bookmarkStart w:id="51" w:name="_Toc256000040"/>
      <w:r>
        <w:instrText>"</w:instrText>
      </w:r>
      <w:r>
        <w:instrText>Microsoft 365</w:instrText>
      </w:r>
      <w:r>
        <w:instrText>"</w:instrText>
      </w:r>
      <w:bookmarkEnd w:id="5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Vulnerability Management Add-On to Microsoft Defender for Endpoint for servers*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Governance P2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Remote Network Bandwidth Edu</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Career Coach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Entra Private Access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Learning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365 Copilot for Sales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A5 eDiscovery and Audit - Student Use Benefit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A5 Information Protection and Governance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Extra Graph Connector Capacity</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365 A5 Information Protection and Governance - Student Use Benefit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Education A3 – Unattended License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Suite for EDU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Defender Vulnerability Management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Viva Goals (User SL)</w:t>
            </w:r>
          </w:p>
        </w:tc>
        <w:tc>
          <w:tcPr/>
          <w:p w:rsidR="00A363CA" w:rsidP="00A363CA">
            <w:pPr>
              <w:pStyle w:val="ProductList-TableBody"/>
            </w:pPr>
            <w:r>
              <w:t>Additional Product Faculty</w:t>
            </w:r>
          </w:p>
        </w:tc>
      </w:tr>
      <w:tr w:rsidTr="00610FDE">
        <w:tblPrEx>
          <w:tblW w:w="0" w:type="auto"/>
          <w:tblLook w:val="04A0"/>
        </w:tblPrEx>
        <w:tc>
          <w:tcPr/>
          <w:p w:rsidR="00A363CA" w:rsidP="00A363CA">
            <w:pPr>
              <w:pStyle w:val="ProductList-TableBody"/>
            </w:pPr>
            <w:r>
              <w:t>Priva Privacy Risk Management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365 A5 Insider Risk Management (User SL)</w:t>
            </w:r>
          </w:p>
        </w:tc>
        <w:tc>
          <w:tcPr/>
          <w:p w:rsidR="00A363CA" w:rsidP="00A363CA">
            <w:pPr>
              <w:pStyle w:val="ProductList-TableBody"/>
            </w:pPr>
            <w:r>
              <w:t>Student Offering,Additional Product Faculty</w:t>
            </w:r>
          </w:p>
        </w:tc>
      </w:tr>
      <w:tr w:rsidTr="00610FDE">
        <w:tblPrEx>
          <w:tblW w:w="0" w:type="auto"/>
          <w:tblLook w:val="04A0"/>
        </w:tblPrEx>
        <w:tc>
          <w:tcPr/>
          <w:p w:rsidR="00A363CA" w:rsidP="00A363CA">
            <w:pPr>
              <w:pStyle w:val="ProductList-TableBody"/>
            </w:pPr>
            <w:r>
              <w:t>Microsoft Defender Vulnerability Management Add-on</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Entra ID Governance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SharePoint Advanced Management P1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Purview Suite Edu (User SL)</w:t>
            </w:r>
          </w:p>
        </w:tc>
        <w:tc>
          <w:tcPr/>
          <w:p w:rsidR="00A363CA" w:rsidP="00A363CA">
            <w:pPr>
              <w:pStyle w:val="ProductList-TableBody"/>
            </w:pPr>
            <w:r>
              <w:t>Student Offering,Additional Product Faculty</w:t>
            </w:r>
          </w:p>
        </w:tc>
      </w:tr>
      <w:tr w:rsidTr="00610FDE">
        <w:tblPrEx>
          <w:tblW w:w="0" w:type="auto"/>
          <w:tblLook w:val="04A0"/>
        </w:tblPrEx>
        <w:tc>
          <w:tcPr/>
          <w:p w:rsidR="00A363CA" w:rsidP="00A363CA">
            <w:pPr>
              <w:pStyle w:val="ProductList-TableBody"/>
            </w:pPr>
            <w:r>
              <w:t>Microsoft 365 A5 Insider Risk Management - Student Use Benefit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A5 eDiscovery and Audit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Premium Assessment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Priva – Subject Rights Request</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Viva Glint</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365 Education A5 (User SL)</w:t>
            </w:r>
          </w:p>
        </w:tc>
        <w:tc>
          <w:tcPr/>
          <w:p w:rsidR="00A363CA" w:rsidP="00A363CA">
            <w:pPr>
              <w:pStyle w:val="ProductList-TableBody"/>
            </w:pPr>
            <w:r>
              <w:t>Education Platform Product</w:t>
            </w:r>
          </w:p>
        </w:tc>
      </w:tr>
      <w:tr w:rsidTr="00610FDE">
        <w:tblPrEx>
          <w:tblW w:w="0" w:type="auto"/>
          <w:tblLook w:val="04A0"/>
        </w:tblPrEx>
        <w:tc>
          <w:tcPr/>
          <w:p w:rsidR="00A363CA" w:rsidP="00A363CA">
            <w:pPr>
              <w:pStyle w:val="ProductList-TableBody"/>
            </w:pPr>
            <w:r>
              <w:t>Microsoft Entra Suite Add-on for Microsoft Entra ID P2 EDU (User SL)</w:t>
            </w:r>
          </w:p>
        </w:tc>
        <w:tc>
          <w:tcPr/>
          <w:p w:rsidR="00A363CA" w:rsidP="00A363CA">
            <w:pPr>
              <w:pStyle w:val="ProductList-TableBody"/>
            </w:pPr>
            <w:r>
              <w:t>Additional Product,Student Offering,Additional Product Faculty</w:t>
            </w:r>
          </w:p>
        </w:tc>
      </w:tr>
      <w:tr w:rsidTr="00610FDE">
        <w:tblPrEx>
          <w:tblW w:w="0" w:type="auto"/>
          <w:tblLook w:val="04A0"/>
        </w:tblPrEx>
        <w:tc>
          <w:tcPr/>
          <w:p w:rsidR="00A363CA" w:rsidP="00A363CA">
            <w:pPr>
              <w:pStyle w:val="ProductList-TableBody"/>
            </w:pPr>
            <w:r>
              <w:t>Microsoft 365 Education A5 with calling minutes (User SL)</w:t>
            </w:r>
          </w:p>
        </w:tc>
        <w:tc>
          <w:tcPr/>
          <w:p w:rsidR="00A363CA" w:rsidP="00A363CA">
            <w:pPr>
              <w:pStyle w:val="ProductList-TableBody"/>
            </w:pPr>
            <w:r>
              <w:t>Education Platform Product</w:t>
            </w:r>
          </w:p>
        </w:tc>
      </w:tr>
      <w:tr w:rsidTr="00610FDE">
        <w:tblPrEx>
          <w:tblW w:w="0" w:type="auto"/>
          <w:tblLook w:val="04A0"/>
        </w:tblPrEx>
        <w:tc>
          <w:tcPr/>
          <w:p w:rsidR="00A363CA" w:rsidP="00A363CA">
            <w:pPr>
              <w:pStyle w:val="ProductList-TableBody"/>
            </w:pPr>
            <w:r>
              <w:t>Microsoft 365 Copilot for Service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Copilot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10-Year Audit Log Retention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365 Education A3 with Core CAL (User SL)</w:t>
            </w:r>
          </w:p>
        </w:tc>
        <w:tc>
          <w:tcPr/>
          <w:p w:rsidR="00A363CA" w:rsidP="00A363CA">
            <w:pPr>
              <w:pStyle w:val="ProductList-TableBody"/>
            </w:pPr>
            <w:r>
              <w:t>Education Platform Product</w:t>
            </w:r>
          </w:p>
        </w:tc>
      </w:tr>
      <w:tr w:rsidTr="00610FDE">
        <w:tblPrEx>
          <w:tblW w:w="0" w:type="auto"/>
          <w:tblLook w:val="04A0"/>
        </w:tblPrEx>
        <w:tc>
          <w:tcPr/>
          <w:p w:rsidR="00A363CA" w:rsidP="00A363CA">
            <w:pPr>
              <w:pStyle w:val="ProductList-TableBody"/>
            </w:pPr>
            <w:r>
              <w:t>Microsoft Purview Suite Edu - Student Use Benefit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Education A3 (User SL)</w:t>
            </w:r>
          </w:p>
        </w:tc>
        <w:tc>
          <w:tcPr/>
          <w:p w:rsidR="00A363CA" w:rsidP="00A363CA">
            <w:pPr>
              <w:pStyle w:val="ProductList-TableBody"/>
            </w:pPr>
            <w:r>
              <w:t>Education Platform Product</w:t>
            </w:r>
          </w:p>
        </w:tc>
      </w:tr>
      <w:tr w:rsidTr="00610FDE">
        <w:tblPrEx>
          <w:tblW w:w="0" w:type="auto"/>
          <w:tblLook w:val="04A0"/>
        </w:tblPrEx>
        <w:tc>
          <w:tcPr/>
          <w:p w:rsidR="00A363CA" w:rsidP="00A363CA">
            <w:pPr>
              <w:pStyle w:val="ProductList-TableBody"/>
            </w:pPr>
            <w:r>
              <w:t>Microsoft Defender Suite Edu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Entra Internet Access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Insights (User SL)</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472"/>
        <w:gridCol w:w="78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Refer to /licensing/terms/product/StudentUseBenefitsandAcademicPrograms/all</w:t>
            </w:r>
            <w:hyperlink r:id="rId133"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34"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34"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0"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36"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34"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35"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34"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35"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37" w:tgtFrame="_blank" w:history="1">
        <w:r>
          <w:rPr>
            <w:rStyle w:val="Hyperlink"/>
            <w:color w:val="505050"/>
          </w:rPr>
          <w:t>https://docs.microsoft.com/exchange/recipients-in-exchange-online/manage-user-mailboxes/enable-or-disable-outlook-web-app</w:t>
        </w:r>
      </w:hyperlink>
      <w:r>
        <w:t>) except for use with Microsoft Bookings (</w:t>
      </w:r>
      <w:hyperlink r:id="rId138"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22"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E3/E5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Servers</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assigned a Microsoft 365 E3/E5 User SL may:</w:t>
      </w:r>
    </w:p>
    <w:p>
      <w:pPr>
        <w:numPr>
          <w:ilvl w:val="0"/>
          <w:numId w:val="7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install any number of copies of the following server software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dedicated to Customer's use: Exchange Server, SharePoint Server, and Skype for Business Server; and</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E3/E5 User SL or </w:t>
      </w:r>
      <w:hyperlink w:anchor="_Toc22"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39" w:history="1">
        <w:r>
          <w:rPr>
            <w:rStyle w:val="Hyperlink"/>
            <w:color w:val="505050"/>
          </w:rPr>
          <w:t>Outsourcing Software Management</w:t>
        </w:r>
      </w:hyperlink>
      <w:r>
        <w:t xml:space="preserve"> clause. This entitlement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Professional Plus</w:t>
      </w:r>
    </w:p>
    <w:p>
      <w:pPr>
        <w:pStyle w:val="Heading5"/>
        <w:rPr>
          <w:rFonts w:eastAsia="Times New Roman"/>
        </w:rPr>
      </w:pPr>
      <w:r>
        <w:rPr>
          <w:rFonts w:eastAsia="Times New Roman"/>
        </w:rPr>
        <w:t>Microsoft 365 User SLs acquired in MPSA</w:t>
      </w:r>
    </w:p>
    <w:p>
      <w:pPr>
        <w:pStyle w:val="NormalWeb"/>
      </w:pPr>
      <w:r>
        <w:t xml:space="preserve">For each Licensed User with a device covered with Software Assurance for Office Professional Plus to whom Customer assigns a Microsoft 365 User SL, Customer may install one local copy of Office Professional Plus for the sole use of the </w:t>
      </w:r>
      <w:hyperlink w:anchor="_Toc22"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The following applies to customers in Academic Volume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A1</w:t>
      </w:r>
    </w:p>
    <w:p>
      <w:pPr>
        <w:pStyle w:val="Heading5"/>
        <w:rPr>
          <w:rFonts w:eastAsia="Times New Roman"/>
        </w:rPr>
      </w:pPr>
      <w:r>
        <w:rPr>
          <w:rStyle w:val="Strong"/>
          <w:rFonts w:eastAsia="Times New Roman"/>
        </w:rPr>
        <w:t>Term</w:t>
      </w:r>
    </w:p>
    <w:p>
      <w:pPr>
        <w:pStyle w:val="NormalWeb"/>
      </w:pPr>
      <w:r>
        <w:t>The term of Microsoft 365 A1 Licenses is six years from the date of order. If the license extends beyond the expiration of Customer's volume license agreement under which the Microsoft 365 A1 License was purchased, the terms of such agreement will survive as necessary for the duration of the Microsoft 365 A1 License.</w:t>
      </w:r>
    </w:p>
    <w:p>
      <w:pPr>
        <w:pStyle w:val="Heading5"/>
        <w:rPr>
          <w:rFonts w:eastAsia="Times New Roman"/>
        </w:rPr>
      </w:pPr>
      <w:r>
        <w:rPr>
          <w:rStyle w:val="Strong"/>
          <w:rFonts w:eastAsia="Times New Roman"/>
        </w:rPr>
        <w:t>Primary User requirement for M365 A1 for Devices</w:t>
      </w:r>
    </w:p>
    <w:p>
      <w:pPr>
        <w:pStyle w:val="NormalWeb"/>
      </w:pPr>
      <w:r>
        <w:t xml:space="preserve">The Microsoft 365 A1 for Devices (Device SL) may only be assigned to devices that have a </w:t>
      </w:r>
      <w:hyperlink w:anchor="_Toc22" w:tooltip="Primary User means the user who uses a Licensed Device more than 50% of the time in any 90 day period." w:history="1">
        <w:r>
          <w:rPr>
            <w:rStyle w:val="Hyperlink"/>
            <w:color w:val="505050"/>
          </w:rPr>
          <w:t>Primary User</w:t>
        </w:r>
      </w:hyperlink>
      <w:r>
        <w:t>. </w:t>
      </w:r>
    </w:p>
    <w:p>
      <w:pPr>
        <w:pStyle w:val="Heading5"/>
        <w:rPr>
          <w:rFonts w:eastAsia="Times New Roman"/>
        </w:rPr>
      </w:pPr>
      <w:r>
        <w:rPr>
          <w:rStyle w:val="Strong"/>
          <w:rFonts w:eastAsia="Times New Roman"/>
        </w:rPr>
        <w:t>Cancellation and Reassignment</w:t>
      </w:r>
    </w:p>
    <w:p>
      <w:pPr>
        <w:pStyle w:val="NormalWeb"/>
      </w:pPr>
      <w:r>
        <w:t>Microsoft 365 A1 Licenses may not be cancelled and can only be reassigned to a new device of the same model (or equivalent manufacturer-provided replacement) upon permanent hardware failure of the device the Microsoft 365 A1 License was previously assigned to.</w:t>
      </w:r>
    </w:p>
    <w:p>
      <w:pPr>
        <w:pStyle w:val="Heading5"/>
        <w:rPr>
          <w:rFonts w:eastAsia="Times New Roman"/>
        </w:rPr>
      </w:pPr>
      <w:r>
        <w:rPr>
          <w:rStyle w:val="Strong"/>
          <w:rFonts w:eastAsia="Times New Roman"/>
        </w:rPr>
        <w:t>Window Versions</w:t>
      </w:r>
    </w:p>
    <w:p>
      <w:pPr>
        <w:pStyle w:val="NormalWeb"/>
      </w:pPr>
      <w:r>
        <w:t>Microsoft 365 Education A1 includes an upgrade to Windows 11 Pro Education for devices licensed with Windows 8/8.1 Home/Pro, and Windows 10/11 Home/Pro.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A3/A5 (User SL)</w:t>
      </w:r>
    </w:p>
    <w:p>
      <w:pPr>
        <w:pStyle w:val="Heading5"/>
        <w:rPr>
          <w:rFonts w:eastAsia="Times New Roman"/>
        </w:rPr>
      </w:pPr>
      <w:r>
        <w:rPr>
          <w:rFonts w:eastAsia="Times New Roman"/>
        </w:rPr>
        <w:t>Office Servers</w:t>
      </w:r>
    </w:p>
    <w:p>
      <w:pPr>
        <w:pStyle w:val="NormalWeb"/>
      </w:pPr>
      <w:r>
        <w:t xml:space="preserve">Customers licensing all faculty and staff,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with Microsoft 365 A3/A5 (User SL) under an Enrollment for Education Solutions (any version) may:</w:t>
      </w:r>
    </w:p>
    <w:p>
      <w:pPr>
        <w:numPr>
          <w:ilvl w:val="0"/>
          <w:numId w:val="7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the following server software on any Server dedicated to Customer's use: Exchange Server, SharePoint Server, and Skype for Business Server; and</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A3/A5 User SL or </w:t>
      </w:r>
      <w:hyperlink w:anchor="_Toc22"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tgtFrame="_blank" w:history="1">
        <w:r>
          <w:rPr>
            <w:rStyle w:val="Hyperlink"/>
            <w:color w:val="505050"/>
          </w:rPr>
          <w:t>Outsourcing Software Management</w:t>
        </w:r>
      </w:hyperlink>
      <w:r>
        <w:t xml:space="preserve"> clause. This entitlement does not apply to User SLs acquired under the Microsoft Cloud Agreement and Microsoft Customer Agreement or by way of the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A3 with Core CAL</w:t>
      </w:r>
    </w:p>
    <w:p>
      <w:pPr>
        <w:pStyle w:val="NormalWeb"/>
        <w:spacing w:after="150"/>
      </w:pPr>
      <w:r>
        <w:t>Microsoft 365 A3 with Core CAL is available only as a replacement for Education Desktop with Core CAL.</w:t>
      </w:r>
    </w:p>
    <w:p w:rsidR="00ED5159" w:rsidP="00ED5159">
      <w:pPr>
        <w:pStyle w:val="ProductList-Offering1SubSection"/>
      </w:pPr>
      <w:r>
        <w:t>Service Specific Terms</w:t>
      </w:r>
    </w:p>
    <w:p>
      <w:pPr>
        <w:pStyle w:val="NormalWeb"/>
      </w:pPr>
      <w:r>
        <w:t xml:space="preserve">Customers may deploy eligible products on Amazon WorkSpaces.  See </w:t>
      </w:r>
      <w:hyperlink r:id="rId140"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22"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22"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22"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22"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22"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22"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74"/>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22"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7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7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7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22"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3"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22"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3"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22"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41"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22"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Remote Network Bandwidth</w:t>
      </w:r>
    </w:p>
    <w:p>
      <w:pPr>
        <w:pStyle w:val="NormalWeb"/>
        <w:spacing w:after="150"/>
      </w:pPr>
      <w:r>
        <w:t xml:space="preserve">To enable the Remote Network Bandwidth, customers must have at least 50 combined licenses from Microsoft Entra ID P1, </w:t>
      </w:r>
      <w:r>
        <w:rPr>
          <w:rStyle w:val="Strong"/>
        </w:rPr>
        <w:t>and/or</w:t>
      </w:r>
      <w:r>
        <w:t xml:space="preserve"> Microsoft Entra Internet Access, </w:t>
      </w:r>
      <w:r>
        <w:rPr>
          <w:rStyle w:val="Strong"/>
        </w:rPr>
        <w:t>and/or</w:t>
      </w:r>
      <w:r>
        <w:t xml:space="preserve"> Entra Suite.</w:t>
      </w:r>
    </w:p>
    <w:p>
      <w:pPr>
        <w:pStyle w:val="NormalWeb"/>
        <w:spacing w:before="150"/>
      </w:pPr>
      <w:r>
        <w:t>If additional bandwidth beyond the allocated tiers of the prerequisite products is required, customers should purchase additional bandwidth through Remote Network Bandwidth.</w:t>
      </w:r>
    </w:p>
    <w:p>
      <w:pPr>
        <w:pStyle w:val="NormalWeb"/>
        <w:spacing w:before="150"/>
      </w:pPr>
      <w:r>
        <w:t xml:space="preserve">Additional information on bandwidth please reference this page: </w:t>
      </w:r>
      <w:hyperlink r:id="rId142" w:anchor="how-much-bandwidth-will-be-allocated-per-tenant" w:tgtFrame="_blank" w:history="1">
        <w:r>
          <w:rPr>
            <w:rStyle w:val="Hyperlink"/>
            <w:color w:val="505050"/>
          </w:rPr>
          <w:t>Global Secure Access remote network connectivity - Global Secure Access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Viva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Insights</w:t>
      </w:r>
    </w:p>
    <w:p>
      <w:pPr>
        <w:pStyle w:val="NormalWeb"/>
        <w:spacing w:after="150"/>
      </w:pPr>
      <w:r>
        <w:t>Any unused Viva Insights license or Viva Insights Capacity license credits expire monthly on the anniversary date for the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Learning</w:t>
      </w:r>
    </w:p>
    <w:p>
      <w:pPr>
        <w:pStyle w:val="NormalWeb"/>
        <w:spacing w:after="150"/>
      </w:pPr>
      <w:r>
        <w:t>Microsoft Learn, Microsoft 365 Training, and the free LinkedIn Learning content made available through Viva Learning is subject to terms other than the Product Terms. Additional content may be available from other third-party content providers. Accessing this third-party content may require Customer to have a separate relationship with the third-party content provider (such as a content subscription). This third-party content and any associated services are subject to the third-party content provider's privacy and service terms and not to the Product Terms. Other content that Customer chooses to make accessible to users in the Viva Learning Teams app is subject to the terms associated with that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22"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22"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22"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43"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44" w:tgtFrame="_blank" w:history="1">
        <w:r>
          <w:rPr>
            <w:rStyle w:val="Hyperlink"/>
            <w:color w:val="505050"/>
          </w:rPr>
          <w:t>Learn more</w:t>
        </w:r>
      </w:hyperlink>
      <w:r>
        <w:t>] </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GroupHeading"/>
        <w:outlineLvl w:val="1"/>
      </w:pPr>
      <w:r>
        <w:t>Microsoft Azure</w:t>
      </w:r>
      <w:r>
        <w:fldChar w:fldCharType="begin"/>
      </w:r>
      <w:r>
        <w:instrText xml:space="preserve"> TC </w:instrText>
      </w:r>
      <w:bookmarkStart w:id="52" w:name="_Toc256000041"/>
      <w:r>
        <w:instrText>"</w:instrText>
      </w:r>
      <w:r>
        <w:instrText>Microsoft Azure</w:instrText>
      </w:r>
      <w:r>
        <w:instrText>"</w:instrText>
      </w:r>
      <w:bookmarkEnd w:id="5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Site Recovery (to Customer Owned Site)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Azure Services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Identity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Azure Active Standard Support*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P2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Defender for Identity Client Management License Add-on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Azure Active Professional Direct Support*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P1 (User SL)</w:t>
            </w:r>
          </w:p>
        </w:tc>
        <w:tc>
          <w:tcPr/>
          <w:p w:rsidR="00A363CA" w:rsidP="00A363CA">
            <w:pPr>
              <w:pStyle w:val="ProductList-TableBody"/>
            </w:pPr>
            <w:r>
              <w:t>Additional Product,Student Offering</w:t>
            </w:r>
          </w:p>
        </w:tc>
      </w:tr>
    </w:tbl>
    <w:p>
      <w:pPr>
        <w:pStyle w:val="NormalWeb"/>
      </w:pPr>
      <w:r>
        <w:rPr>
          <w:i/>
          <w:iCs/>
        </w:rPr>
        <w:t>*Also available through Microsoft Customer Agreement and Reduction Eligible when acquired under that agreement.</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12"/>
        <w:gridCol w:w="211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 </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hyperlink r:id="rId25" w:tgtFrame="_blank" w:history="1">
              <w:r>
                <w:rPr>
                  <w:rStyle w:val="Hyperlink"/>
                  <w:color w:val="505050"/>
                </w:rPr>
                <w:t>Universal License Terms for Online Services</w:t>
              </w:r>
            </w:hyperlink>
            <w:r>
              <w:t xml:space="preserve"> (For Azure Virtual Desktop per user access, Windows operating system is governed by the </w:t>
            </w:r>
            <w:hyperlink r:id="rId118" w:tgtFrame="_blank" w:history="1">
              <w:r>
                <w:rPr>
                  <w:rStyle w:val="Hyperlink"/>
                  <w:color w:val="505050"/>
                </w:rPr>
                <w:t>Universal License Terms for all Software</w:t>
              </w:r>
            </w:hyperlink>
            <w:r>
              <w:t xml:space="preserve"> and includes specific terms in </w:t>
            </w:r>
            <w:hyperlink r:id="rId38" w:tgtFrame="_blank" w:history="1">
              <w:r>
                <w:rPr>
                  <w:rStyle w:val="Hyperlink"/>
                  <w:color w:val="505050"/>
                </w:rPr>
                <w:t>Windows Desktop Operating System</w:t>
              </w:r>
            </w:hyperlink>
            <w:r>
              <w:t xml:space="preserve"> terms).</w:t>
            </w:r>
          </w:p>
          <w:p>
            <w:pPr>
              <w:pStyle w:val="NormalWeb"/>
              <w:spacing w:before="150"/>
            </w:pPr>
            <w:r>
              <w:t xml:space="preserve">Azure Kubernetes Service Edge Essentials is governed by the </w:t>
            </w:r>
            <w:hyperlink r:id="rId118" w:tgtFrame="_blank" w:history="1">
              <w:r>
                <w:rPr>
                  <w:rStyle w:val="Hyperlink"/>
                  <w:color w:val="505050"/>
                </w:rPr>
                <w:t>Universal License Terms for all Software</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F1; Microsoft Entra ID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86"/>
        <w:gridCol w:w="77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Microsoft Azure User Plans, Microsoft Translator API, Allocated Annual prepayment for 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Azure User Plans only - Refer to </w:t>
            </w:r>
            <w:hyperlink r:id="rId145"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Product Categories</w:t>
      </w:r>
    </w:p>
    <w:p>
      <w:pPr>
        <w:pStyle w:val="NormalWeb"/>
        <w:spacing w:after="150"/>
      </w:pPr>
      <w:r>
        <w:t>This table highlights which Azure products fall under the categories of Microsoft Azure User Plans, Microsoft Azure Support Plans, and Microsoft Azure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71"/>
        <w:gridCol w:w="79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Category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User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Plan 1, 2 &amp; F2 (User SL), Microsoft Defender for Identity &amp; F1 (User SL), Microsoft Defender for Identity Client Management License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Active Professional Direct Support, Azure Active Standard Support, Microsoft Azure StorSimple Premium &amp; Standard Support, Microsoft Azure StorSimple Standard Support to Premium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crosoft Azure Services means the Microsoft services and features identified at http://azure.microsoft.com/services/, except those licensed separately. See Glossary for full definition." w:history="1">
              <w:r>
                <w:rPr>
                  <w:rStyle w:val="Hyperlink"/>
                  <w:rFonts w:ascii="Segoe UI" w:eastAsia="Times New Roman" w:hAnsi="Segoe UI" w:cs="Segoe UI"/>
                  <w:sz w:val="16"/>
                  <w:szCs w:val="16"/>
                </w:rPr>
                <w:t>Microsoft Azure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 (per Device), Microsoft Translator API, Microsoft Azure Services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Services Plans</w:t>
      </w:r>
    </w:p>
    <w:p>
      <w:pPr>
        <w:pStyle w:val="NormalWeb"/>
        <w:spacing w:after="150"/>
      </w:pPr>
      <w:r>
        <w:t xml:space="preserve">If subscribed to by Customer as a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individual Microsoft Azure Services may have different program availability or be subject to different terms.  Other than Azure Stack Hub, Services purchased as a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are not eligible for the Azure Customer Solution clause in the General Service Terms for Azure.</w:t>
      </w:r>
    </w:p>
    <w:p>
      <w:pPr>
        <w:pStyle w:val="Heading3"/>
        <w:spacing w:before="150" w:beforeAutospacing="0"/>
        <w:rPr>
          <w:rFonts w:eastAsia="Times New Roman"/>
          <w:color w:val="0078D4"/>
          <w:sz w:val="26"/>
          <w:szCs w:val="26"/>
        </w:rPr>
      </w:pPr>
      <w:r>
        <w:rPr>
          <w:rFonts w:eastAsia="Times New Roman"/>
          <w:color w:val="0078D4"/>
          <w:sz w:val="26"/>
          <w:szCs w:val="26"/>
        </w:rPr>
        <w:t>Subscription Term</w:t>
      </w:r>
    </w:p>
    <w:p>
      <w:pPr>
        <w:pStyle w:val="NormalWeb"/>
        <w:spacing w:after="150"/>
      </w:pPr>
      <w:r>
        <w:t xml:space="preserve">Except as described below for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may only subscribe to Microsoft Azure Services (including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Plans</w:t>
        </w:r>
      </w:hyperlink>
      <w:r>
        <w:t>) for a subscription term that ends on the end date of Customer's Enrollment ("coterminous"). Customer must have at least two months remaining in its Enrollment term in order to subscribe to Microsoft Azure Services.</w:t>
      </w:r>
    </w:p>
    <w:p>
      <w:pPr>
        <w:pStyle w:val="Heading3"/>
        <w:spacing w:before="150" w:beforeAutospacing="0"/>
        <w:rPr>
          <w:rFonts w:eastAsia="Times New Roman"/>
          <w:color w:val="0078D4"/>
          <w:sz w:val="26"/>
          <w:szCs w:val="26"/>
        </w:rPr>
      </w:pPr>
      <w:r>
        <w:rPr>
          <w:rFonts w:eastAsia="Times New Roman"/>
          <w:color w:val="0078D4"/>
          <w:sz w:val="26"/>
          <w:szCs w:val="26"/>
        </w:rPr>
        <w:t>Purchasing Microsoft Azure Services</w:t>
      </w:r>
    </w:p>
    <w:p>
      <w:pPr>
        <w:pStyle w:val="NormalWeb"/>
        <w:spacing w:after="150"/>
      </w:pPr>
      <w:r>
        <w:t>Microsoft Azure Services may be purchased in one or a combination of the following ways:</w:t>
      </w:r>
    </w:p>
    <w:p>
      <w:pPr>
        <w:pStyle w:val="NormalWeb"/>
        <w:spacing w:before="150"/>
      </w:pPr>
      <w:r>
        <w:rPr>
          <w:rStyle w:val="Strong"/>
        </w:rPr>
        <w:t>Azure prepayment</w:t>
      </w:r>
      <w:r>
        <w:t xml:space="preserve">: Customer will have access to its entire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throughout the term of its Enrollment if Customer agrees to be invoiced for the full amount upfront (the "Fully Prepaid Option"). Alternatively, if Customer elects to be invoiced for its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on an annual basis, Customer will have access to an </w:t>
      </w:r>
      <w:hyperlink w:anchor="_Toc22"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each year of the Enrollment (the "Annually Prepaid Option"). Under the Fully Prepaid Option, any unused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will be forfeited at the end of the Enrollment, and under the Annually Prepaid Option, any unused </w:t>
      </w:r>
      <w:hyperlink w:anchor="_Toc22"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will be forfeited on the following Enrollment anniversary date. Customer may contact Microsoft or Customer's reseller about increasing its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or reducing its </w:t>
      </w:r>
      <w:hyperlink w:anchor="_Toc22"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for any future Enrollment anniversary. Customer's reseller (if any) must process reductions with Microsoft prior to the next anniversary.</w:t>
      </w:r>
    </w:p>
    <w:p>
      <w:pPr>
        <w:pStyle w:val="NormalWeb"/>
        <w:spacing w:before="150"/>
      </w:pPr>
      <w:r>
        <w:rPr>
          <w:rStyle w:val="Strong"/>
        </w:rPr>
        <w:t>Consumption</w:t>
      </w:r>
      <w:r>
        <w:t>: Customer pays based on the amount of Microsoft Azure Services consumed during a billing period. Certain features of the Microsoft Azure Services may only be available for purchase on a consumption basis.</w:t>
      </w:r>
    </w:p>
    <w:p>
      <w:pPr>
        <w:pStyle w:val="NormalWeb"/>
        <w:spacing w:before="150"/>
      </w:pPr>
      <w:r>
        <w:rPr>
          <w:rStyle w:val="Strong"/>
        </w:rPr>
        <w:t>Microsoft Azure Services Plan</w:t>
      </w:r>
      <w:r>
        <w:t xml:space="preserve">: Customer may be able to subscribe to a Microsoft Azure Service as a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w:t>
      </w:r>
    </w:p>
    <w:p>
      <w:pPr>
        <w:pStyle w:val="NormalWeb"/>
        <w:spacing w:before="150"/>
      </w:pPr>
      <w:r>
        <w:rPr>
          <w:rStyle w:val="Strong"/>
        </w:rPr>
        <w:t>Automatic Provisioning</w:t>
      </w:r>
      <w:r>
        <w:t xml:space="preserve">: As part of the Server and Cloud Enrollment, Customers who have not ordered Microsoft Azure Services as part of their Enrollment may receive an activation email from Microsoft inviting them to provision Microsoft Azure Services under their Enrollment without an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w:t>
      </w:r>
    </w:p>
    <w:p>
      <w:pPr>
        <w:pStyle w:val="NormalWeb"/>
        <w:spacing w:before="150"/>
      </w:pPr>
      <w:r>
        <w:rPr>
          <w:rStyle w:val="Strong"/>
        </w:rPr>
        <w:t>Azure reservations</w:t>
      </w:r>
      <w:r>
        <w:t xml:space="preserve">: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are purchased for specified terms of up to three years with either a single upfront payment or equal monthly payments (when available).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expire at the end of the specified term. Customer will not be refunded payment (paid or scheduled) for unused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Using Azure commitment tiers, Customers pay upfront monthly for connected containers and Azure usage. Overage will be invoiced when usage exceeds the commitment tier limit. For disconnected containers, Azure commitment tier payments are made upfront yearly, except for disconnected container proof of concept (POC) SKUs, which have a one month prorated price. Customers can renew the POC license automatically up to two times, allowing for three months of total usage of a POC SKU.</w:t>
      </w:r>
    </w:p>
    <w:p>
      <w:pPr>
        <w:pStyle w:val="NormalWeb"/>
        <w:spacing w:before="150"/>
      </w:pPr>
      <w:r>
        <w:rPr>
          <w:rStyle w:val="Strong"/>
        </w:rPr>
        <w:t>Azure compute savings plan</w:t>
      </w:r>
      <w:r>
        <w:t xml:space="preserve">: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is purchased for specified terms of up to three years with either a single upfront payment or equal monthly payments (when available).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expires at the end of the specified term. Customer will not be refunded payment (paid or scheduled) for unused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s are noncancellable. Customer will owe the amount charged for the plan for the duration of the selected term, even if the Agreement is terminated. Notwithstanding the terms in Customer's volume licensing agreement, fixed pricing does not apply to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Pricing</w:t>
      </w:r>
    </w:p>
    <w:p>
      <w:pPr>
        <w:pStyle w:val="NormalWeb"/>
        <w:spacing w:after="150"/>
      </w:pPr>
      <w:r>
        <w:t xml:space="preserve">Microsoft may offer lower prices to Customer (or Customer's reseller) for individual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during Customer's Enrollment term on a permanent or temporary (promotional) basis. Fixed pricing does not apply to promotions and previews.</w:t>
      </w:r>
    </w:p>
    <w:p>
      <w:pPr>
        <w:pStyle w:val="NormalWeb"/>
        <w:spacing w:before="150"/>
      </w:pPr>
      <w:r>
        <w:t>Notwithstanding the terms in Customer's volume licensing agreement, fixed pricing does not apply to Azure reservations, Azure spot, or Azure Communication Services. Customer can refer to the Azure portal for current pricing including adjustments for FX rates.</w:t>
      </w:r>
    </w:p>
    <w:p>
      <w:pPr>
        <w:pStyle w:val="NormalWeb"/>
        <w:spacing w:before="150"/>
      </w:pPr>
      <w:r>
        <w:rPr>
          <w:rStyle w:val="Strong"/>
        </w:rPr>
        <w:t>Azure Spot</w:t>
      </w:r>
      <w:r>
        <w:t>: Customer can refer to the Azure portal for pricing adjustments. Customer's access to a given Azure Spot virtual machine is temporary and may be interrupted at any time. Customer may elect to be notified immediately prior to workload interruption.</w:t>
      </w:r>
    </w:p>
    <w:p>
      <w:pPr>
        <w:pStyle w:val="Heading3"/>
        <w:spacing w:before="150" w:beforeAutospacing="0"/>
        <w:rPr>
          <w:rFonts w:eastAsia="Times New Roman"/>
          <w:color w:val="0078D4"/>
          <w:sz w:val="26"/>
          <w:szCs w:val="26"/>
        </w:rPr>
      </w:pPr>
      <w:r>
        <w:rPr>
          <w:rFonts w:eastAsia="Times New Roman"/>
          <w:color w:val="0078D4"/>
          <w:sz w:val="26"/>
          <w:szCs w:val="26"/>
        </w:rPr>
        <w:t>Payment and Fees</w:t>
      </w:r>
    </w:p>
    <w:p>
      <w:pPr>
        <w:pStyle w:val="NormalWeb"/>
        <w:spacing w:after="150"/>
      </w:pPr>
      <w:r>
        <w:t>This table highlights which Azure Product categories are eligible for the Payment and Fees options below. Please reference the Product Category table above for eligible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27"/>
        <w:gridCol w:w="5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Payment and Fees 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Eligible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Using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Invoicing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 Invoicing Azure prepayment 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Consumption Invoicing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 Azure Services Plan Invoice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 Microsoft Azure User Plans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 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 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bl>
    <w:p>
      <w:pPr>
        <w:pStyle w:val="NormalWeb"/>
      </w:pPr>
      <w:r>
        <w:t>*Some Products may not be eligible for certain Payment and Fees scenarios. Please refer to the Azure Portal or Pricing Calculator (</w:t>
      </w:r>
      <w:hyperlink r:id="rId146" w:tgtFrame="_blank" w:history="1">
        <w:r>
          <w:rPr>
            <w:rStyle w:val="Hyperlink"/>
            <w:color w:val="505050"/>
          </w:rPr>
          <w:t>https://azure.microsoft.com/pricing/calculator/</w:t>
        </w:r>
      </w:hyperlink>
      <w:r>
        <w:t>) for more information on availability.</w:t>
      </w:r>
    </w:p>
    <w:p>
      <w:pPr>
        <w:numPr>
          <w:ilvl w:val="0"/>
          <w:numId w:val="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Using Azure prepayment</w:t>
      </w:r>
      <w:r>
        <w:rPr>
          <w:rFonts w:ascii="Segoe UI" w:eastAsia="Times New Roman" w:hAnsi="Segoe UI" w:cs="Segoe UI"/>
          <w:color w:val="505050"/>
          <w:sz w:val="18"/>
          <w:szCs w:val="18"/>
        </w:rPr>
        <w:t xml:space="preserve">: Each month, Microsoft will deduct from Customer's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the monetary value of Customer's usage of eligible Microsoft Azure Services. Once Customer's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balance has been exhausted, any additional usage will be invoiced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(as described below).</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w:t>
      </w:r>
      <w:r>
        <w:rPr>
          <w:rFonts w:ascii="Segoe UI" w:eastAsia="Times New Roman" w:hAnsi="Segoe UI" w:cs="Segoe UI"/>
          <w:color w:val="505050"/>
          <w:sz w:val="18"/>
          <w:szCs w:val="18"/>
        </w:rPr>
        <w:t xml:space="preserve"> If Customer elects the Fully Prepaid Option,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will be invoiced immediately. If Customers elects the Annually Prepaid Option, the first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will be invoiced immediately, and future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s will be invoiced on the anniversary of the Enrollment effective date.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 overage</w:t>
      </w:r>
      <w:r>
        <w:rPr>
          <w:rFonts w:ascii="Segoe UI" w:eastAsia="Times New Roman" w:hAnsi="Segoe UI" w:cs="Segoe UI"/>
          <w:color w:val="505050"/>
          <w:sz w:val="18"/>
          <w:szCs w:val="18"/>
        </w:rPr>
        <w:t xml:space="preserve">: If Customer's usage is higher than either its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under the Fully Prepaid Option or its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under the Annually Prepaid Option, such excess will be invoiced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to Customer (or its reseller) at the end of each Enrollment month.</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Consumption invoicing</w:t>
      </w:r>
      <w:r>
        <w:rPr>
          <w:rFonts w:ascii="Segoe UI" w:eastAsia="Times New Roman" w:hAnsi="Segoe UI" w:cs="Segoe UI"/>
          <w:color w:val="505050"/>
          <w:sz w:val="18"/>
          <w:szCs w:val="18"/>
        </w:rPr>
        <w:t xml:space="preserve">: If Customer provisions Microsoft Azure Services without a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it (or its reseller) will be invoiced monthly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All usage of the Microsoft Azure Services after the expiration or termination of Customer's subscription term will be invoiced to Customer (or its reseller) at then-current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on a monthly basis.</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Services Plan invoice</w:t>
      </w:r>
      <w:r>
        <w:rPr>
          <w:rFonts w:ascii="Segoe UI" w:eastAsia="Times New Roman" w:hAnsi="Segoe UI" w:cs="Segoe UI"/>
          <w:color w:val="505050"/>
          <w:sz w:val="18"/>
          <w:szCs w:val="18"/>
        </w:rPr>
        <w:t xml:space="preserve">: The purchase of a </w:t>
      </w:r>
      <w:hyperlink w:anchor="_Toc22"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will be invoiced to Customer (or its reseller) either on an upfront or annual basis, according to the terms of Customer's volume licensing agreement governing payment terms for the order of Online Services generally.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cannot be applied to the purchase of a </w:t>
      </w:r>
      <w:hyperlink w:anchor="_Toc22"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provided, however, that if a </w:t>
      </w:r>
      <w:hyperlink w:anchor="_Toc22"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includes the purchase of an initial quantity of a service ("Initial Quantity"), Customer usage that exceeds the Initial Quantity will be billed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and Customer's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 be applied to such usage.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reservations</w:t>
      </w:r>
      <w:r>
        <w:rPr>
          <w:rFonts w:ascii="Segoe UI" w:eastAsia="Times New Roman" w:hAnsi="Segoe UI" w:cs="Segoe UI"/>
          <w:color w:val="505050"/>
          <w:sz w:val="18"/>
          <w:szCs w:val="18"/>
        </w:rPr>
        <w:t xml:space="preserve">: The purchase of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will be deducted automatically from any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exceeds the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Azure reserved instances for a virtual machine or Azure SQL Database services cover compute only (the base rate) and do not include the cost of the software (e.g., Windows Server or SQL Server), storage or back-up. Conversely, Azure reserved instances for software do not include the cost of compute. </w:t>
      </w:r>
    </w:p>
    <w:p>
      <w:pPr>
        <w:numPr>
          <w:ilvl w:val="0"/>
          <w:numId w:val="20"/>
        </w:numPr>
        <w:spacing w:before="100" w:beforeAutospacing="1" w:line="240" w:lineRule="auto"/>
        <w:ind w:left="600"/>
        <w:rPr>
          <w:rFonts w:ascii="Segoe UI" w:eastAsia="Times New Roman" w:hAnsi="Segoe UI" w:cs="Segoe UI"/>
          <w:color w:val="505050"/>
          <w:sz w:val="18"/>
          <w:szCs w:val="18"/>
        </w:rPr>
      </w:pP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The purchase of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will be deducted automatically from any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exceeds the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covers compute only (the base rate) and does not include the cost of the software (e.g., Windows Server or SQL Server), storage or back-up.</w:t>
      </w:r>
    </w:p>
    <w:p>
      <w:pPr>
        <w:pStyle w:val="Heading3"/>
        <w:spacing w:before="150" w:beforeAutospacing="0"/>
        <w:rPr>
          <w:rFonts w:eastAsia="Times New Roman"/>
          <w:color w:val="0078D4"/>
          <w:sz w:val="26"/>
          <w:szCs w:val="26"/>
        </w:rPr>
      </w:pPr>
      <w:r>
        <w:rPr>
          <w:rFonts w:eastAsia="Times New Roman"/>
          <w:color w:val="0078D4"/>
          <w:sz w:val="26"/>
          <w:szCs w:val="26"/>
        </w:rPr>
        <w:t>Five Year Reservations for Azure VMs</w:t>
      </w:r>
    </w:p>
    <w:p>
      <w:pPr>
        <w:pStyle w:val="NormalWeb"/>
        <w:spacing w:after="150"/>
      </w:pPr>
      <w:r>
        <w:t xml:space="preserve">As an exception to the general terms for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we offer five year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terms for select VM families. The early termination fee for a five-year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is 35%. Microsoft reserves the right during a five-year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to move Customer to a newer version of the HB series for reasons including, but not limited to, unavailability of parts for maintenance or lack of support from the hardware vendor. In such cases, the new version and hardware configuration will provide at least the same level of performance.</w:t>
      </w:r>
    </w:p>
    <w:p>
      <w:pPr>
        <w:pStyle w:val="Heading3"/>
        <w:spacing w:before="150" w:beforeAutospacing="0"/>
        <w:rPr>
          <w:rFonts w:eastAsia="Times New Roman"/>
          <w:color w:val="0078D4"/>
          <w:sz w:val="26"/>
          <w:szCs w:val="26"/>
        </w:rPr>
      </w:pPr>
      <w:r>
        <w:rPr>
          <w:rFonts w:eastAsia="Times New Roman"/>
          <w:color w:val="0078D4"/>
          <w:sz w:val="26"/>
          <w:szCs w:val="26"/>
        </w:rPr>
        <w:t>Azure Reservation Options</w:t>
      </w:r>
    </w:p>
    <w:p>
      <w:pPr>
        <w:pStyle w:val="NormalWeb"/>
        <w:spacing w:after="150"/>
      </w:pPr>
      <w:r>
        <w:t xml:space="preserve">The following options apply to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has purchased.</w:t>
      </w:r>
    </w:p>
    <w:p>
      <w:pPr>
        <w:numPr>
          <w:ilvl w:val="0"/>
          <w:numId w:val="76"/>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Exchange</w:t>
      </w:r>
      <w:r>
        <w:rPr>
          <w:rFonts w:ascii="Segoe UI" w:eastAsia="Times New Roman" w:hAnsi="Segoe UI" w:cs="Segoe UI"/>
          <w:color w:val="505050"/>
          <w:sz w:val="18"/>
          <w:szCs w:val="18"/>
        </w:rPr>
        <w:t xml:space="preserve">: is an option that allows Customer to apply the monetary value of a remaining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to the purchase of one or more new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of equal or greater monetary value for the same service.</w:t>
      </w:r>
    </w:p>
    <w:p>
      <w:pPr>
        <w:numPr>
          <w:ilvl w:val="0"/>
          <w:numId w:val="7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Cancel</w:t>
      </w:r>
      <w:r>
        <w:rPr>
          <w:rFonts w:ascii="Segoe UI" w:eastAsia="Times New Roman" w:hAnsi="Segoe UI" w:cs="Segoe UI"/>
          <w:color w:val="505050"/>
          <w:sz w:val="18"/>
          <w:szCs w:val="18"/>
        </w:rPr>
        <w:t xml:space="preserve">: is an option that allows Customer to receive a prorated refund based on a remaining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minus an early termination fee (currently 12 percent) and subject to a cancellation limit set by Microsoft (currently $50,000 per year).</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Azure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Windows Server</w:t>
      </w:r>
    </w:p>
    <w:p>
      <w:pPr>
        <w:pStyle w:val="NormalWeb"/>
        <w:spacing w:after="150"/>
      </w:pPr>
      <w:r>
        <w:t>Customer may use the Microsoft Azure Hybrid Benefit in its own Microsoft Azure account. Customer may use Standard or Datacenter software. The following Windows Server licenses with an active subscription or Software Assurance are eligible for the Microsoft Azure Hybrid Benefit:</w:t>
      </w:r>
    </w:p>
    <w:p>
      <w:pPr>
        <w:numPr>
          <w:ilvl w:val="0"/>
          <w:numId w:val="7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core licenses</w:t>
      </w:r>
    </w:p>
    <w:p>
      <w:pPr>
        <w:numPr>
          <w:ilvl w:val="0"/>
          <w:numId w:val="7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processor licenses</w:t>
      </w:r>
    </w:p>
    <w:p>
      <w:pPr>
        <w:numPr>
          <w:ilvl w:val="1"/>
          <w:numId w:val="7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Each processor license is equivalent to 16 core licenses.</w:t>
      </w:r>
    </w:p>
    <w:p>
      <w:pPr>
        <w:pStyle w:val="Heading5"/>
        <w:rPr>
          <w:rFonts w:eastAsia="Times New Roman"/>
        </w:rPr>
      </w:pPr>
      <w:r>
        <w:rPr>
          <w:rFonts w:eastAsia="Times New Roman"/>
        </w:rPr>
        <w:t>License Allocation for VM Licensing</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eligible core licenses to cover all Virtual Cores on the VM(s) that are running.</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minimum number of core licenses required per VM is 8.</w:t>
      </w:r>
    </w:p>
    <w:p>
      <w:pPr>
        <w:pStyle w:val="Heading5"/>
        <w:rPr>
          <w:rFonts w:eastAsia="Times New Roman"/>
        </w:rPr>
      </w:pPr>
      <w:r>
        <w:rPr>
          <w:rFonts w:eastAsia="Times New Roman"/>
        </w:rPr>
        <w:t>License Allocation for Dedicated Host Licensing (Datacenter only)</w:t>
      </w:r>
    </w:p>
    <w:p>
      <w:pPr>
        <w:numPr>
          <w:ilvl w:val="0"/>
          <w:numId w:val="7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Windows Server Datacenter core licenses to cover all Physical Cores available to Customer on a Dedicated Host.</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unlimited Virtual Machines on that host/cluster.</w:t>
      </w:r>
    </w:p>
    <w:p>
      <w:pPr>
        <w:pStyle w:val="Heading5"/>
        <w:rPr>
          <w:rFonts w:eastAsia="Times New Roman"/>
        </w:rPr>
      </w:pPr>
      <w:r>
        <w:rPr>
          <w:rFonts w:eastAsia="Times New Roman"/>
        </w:rPr>
        <w:t>Azure Migration Allowance</w:t>
      </w:r>
    </w:p>
    <w:p>
      <w:pPr>
        <w:pStyle w:val="NormalWeb"/>
      </w:pPr>
      <w:r>
        <w:t>Aside from the migration allowances below, once licenses are allocated to Azure, Customer may not use them anywhere else. After at least 90 days have passed, Customer may elect to stop using them for the Azure Hybrid Benefit. </w:t>
      </w:r>
    </w:p>
    <w:p>
      <w:pPr>
        <w:numPr>
          <w:ilvl w:val="0"/>
          <w:numId w:val="79"/>
        </w:numPr>
        <w:spacing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VM Licensing</w:t>
      </w:r>
    </w:p>
    <w:p>
      <w:pPr>
        <w:numPr>
          <w:ilvl w:val="1"/>
          <w:numId w:val="7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 When migrating workloads to Azure, Customer may also continue to use its licensed software on devices for a period of 180 days from when the licenses are allocated to Azure.</w:t>
      </w:r>
    </w:p>
    <w:p>
      <w:pPr>
        <w:numPr>
          <w:ilvl w:val="1"/>
          <w:numId w:val="7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Datacenter: When migrating workloads to Azure, Customer may also continue to use its licensed software on devices indefinitely.</w:t>
      </w:r>
    </w:p>
    <w:p>
      <w:pPr>
        <w:numPr>
          <w:ilvl w:val="0"/>
          <w:numId w:val="79"/>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Dedicated Host Licensing</w:t>
      </w:r>
    </w:p>
    <w:p>
      <w:pPr>
        <w:numPr>
          <w:ilvl w:val="1"/>
          <w:numId w:val="7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SQL Server</w:t>
      </w:r>
    </w:p>
    <w:p>
      <w:pPr>
        <w:pStyle w:val="NormalWeb"/>
        <w:spacing w:after="150"/>
      </w:pPr>
      <w:r>
        <w:t>Customer may use the Microsoft Azure Hybrid Benefit in its own Microsoft Azure account. The Qualified Licenses in the table below may be used for the Microsoft Azure Data Service in the specified ratios.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00"/>
        <w:gridCol w:w="5274"/>
        <w:gridCol w:w="24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Qualified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Data Service</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Ratio of Qualified Licenses to Azure vCores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vCPUs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 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bl>
    <w:p>
      <w:pPr>
        <w:pStyle w:val="NormalWeb"/>
      </w:pPr>
      <w:r>
        <w:rPr>
          <w:vertAlign w:val="superscript"/>
        </w:rPr>
        <w:t>1</w:t>
      </w:r>
      <w:r>
        <w:rPr>
          <w:i/>
          <w:iCs/>
        </w:rPr>
        <w:t>Azure Hybrid Benefit is not available in the serverless compute tier of Azure SQL Database.</w:t>
      </w:r>
    </w:p>
    <w:p>
      <w:pPr>
        <w:pStyle w:val="NormalWeb"/>
        <w:spacing w:before="150"/>
      </w:pPr>
      <w:r>
        <w:rPr>
          <w:i/>
          <w:iCs/>
          <w:vertAlign w:val="superscript"/>
        </w:rPr>
        <w:t>2</w:t>
      </w:r>
      <w:r>
        <w:rPr>
          <w:i/>
          <w:iCs/>
        </w:rPr>
        <w:t>Subject to a minimum of four Core Licenses per Virtual Machine.</w:t>
      </w:r>
    </w:p>
    <w:p>
      <w:pPr>
        <w:pStyle w:val="Heading5"/>
        <w:rPr>
          <w:rFonts w:eastAsia="Times New Roman"/>
        </w:rPr>
      </w:pPr>
      <w:r>
        <w:rPr>
          <w:rFonts w:eastAsia="Times New Roman"/>
        </w:rPr>
        <w:t>Azure Migration Allowance</w:t>
      </w:r>
    </w:p>
    <w:p>
      <w:pPr>
        <w:pStyle w:val="NormalWeb"/>
      </w:pPr>
      <w:r>
        <w:t>Aside from the migration allowance below, once licenses are allocated to Azure, Customer may not use them anywhere else. After at least 90 days have passed, Customer may elect to stop using them for the Azure Hybrid Benefit. </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5"/>
        <w:rPr>
          <w:rFonts w:eastAsia="Times New Roman"/>
        </w:rPr>
      </w:pPr>
      <w:r>
        <w:rPr>
          <w:rFonts w:eastAsia="Times New Roman"/>
        </w:rPr>
        <w:t>Fail-over Rights for SQL Server Standard/Enterprise Virtual Machines</w:t>
      </w:r>
    </w:p>
    <w:p>
      <w:pPr>
        <w:pStyle w:val="NormalWeb"/>
      </w:pPr>
      <w:r>
        <w:t>When allocating SQL Server Licenses for use under the Azure Hybrid Benefit for SQL Server, Customer is entitled to the respective fail-over rights for the Azure service in use (see Service Specific Terms below).</w:t>
      </w:r>
    </w:p>
    <w:p>
      <w:pPr>
        <w:pStyle w:val="Heading5"/>
        <w:rPr>
          <w:rFonts w:eastAsia="Times New Roman"/>
        </w:rPr>
      </w:pPr>
      <w:r>
        <w:rPr>
          <w:rFonts w:eastAsia="Times New Roman"/>
        </w:rPr>
        <w:t>SQL Server Enterprise Core Unlimited Virtualization Rights</w:t>
      </w:r>
    </w:p>
    <w:p>
      <w:pPr>
        <w:pStyle w:val="NormalWeb"/>
      </w:pPr>
      <w:r>
        <w:t>Customer may alternatively allocate enough SQL Server Enterprise core licenses to cover all Physical Cores available to Customer on an Azure Dedicated Host and run unlimited Virtual Machines on that host.</w:t>
      </w:r>
    </w:p>
    <w:p>
      <w:pPr>
        <w:pStyle w:val="Heading5"/>
        <w:rPr>
          <w:rFonts w:eastAsia="Times New Roman"/>
        </w:rPr>
      </w:pPr>
      <w:r>
        <w:rPr>
          <w:rFonts w:eastAsia="Times New Roman"/>
        </w:rPr>
        <w:t>Limited Hosting Rights for SQL Managed Instance enabled by Azure Arc</w:t>
      </w:r>
    </w:p>
    <w:p>
      <w:pPr>
        <w:pStyle w:val="NormalWeb"/>
      </w:pPr>
      <w:r>
        <w:t>When using the Azure Hybrid Benefit, paragraph 3 of the Service Specific terms for SQL Managed Instance enabled by Azure Arc does not apply. Customer is entitled only to run its SQL Managed Instance enabled by Azure Arc containers on Microsoft Azure, its own Servers, or Servers under the day-to-day management and control of Authorized Outsourcers, regardless of whether those Servers are dedicated to Customer or not.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Conditions</w:t>
      </w:r>
    </w:p>
    <w:p>
      <w:pPr>
        <w:pStyle w:val="NormalWeb"/>
        <w:spacing w:after="150"/>
      </w:pPr>
      <w:r>
        <w:t>The Azure Virtual Desktop control plane may only be used to manage Azure Virtual Desktop VMs running on Azure. Windows Enterprise multi-session is limited for use on Azure Virtual Desktop VMs running on Azure only.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 Server</w:t>
      </w:r>
    </w:p>
    <w:p>
      <w:pPr>
        <w:pStyle w:val="NormalWeb"/>
        <w:spacing w:after="150"/>
      </w:pPr>
      <w:r>
        <w:t>Users licensed with RDS User CALs with SA or RDS User Subscription Licenses or using devices licensed with RDS Device CALs with SA may access Azure Virtual Desktop Windows Server virtual machines running in Customer's Microsoft Azure accounts.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 </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Dev/Test Pricing</w:t>
      </w:r>
    </w:p>
    <w:p>
      <w:pPr>
        <w:pStyle w:val="NormalWeb"/>
        <w:spacing w:after="150"/>
      </w:pPr>
      <w:r>
        <w:t>Customer may be eligible for Azure dev/test pricing for Azure Services accessed by (i) its Qualified Licensed Users solely for development and test purposes, and (ii) its users performing acceptance tests and providing feedback related to those development and test activities. “Qualified Licensed Users” means users allocated Visual Studio subscriptions or MSDN Platform subscriptions with active Software Assurance. See Azure.com (</w:t>
      </w:r>
      <w:hyperlink r:id="rId147" w:tgtFrame="_blank" w:history="1">
        <w:r>
          <w:rPr>
            <w:rStyle w:val="Hyperlink"/>
            <w:color w:val="505050"/>
          </w:rPr>
          <w:t>https://azure.microsoft.com/pricing/dev-test/</w:t>
        </w:r>
      </w:hyperlink>
      <w:r>
        <w:t>) for eligibility criteria and applicable services.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Restriction on U.S. Police Department Use of Azure Facial Recognition Services  </w:t>
      </w:r>
    </w:p>
    <w:p>
      <w:pPr>
        <w:pStyle w:val="NormalWeb"/>
        <w:spacing w:after="150"/>
      </w:pPr>
      <w:r>
        <w:t xml:space="preserve">Customer may not use </w:t>
      </w:r>
      <w:hyperlink w:anchor="_Toc22" w:tooltip="Azure Facial Recognition Services means facial recognition features or functionality included in Azure Services, such as Face; or the facial recognition functionality in Azure Video Analyzer for Media." w:history="1">
        <w:r>
          <w:rPr>
            <w:rStyle w:val="Hyperlink"/>
            <w:color w:val="505050"/>
          </w:rPr>
          <w:t>Azure Facial Recognition Services</w:t>
        </w:r>
      </w:hyperlink>
      <w:r>
        <w:t xml:space="preserve"> if Customer is, or is allowing use of such services by or for, a police department in the United States. Violation of any of the restrictions in this section may result in immediate suspension of Customer’s use of the service.</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Professional Services, Azure Media Services H.265/HEV Encoding, Adobe Flash Player, H.264/AVC Visual Standard, and VC-1 Video Standard in </w:t>
      </w:r>
      <w:hyperlink r:id="rId114" w:tgtFrame="_blank" w:history="1">
        <w:r>
          <w:rPr>
            <w:rStyle w:val="Hyperlink"/>
            <w:color w:val="505050"/>
          </w:rPr>
          <w:t>Notices</w:t>
        </w:r>
      </w:hyperlink>
      <w:r>
        <w:t xml:space="preserve"> apply.  Any deployment services provided to Customer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Refer to </w:t>
      </w:r>
      <w:hyperlink r:id="rId148" w:tgtFrame="_blank" w:history="1">
        <w:r>
          <w:rPr>
            <w:rStyle w:val="Hyperlink"/>
            <w:color w:val="505050"/>
          </w:rPr>
          <w:t>http://azure.microsoft.com/support/legal/sla/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Limitations</w:t>
      </w:r>
    </w:p>
    <w:p>
      <w:pPr>
        <w:pStyle w:val="NormalWeb"/>
        <w:spacing w:after="150"/>
      </w:pPr>
      <w:r>
        <w:t>Customer may not</w:t>
      </w:r>
    </w:p>
    <w:p>
      <w:pPr>
        <w:numPr>
          <w:ilvl w:val="0"/>
          <w:numId w:val="8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Azure Services, or</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Azure Service feature that is made available on a per user basis (e.g., Microsoft Entra ID). Specific reassignment terms applicable to a Microsoft Azure Service feature may be provided in supplemental documentation for that feature.</w:t>
      </w:r>
    </w:p>
    <w:p>
      <w:pPr>
        <w:pStyle w:val="Heading3"/>
        <w:spacing w:before="150" w:beforeAutospacing="0"/>
        <w:rPr>
          <w:rFonts w:eastAsia="Times New Roman"/>
          <w:color w:val="0078D4"/>
          <w:sz w:val="26"/>
          <w:szCs w:val="26"/>
        </w:rPr>
      </w:pPr>
      <w:r>
        <w:rPr>
          <w:rFonts w:eastAsia="Times New Roman"/>
          <w:color w:val="0078D4"/>
          <w:sz w:val="26"/>
          <w:szCs w:val="26"/>
        </w:rPr>
        <w:t>Retirement of Services or Features</w:t>
      </w:r>
    </w:p>
    <w:p>
      <w:pPr>
        <w:pStyle w:val="NormalWeb"/>
        <w:spacing w:after="150"/>
      </w:pPr>
      <w:r>
        <w:t>Microsoft will provide Customer with 12 months’ notice before removing any material feature or functionality or discontinuing a service, unless security, legal or system performance considerations require an expedited removal. This does not apply to Previews.</w:t>
      </w:r>
    </w:p>
    <w:p>
      <w:pPr>
        <w:pStyle w:val="Heading3"/>
        <w:spacing w:before="150" w:beforeAutospacing="0"/>
        <w:rPr>
          <w:rFonts w:eastAsia="Times New Roman"/>
          <w:color w:val="0078D4"/>
          <w:sz w:val="26"/>
          <w:szCs w:val="26"/>
        </w:rPr>
      </w:pPr>
      <w:r>
        <w:rPr>
          <w:rFonts w:eastAsia="Times New Roman"/>
          <w:color w:val="0078D4"/>
          <w:sz w:val="26"/>
          <w:szCs w:val="26"/>
        </w:rPr>
        <w:t>Data Retention after Expiration or Termination</w:t>
      </w:r>
    </w:p>
    <w:p>
      <w:pPr>
        <w:pStyle w:val="NormalWeb"/>
        <w:spacing w:after="150"/>
      </w:pPr>
      <w:r>
        <w:t>The expiration or termination of Customer’s Online Service subscription will not change Customer’s obligation to pay for hosting of Customer Data during any Extended Term.</w:t>
      </w:r>
    </w:p>
    <w:p>
      <w:pPr>
        <w:pStyle w:val="Heading3"/>
        <w:spacing w:before="150" w:beforeAutospacing="0"/>
        <w:rPr>
          <w:rFonts w:eastAsia="Times New Roman"/>
          <w:color w:val="0078D4"/>
          <w:sz w:val="26"/>
          <w:szCs w:val="26"/>
        </w:rPr>
      </w:pPr>
      <w:r>
        <w:rPr>
          <w:rFonts w:eastAsia="Times New Roman"/>
          <w:color w:val="0078D4"/>
          <w:sz w:val="26"/>
          <w:szCs w:val="26"/>
        </w:rPr>
        <w:t>Azure Customer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create and maintain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Despite anything to the contrary in Customer's licensing agreement, Customer may permit third parties to access and use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solely in connection with the use of that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NormalWeb"/>
        <w:spacing w:before="150"/>
      </w:pPr>
      <w:r>
        <w:t xml:space="preserve">Customer is responsible for: (1) ensuring that third parties who access, use or distribute the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comply with these terms, the terms and conditions of Customer's licensing agreement, and all applicable laws; and (2) obtaining any necessary licenses related to </w:t>
      </w:r>
      <w:hyperlink w:anchor="_Toc22"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2"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Use of Software within Microsoft Azure</w:t>
      </w:r>
    </w:p>
    <w:p>
      <w:pPr>
        <w:pStyle w:val="NormalWeb"/>
        <w:spacing w:after="150"/>
      </w:pPr>
      <w:r>
        <w:t xml:space="preserve">For Microsoft software available within a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 xml:space="preserve">, Microsoft grants Customer a limited license to use the software only within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Center Availability</w:t>
      </w:r>
    </w:p>
    <w:p>
      <w:pPr>
        <w:pStyle w:val="NormalWeb"/>
        <w:spacing w:after="150"/>
      </w:pPr>
      <w:r>
        <w:t xml:space="preserve">Usage of data centers in certain regions may be restricted to Customers located in or near that region. For information on service availability by region, please refer to </w:t>
      </w:r>
      <w:hyperlink r:id="rId149" w:tgtFrame="_blank" w:history="1">
        <w:r>
          <w:rPr>
            <w:rStyle w:val="Hyperlink"/>
            <w:color w:val="505050"/>
          </w:rPr>
          <w:t>http://azure.microsoft.com/en-us/regions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Sharing</w:t>
      </w:r>
    </w:p>
    <w:p>
      <w:pPr>
        <w:pStyle w:val="NormalWeb"/>
        <w:spacing w:after="150"/>
      </w:pPr>
      <w:r>
        <w:t xml:space="preserve">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may provide the ability to share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with other Azure users and communities, or other third parties. If Customer chooses to engage in such sharing, Customer agrees that it is giving a license to all authorized users, including the rights to use, modify, and repost its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the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Customer is allowing Microsoft to make them available to such users in a manner and location of its choosing.</w:t>
      </w:r>
    </w:p>
    <w:p>
      <w:pPr>
        <w:pStyle w:val="Heading3"/>
        <w:spacing w:before="150" w:beforeAutospacing="0"/>
        <w:rPr>
          <w:rFonts w:eastAsia="Times New Roman"/>
          <w:color w:val="0078D4"/>
          <w:sz w:val="26"/>
          <w:szCs w:val="26"/>
        </w:rPr>
      </w:pPr>
      <w:r>
        <w:rPr>
          <w:rFonts w:eastAsia="Times New Roman"/>
          <w:color w:val="0078D4"/>
          <w:sz w:val="26"/>
          <w:szCs w:val="26"/>
        </w:rPr>
        <w:t>Marketplace</w:t>
      </w:r>
    </w:p>
    <w:p>
      <w:pPr>
        <w:pStyle w:val="NormalWeb"/>
        <w:spacing w:after="150"/>
      </w:pPr>
      <w:r>
        <w:t xml:space="preserve">Microsoft Azure enables Customer to access or purchase products and services which are optimized for use with Azure through features such as the Microsoft Azure Marketplace and the Virtual Machine Gallery, subject to separate terms available at </w:t>
      </w:r>
      <w:hyperlink r:id="rId150" w:tgtFrame="_blank" w:history="1">
        <w:r>
          <w:rPr>
            <w:rStyle w:val="Hyperlink"/>
            <w:color w:val="505050"/>
          </w:rPr>
          <w:t>https://learn.microsoft.com/legal/marketplace/marketplace-terms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Search Services</w:t>
      </w:r>
    </w:p>
    <w:p>
      <w:pPr>
        <w:pStyle w:val="NormalWeb"/>
        <w:spacing w:after="150"/>
      </w:pPr>
      <w:r>
        <w:t xml:space="preserve">By using the Bing Search Services, Customer agrees to be bound by the terms available at </w:t>
      </w:r>
      <w:hyperlink r:id="rId151" w:tgtFrame="_blank" w:history="1">
        <w:r>
          <w:rPr>
            <w:rStyle w:val="Hyperlink"/>
            <w:color w:val="505050"/>
          </w:rPr>
          <w:t>https://www.microsoft.com/en-us/bing/apis/legal</w:t>
        </w:r>
      </w:hyperlink>
      <w:r>
        <w:t xml:space="preserve"> and </w:t>
      </w:r>
      <w:hyperlink r:id="rId152" w:tgtFrame="_blank" w:history="1">
        <w:r>
          <w:rPr>
            <w:rStyle w:val="Hyperlink"/>
            <w:color w:val="505050"/>
          </w:rPr>
          <w:t>https://learn.microsoft.com/en-us/bing/search-apis/bing-web-search/use-display-requirements</w:t>
        </w:r>
      </w:hyperlink>
      <w:r>
        <w:t xml:space="preserve"> which may be updated from time to time. Customer must use results it obtains from the Bing Search Services only in Internet Search Experiences (as defined in the use and display requirements) and must not cache or copy results.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Subscription License Suites</w:t>
      </w:r>
    </w:p>
    <w:p>
      <w:pPr>
        <w:pStyle w:val="NormalWeb"/>
        <w:spacing w:after="150"/>
      </w:pPr>
      <w:r>
        <w:t xml:space="preserve">In addition to User SLs, refer to </w:t>
      </w:r>
      <w:hyperlink r:id="rId52" w:tgtFrame="_blank" w:history="1">
        <w:r>
          <w:rPr>
            <w:rStyle w:val="Hyperlink"/>
            <w:color w:val="505050"/>
          </w:rPr>
          <w:t>Subscription License Suites</w:t>
        </w:r>
      </w:hyperlink>
      <w:r>
        <w:t xml:space="preserve"> for other SLs that fulfill requirements for Microsoft Entra ID, Microsoft Defender for Identity, and Microsoft Intune.</w:t>
      </w:r>
    </w:p>
    <w:p>
      <w:pPr>
        <w:pStyle w:val="Heading3"/>
        <w:spacing w:before="150" w:beforeAutospacing="0"/>
        <w:rPr>
          <w:rFonts w:eastAsia="Times New Roman"/>
          <w:color w:val="0078D4"/>
          <w:sz w:val="26"/>
          <w:szCs w:val="26"/>
        </w:rPr>
      </w:pPr>
      <w:r>
        <w:rPr>
          <w:rFonts w:eastAsia="Times New Roman"/>
          <w:color w:val="0078D4"/>
          <w:sz w:val="26"/>
          <w:szCs w:val="26"/>
        </w:rPr>
        <w:t>API Terms for Security Applications and Compliance Applications </w:t>
      </w:r>
    </w:p>
    <w:p>
      <w:pPr>
        <w:pStyle w:val="NormalWeb"/>
        <w:spacing w:after="150"/>
      </w:pPr>
      <w:r>
        <w:t>"</w:t>
      </w:r>
      <w:r>
        <w:rPr>
          <w:rStyle w:val="Strong"/>
        </w:rPr>
        <w:t>Compliance Application</w:t>
      </w:r>
      <w:r>
        <w:t>" means a software program or service built exclusively to ensure that an organization is complying with their security-related requirements.  </w:t>
      </w:r>
    </w:p>
    <w:p>
      <w:pPr>
        <w:pStyle w:val="NormalWeb"/>
        <w:spacing w:before="150"/>
      </w:pPr>
      <w:r>
        <w:t>"</w:t>
      </w:r>
      <w:r>
        <w:rPr>
          <w:rStyle w:val="Strong"/>
        </w:rPr>
        <w:t>Security Application</w:t>
      </w:r>
      <w:r>
        <w:t>" means a software program or service built exclusively to protect and defend the information and technology assets of an enterprise.  </w:t>
      </w:r>
    </w:p>
    <w:p>
      <w:pPr>
        <w:pStyle w:val="NormalWeb"/>
        <w:spacing w:before="150"/>
      </w:pPr>
      <w:r>
        <w:t>"</w:t>
      </w:r>
      <w:r>
        <w:rPr>
          <w:rStyle w:val="Strong"/>
        </w:rPr>
        <w:t>End User</w:t>
      </w:r>
      <w:r>
        <w:t>" refers to the end-user of the Security Application or Compliance Application. </w:t>
      </w:r>
    </w:p>
    <w:p>
      <w:pPr>
        <w:pStyle w:val="NormalWeb"/>
        <w:spacing w:before="150"/>
      </w:pPr>
      <w:r>
        <w:t>"</w:t>
      </w:r>
      <w:r>
        <w:rPr>
          <w:rStyle w:val="Strong"/>
        </w:rPr>
        <w:t>Customer</w:t>
      </w:r>
      <w:r>
        <w:t>" refers to the registered owner of the Azure subscription where the Security Application or Compliance Application is registered with Microsoft Entra ID. </w:t>
      </w:r>
    </w:p>
    <w:p>
      <w:pPr>
        <w:pStyle w:val="NormalWeb"/>
        <w:spacing w:before="150"/>
      </w:pPr>
      <w:r>
        <w:t xml:space="preserve">The following terms and conditions apply to </w:t>
      </w:r>
      <w:r>
        <w:rPr>
          <w:rStyle w:val="Strong"/>
        </w:rPr>
        <w:t>Microsoft Purview eDiscovery APIs in Microsoft Graph</w:t>
      </w:r>
      <w:r>
        <w:t>:</w:t>
      </w:r>
    </w:p>
    <w:p>
      <w:pPr>
        <w:numPr>
          <w:ilvl w:val="0"/>
          <w:numId w:val="8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End User must have one of the following Microsoft 365 E5 eligible licenses: Microsoft 365 E5/A5/G5, Microsoft Purview Suite, or Microsoft 365 E5 eDiscovery &amp; Audit.</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will bill Customer for all commercial consumption of the data generated in the review set that exceeds the included monthly seeded allowance per End User tenant. </w:t>
      </w:r>
    </w:p>
    <w:p>
      <w:pPr>
        <w:pStyle w:val="NormalWeb"/>
        <w:spacing w:before="150"/>
      </w:pPr>
      <w:r>
        <w:t>These terms and conditions supersede any terms and conditions contained elsewhere, including the Microsoft APIs Terms of Use [</w:t>
      </w:r>
      <w:hyperlink r:id="rId153" w:tgtFrame="_blank" w:history="1">
        <w:r>
          <w:rPr>
            <w:rStyle w:val="Hyperlink"/>
            <w:color w:val="505050"/>
          </w:rPr>
          <w:t>https://docs.microsoft.com/en-us/legal/microsoft-apis/terms-of-use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Databricks</w:t>
      </w:r>
    </w:p>
    <w:p>
      <w:pPr>
        <w:pStyle w:val="NormalWeb"/>
        <w:spacing w:after="150"/>
      </w:pPr>
      <w:r>
        <w:t xml:space="preserve">Any third-party models that Microsoft makes available in Azure Databricks are deemed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Basic</w:t>
      </w:r>
    </w:p>
    <w:p>
      <w:pPr>
        <w:pStyle w:val="NormalWeb"/>
        <w:spacing w:after="150"/>
      </w:pPr>
      <w:r>
        <w:t>Customer may, using Single Sign-On, pre-integrate unlimited Applications/Custom Applications per User SL. This covers Microsoft as well as third party applications.</w:t>
      </w:r>
    </w:p>
    <w:p>
      <w:pPr>
        <w:pStyle w:val="Heading3"/>
        <w:spacing w:before="150" w:beforeAutospacing="0"/>
        <w:rPr>
          <w:rFonts w:eastAsia="Times New Roman"/>
          <w:color w:val="0078D4"/>
          <w:sz w:val="26"/>
          <w:szCs w:val="26"/>
        </w:rPr>
      </w:pPr>
      <w:r>
        <w:rPr>
          <w:rFonts w:eastAsia="Times New Roman"/>
          <w:color w:val="0078D4"/>
          <w:sz w:val="26"/>
          <w:szCs w:val="26"/>
        </w:rPr>
        <w:t>Microsoft Entra ID</w:t>
      </w:r>
    </w:p>
    <w:p>
      <w:pPr>
        <w:pStyle w:val="NormalWeb"/>
        <w:spacing w:after="150"/>
      </w:pPr>
      <w:r>
        <w:t>Customer may, using Single Sign-On, pre-integrate SaaS Applications/Custom Applications. Customer may not copy or distribute any data set (or any portion of a data set) included in the Microsoft Identity Manager software that is included with a Microsoft Entra ID (P1 and P2) User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External User Allowance</w:t>
      </w:r>
    </w:p>
    <w:p>
      <w:pPr>
        <w:pStyle w:val="NormalWeb"/>
        <w:spacing w:after="150"/>
      </w:pPr>
      <w:r>
        <w:t xml:space="preserve">For each User SL (or equivalent Subscription License Suite) Customer assigns to a user, Customer may also permit up to five additional </w:t>
      </w:r>
      <w:hyperlink w:anchor="_Toc22" w:tooltip="see Glossary for full definition." w:history="1">
        <w:r>
          <w:rPr>
            <w:rStyle w:val="Hyperlink"/>
            <w:color w:val="505050"/>
          </w:rPr>
          <w:t>External Users</w:t>
        </w:r>
      </w:hyperlink>
      <w:r>
        <w:t xml:space="preserve"> to access the corresponding Microsoft Entra ID service level. This option is not available to new customers nor customers using (or who have used) the service under a Monthly Active User count. </w:t>
      </w:r>
    </w:p>
    <w:p>
      <w:pPr>
        <w:pStyle w:val="NormalWeb"/>
        <w:spacing w:before="150"/>
      </w:pPr>
      <w:r>
        <w:t xml:space="preserve">Customers may use Microsoft Entra ID External Identities (including any applicable Add-on) only for their </w:t>
      </w:r>
      <w:hyperlink w:anchor="_Toc22" w:tooltip="see Glossary for full definition." w:history="1">
        <w:r>
          <w:rPr>
            <w:rStyle w:val="Hyperlink"/>
            <w:color w:val="505050"/>
          </w:rPr>
          <w:t>External Users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Governance</w:t>
      </w:r>
    </w:p>
    <w:p>
      <w:pPr>
        <w:pStyle w:val="NormalWeb"/>
        <w:spacing w:after="150"/>
      </w:pPr>
      <w:r>
        <w:t xml:space="preserve">Customers may use Microsoft Entra ID Governance for External Identities (including any applicable Add-on) only for their </w:t>
      </w:r>
      <w:hyperlink w:anchor="_Toc22" w:tooltip="see Glossary for full definition." w:history="1">
        <w:r>
          <w:rPr>
            <w:rStyle w:val="Hyperlink"/>
            <w:color w:val="505050"/>
          </w:rPr>
          <w:t>External Users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Windows Server and SQL Server management capabilities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certain Windows Server and SQL Server management capabilities enabled by Azure Arc only to Operating System Environments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SQL Managed Instance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Managed Instance enabled by Azure Arc licenses are not assigned to any given Server and are therefore not subject to the License Assignment and Reassignment clause.</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Licenses are billed according to the terms of the license meter. Customer must connect to Azure at least once every 30 days via direct connected mode or indirect export mode to report usage data. </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Notwithstanding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Customer may run SQL Managed Instance enabled by Azure Arc containers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Extended Security Updates enabled by Azure Arc only to Operating System Environments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 or</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been acquired as 'License-Included' services through a Service Provider License Agreement (SPLA) partner.</w:t>
      </w:r>
    </w:p>
    <w:p>
      <w:pPr>
        <w:pStyle w:val="NormalWeb"/>
        <w:spacing w:before="150"/>
      </w:pPr>
      <w:r>
        <w:t>In this context, "License-Included" refers to the scenario where Customer licenses Windows Server or SQL Server directly from a SPLA partner, rather than using their own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Disaster Recovery and Dev/Test Environments</w:t>
      </w:r>
    </w:p>
    <w:p>
      <w:pPr>
        <w:pStyle w:val="NormalWeb"/>
        <w:spacing w:after="150"/>
      </w:pPr>
      <w:r>
        <w:t xml:space="preserve">Customer may apply Extended Security Updates enabled by Azure Arc to the following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for no additional cost: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Customer's entitled Disaster Recovery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associated with its underlying software licenses.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Development, test, and related OSEs licensed with Microsoft Developer edition licenses or Visual Studio subscriptions.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Requirements</w:t>
      </w:r>
    </w:p>
    <w:p>
      <w:pPr>
        <w:pStyle w:val="NormalWeb"/>
        <w:spacing w:after="150"/>
      </w:pPr>
      <w:r>
        <w:t>For SQL Server Extended Security Updates Year 2 and subsequent versions, Customer is permitted to apply Extended Security Updates enabled by Azure Arc only if the Licensed Server is also covered with a SQL Server Extended Security Updates license for the preceding year.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Updated Software</w:t>
      </w:r>
    </w:p>
    <w:p>
      <w:pPr>
        <w:pStyle w:val="NormalWeb"/>
        <w:spacing w:after="150"/>
      </w:pPr>
      <w:r>
        <w:t>Customer may continue to use updated software after coverage expires. However, no future updates will be available if ESU subscription is terminated or cancelled.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pPr>
        <w:pStyle w:val="Heading3"/>
        <w:spacing w:before="150" w:beforeAutospacing="0"/>
        <w:rPr>
          <w:rFonts w:eastAsia="Times New Roman"/>
          <w:color w:val="0078D4"/>
          <w:sz w:val="26"/>
          <w:szCs w:val="26"/>
        </w:rPr>
      </w:pPr>
      <w:r>
        <w:rPr>
          <w:rFonts w:eastAsia="Times New Roman"/>
          <w:color w:val="0078D4"/>
          <w:sz w:val="26"/>
          <w:szCs w:val="26"/>
        </w:rPr>
        <w:t>SQL Server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w:t>
      </w:r>
    </w:p>
    <w:p>
      <w:pPr>
        <w:pStyle w:val="NormalWeb"/>
        <w:spacing w:after="150"/>
      </w:pPr>
      <w:r>
        <w:t>Notwithstanding the </w:t>
      </w:r>
      <w:hyperlink r:id="rId118" w:tgtFrame="_blank" w:history="1">
        <w:r>
          <w:rPr>
            <w:rStyle w:val="Hyperlink"/>
            <w:color w:val="505050"/>
          </w:rPr>
          <w:t>Outsourcing Software Management</w:t>
        </w:r>
      </w:hyperlink>
      <w:r>
        <w:t> clause, Customer may use SQL Server enabled by Azure Arc on its own devices, or devices under the day-to-day management and control of third parties, subject to the following exceptions:</w:t>
      </w:r>
    </w:p>
    <w:p>
      <w:pPr>
        <w:numPr>
          <w:ilvl w:val="0"/>
          <w:numId w:val="8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a license with Software Assurance or a subscription license, as opposed to pay-as-you-go subscription, Customer is only entitled to run SQL Server enabled by Azure Arc on its own devices or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physical core licensing with unlimited virtualization under a pay-as-you-go subscription, Customer is only entitled to run SQL Server enabled by Azure Arc on its own devices or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Unlimited Virtualization</w:t>
      </w:r>
    </w:p>
    <w:p>
      <w:pPr>
        <w:pStyle w:val="NormalWeb"/>
        <w:spacing w:after="150"/>
      </w:pPr>
      <w:r>
        <w:t>When using SQL Server enabled by Azure Arc with physical core licensing under a pay-as-you-go subscription, an Enterprise edition license with Software Assurance, or an Enterprise edition subscription license, customers may run any number of instances of the software in any number of OSEs on the Licensed Server, subject to the Outsourcing terms set forth above. Without limiting Microsoft's other remedies, if Customer fails to comply with these Outsourcing terms for any OSEs, Customer may be charged for consumption based on virtual core licensing for any period of non-compliance, and any physical core licensing will not apply to offset such charge.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 Fail-over Rights</w:t>
      </w:r>
    </w:p>
    <w:p>
      <w:pPr>
        <w:pStyle w:val="NormalWeb"/>
        <w:spacing w:after="150"/>
      </w:pPr>
      <w:r>
        <w:t xml:space="preserve">For each of its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2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2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server (subject to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1"/>
          <w:numId w:val="2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One on Microsoft Azure servers, subject to Ratio of Qualified Licenses to Azure vCores as stipulated in the Azure Hybrid Benefit terms for SQL Server.</w:t>
      </w:r>
    </w:p>
    <w:p>
      <w:pPr>
        <w:pStyle w:val="NormalWeb"/>
        <w:spacing w:before="150"/>
      </w:pPr>
      <w:r>
        <w:t>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Fail-over OSE:</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permitted for disaster recovery must be asynchronous and manual.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may not serve SQL Server data to users or devices or otherwise run active SQL Server workloads. The number of licenses that otherwise would be required for a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must not exceed the number of licenses required for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These fail-over rights require SA for both the Licensed Server and CALs, if any, and do not apply when Customer deploys SQL Software under </w:t>
      </w:r>
      <w:hyperlink r:id="rId15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2"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2"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pPr>
        <w:pStyle w:val="Heading3"/>
        <w:spacing w:before="150" w:beforeAutospacing="0"/>
        <w:rPr>
          <w:rFonts w:eastAsia="Times New Roman"/>
          <w:color w:val="0078D4"/>
          <w:sz w:val="26"/>
          <w:szCs w:val="26"/>
        </w:rPr>
      </w:pPr>
      <w:r>
        <w:rPr>
          <w:rFonts w:eastAsia="Times New Roman"/>
          <w:color w:val="0078D4"/>
          <w:sz w:val="26"/>
          <w:szCs w:val="26"/>
        </w:rPr>
        <w:t>Windows Server pay-as-you-go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the pay-as-you-go subscription option as long as it is (i) registered with Customer's Azure subscription and (ii) connected to Customer's Azure subscription over the Internet at least once every thirty (30) consecutive calendar days. Customer may not work around any mandatory registration or sign-up process for pay-as-you-go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have a valid Windows Server Standard or Windows Server Datacenter </w:t>
      </w:r>
      <w:hyperlink w:anchor="_Toc22" w:tooltip="License means the right to download, install, access and use a Product." w:history="1">
        <w:r>
          <w:rPr>
            <w:rStyle w:val="Hyperlink"/>
            <w:color w:val="505050"/>
          </w:rPr>
          <w:t>License</w:t>
        </w:r>
      </w:hyperlink>
      <w:r>
        <w:t xml:space="preserve"> to use the pay-as-you-go option. For </w:t>
      </w:r>
      <w:hyperlink w:anchor="_Toc22" w:tooltip="Licensed Server means a single Server to which a License is assigned.  See Glossary for full definition." w:history="1">
        <w:r>
          <w:rPr>
            <w:rStyle w:val="Hyperlink"/>
            <w:color w:val="505050"/>
          </w:rPr>
          <w:t>Licensed Servers</w:t>
        </w:r>
      </w:hyperlink>
      <w:r>
        <w:t xml:space="preserve"> running pay-as-you-go virtual machines, there are no restrictions on the number of pay-as-you-go virtual machines that can be deployed. Additional virtualization rights are not granted. For each </w:t>
      </w:r>
      <w:hyperlink w:anchor="_Toc22" w:tooltip="Licensed Server means a single Server to which a License is assigned. See Glossary for full definition." w:history="1">
        <w:r>
          <w:rPr>
            <w:rStyle w:val="Hyperlink"/>
            <w:color w:val="505050"/>
          </w:rPr>
          <w:t>Licensed Server</w:t>
        </w:r>
      </w:hyperlink>
      <w:r>
        <w:t xml:space="preserve"> that is running a pay-as-you-go virtual machine, Customer may run one instance in an operating system environment. A separate </w:t>
      </w:r>
      <w:hyperlink w:anchor="_Toc22" w:tooltip="License means the right to download, install, access and use a Product." w:history="1">
        <w:r>
          <w:rPr>
            <w:rStyle w:val="Hyperlink"/>
            <w:color w:val="505050"/>
          </w:rPr>
          <w:t>License</w:t>
        </w:r>
      </w:hyperlink>
      <w:r>
        <w:t xml:space="preserve"> is required for each guest.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 </w:t>
      </w:r>
    </w:p>
    <w:p>
      <w:pPr>
        <w:pStyle w:val="Heading3"/>
        <w:spacing w:before="150" w:beforeAutospacing="0"/>
        <w:rPr>
          <w:rFonts w:eastAsia="Times New Roman"/>
          <w:color w:val="0078D4"/>
          <w:sz w:val="26"/>
          <w:szCs w:val="26"/>
        </w:rPr>
      </w:pPr>
      <w:r>
        <w:rPr>
          <w:rFonts w:eastAsia="Times New Roman"/>
          <w:color w:val="0078D4"/>
          <w:sz w:val="26"/>
          <w:szCs w:val="26"/>
        </w:rPr>
        <w:t>Azure Communication Gateway</w:t>
      </w:r>
    </w:p>
    <w:p>
      <w:pPr>
        <w:pStyle w:val="NormalWeb"/>
        <w:spacing w:after="150"/>
      </w:pPr>
      <w:r>
        <w:t xml:space="preserve">Azure Communications Gateway is only available for use by </w:t>
      </w:r>
      <w:hyperlink w:anchor="_Toc22"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2" w:tooltip="Standards means any technology specification created by an organization or contractually-formed group whose activities include developing, promulgating, or otherwise producing technical standards to be used by adopters or implementers." w:history="1">
        <w:r>
          <w:rPr>
            <w:rStyle w:val="Hyperlink"/>
            <w:color w:val="505050"/>
          </w:rPr>
          <w:t>Standards</w:t>
        </w:r>
      </w:hyperlink>
      <w:r>
        <w:t xml:space="preserve"> in Azure Communications Gateway. Customer is responsible for obtaining any required licenses directly from the holders of such rights.</w:t>
      </w:r>
    </w:p>
    <w:p>
      <w:pPr>
        <w:pStyle w:val="Heading3"/>
        <w:spacing w:before="150" w:beforeAutospacing="0"/>
        <w:rPr>
          <w:rFonts w:eastAsia="Times New Roman"/>
          <w:color w:val="0078D4"/>
          <w:sz w:val="26"/>
          <w:szCs w:val="26"/>
        </w:rPr>
      </w:pPr>
      <w:r>
        <w:rPr>
          <w:rFonts w:eastAsia="Times New Roman"/>
          <w:color w:val="0078D4"/>
          <w:sz w:val="26"/>
          <w:szCs w:val="26"/>
        </w:rPr>
        <w:t>Azure Communication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4"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55"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 xml:space="preserve">Customer may only access and use Azure DevOps to develop and test Customer's application(s). Only one </w:t>
      </w:r>
      <w:hyperlink w:anchor="_Toc22" w:tooltip="Licensed User means the single person to whom a License is assigned." w:history="1">
        <w:r>
          <w:rPr>
            <w:rStyle w:val="Hyperlink"/>
            <w:color w:val="505050"/>
          </w:rPr>
          <w:t>Licensed User</w:t>
        </w:r>
      </w:hyperlink>
      <w:r>
        <w:t xml:space="preserve"> may access a virtual machine provided by Azure DevOps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Azure DevOps. Microsoft is responsible for complying with the terms for any such software included in Azure DevOps and will keep confidential any confidential information of Apple accessed as part of 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pPr>
        <w:pStyle w:val="Heading3"/>
        <w:spacing w:before="150" w:beforeAutospacing="0"/>
        <w:rPr>
          <w:rFonts w:eastAsia="Times New Roman"/>
          <w:color w:val="0078D4"/>
          <w:sz w:val="26"/>
          <w:szCs w:val="26"/>
        </w:rPr>
      </w:pPr>
      <w:r>
        <w:rPr>
          <w:rFonts w:eastAsia="Times New Roman"/>
          <w:color w:val="0078D4"/>
          <w:sz w:val="26"/>
          <w:szCs w:val="26"/>
        </w:rPr>
        <w:t>Azure DevTest Labs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Secrets in DevTest Labs</w:t>
      </w:r>
    </w:p>
    <w:p>
      <w:pPr>
        <w:pStyle w:val="NormalWeb"/>
        <w:spacing w:after="150"/>
      </w:pPr>
      <w:r>
        <w:t>Azure DevTest Labs automatically creates a key vault when a user saves a secret for the first time. Customer may not use this key vault to store anything other than DevTest Lab related passwords, SSH keys, or personal access tokens.</w:t>
      </w:r>
    </w:p>
    <w:p>
      <w:pPr>
        <w:pStyle w:val="Heading3"/>
        <w:spacing w:before="150" w:beforeAutospacing="0"/>
        <w:rPr>
          <w:rFonts w:eastAsia="Times New Roman"/>
          <w:color w:val="0078D4"/>
          <w:sz w:val="26"/>
          <w:szCs w:val="26"/>
        </w:rPr>
      </w:pPr>
      <w:r>
        <w:rPr>
          <w:rFonts w:eastAsia="Times New Roman"/>
          <w:color w:val="0078D4"/>
          <w:sz w:val="26"/>
          <w:szCs w:val="26"/>
        </w:rPr>
        <w:t>Microsoft Dev 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Permitted Usage</w:t>
      </w:r>
    </w:p>
    <w:p>
      <w:pPr>
        <w:pStyle w:val="NormalWeb"/>
        <w:spacing w:after="150"/>
      </w:pPr>
      <w:r>
        <w:t>Customer must use Microsoft Dev Box ("Dev Box") to design, develop, or test applications. Other use is permitted if Customer is also using Dev Box for one of the aforementioned purposes.</w:t>
      </w:r>
    </w:p>
    <w:p>
      <w:pPr>
        <w:pStyle w:val="NormalWeb"/>
        <w:spacing w:before="150"/>
      </w:pPr>
      <w:r>
        <w:t>Dev Box is not eligible for the Azure Customer Solution clause in the General Service Terms for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Microsoft Fabric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Power BI</w:t>
      </w:r>
    </w:p>
    <w:p>
      <w:pPr>
        <w:pStyle w:val="NormalWeb"/>
        <w:spacing w:after="150"/>
      </w:pPr>
      <w:r>
        <w:t xml:space="preserve">Customer's use of Power BI within Microsoft Fabric is subject to </w:t>
      </w:r>
      <w:hyperlink r:id="rId22" w:tgtFrame="_blank" w:history="1">
        <w:r>
          <w:rPr>
            <w:rStyle w:val="Hyperlink"/>
            <w:color w:val="505050"/>
          </w:rPr>
          <w:t>Power BI service specific terms</w:t>
        </w:r>
      </w:hyperlink>
      <w:r>
        <w:t xml:space="preserve"> and notices terms provided under the Power BI Platform section of these Online Services product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Healthcare Data Solutions in Fabric</w:t>
      </w:r>
    </w:p>
    <w:p>
      <w:pPr>
        <w:pStyle w:val="NormalWeb"/>
        <w:spacing w:after="150"/>
      </w:pPr>
      <w:r>
        <w:t>Access to Healthcare Data Solutions in Fabric requires a subscription to Microsoft Fabric. Healthcare Data Solutions in Fabric are subject to the Online Services terms governing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Workload Hub</w:t>
      </w:r>
    </w:p>
    <w:p>
      <w:pPr>
        <w:pStyle w:val="NormalWeb"/>
        <w:spacing w:after="150"/>
      </w:pPr>
      <w:r>
        <w:t xml:space="preserve">Publisher workloads offered through the Workload Hub are deemed to be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Firmware Analysis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w:t>
      </w:r>
    </w:p>
    <w:p>
      <w:pPr>
        <w:pStyle w:val="NormalWeb"/>
        <w:spacing w:after="150"/>
      </w:pPr>
      <w:r>
        <w:t>Customer may use the service only for its internal use and may not sell, lease, or market the service to third parties. Firmware Analysis results ("Analysis Results") may only be disclosed in accordance with the Disclosure section below. Customer's use of the Analysis Results is subject to the Acceptable Use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Maximum Uploads and Images</w:t>
      </w:r>
    </w:p>
    <w:p>
      <w:pPr>
        <w:pStyle w:val="NormalWeb"/>
        <w:spacing w:after="150"/>
      </w:pPr>
      <w:r>
        <w:t xml:space="preserve">Customer may load up to the maximum number of uploads and images in Customer's workspace in accordance with the workspace tier licensed by Customer as described in the Firmware Analysis documentation at </w:t>
      </w:r>
      <w:hyperlink r:id="rId156" w:tgtFrame="_blank" w:history="1">
        <w:r>
          <w:rPr>
            <w:rStyle w:val="Hyperlink"/>
            <w:color w:val="505050"/>
          </w:rPr>
          <w:t>https://aka.ms/firmwareanalysislicensing</w:t>
        </w:r>
      </w:hyperlink>
      <w:hyperlink r:id="rId156"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Warranties</w:t>
      </w:r>
    </w:p>
    <w:p>
      <w:pPr>
        <w:pStyle w:val="NormalWeb"/>
        <w:spacing w:after="150"/>
      </w:pPr>
      <w:r>
        <w:t>Microsoft makes no express or implied warranties regarding the accuracy, completeness, or reliability of information provided in the Analysis Results. The Analysis Results are only intended for informational purposes and should not be relied upon as a definitive measure of vulnerability assessment or system security.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Disclosure </w:t>
      </w:r>
    </w:p>
    <w:p>
      <w:pPr>
        <w:pStyle w:val="NormalWeb"/>
        <w:spacing w:after="150"/>
      </w:pPr>
      <w:r>
        <w:t>Subject to the restrictions in these Product Terms, Customer may disclose Analysis Results (a) to its contractors or vendors for use on Customer's behalf and (b) to the firmware owner. If Customer wants to disclose Analysis Results publicly, Customer must first: (a) independently verify the results, and (b) follow industry best practices for Coordinated Vulnerability Disclosure (CVD) such as Microsoft's approach to CVD (</w:t>
      </w:r>
      <w:hyperlink r:id="rId157" w:tgtFrame="_blank" w:history="1">
        <w:r>
          <w:rPr>
            <w:rStyle w:val="Hyperlink"/>
            <w:color w:val="505050"/>
          </w:rPr>
          <w:t>https://www.microsoft.com/msrc/cvd</w:t>
        </w:r>
      </w:hyperlink>
      <w:r>
        <w:t>) or as documented by CISA (</w:t>
      </w:r>
      <w:hyperlink r:id="rId158" w:tgtFrame="_blank" w:history="1">
        <w:r>
          <w:rPr>
            <w:rStyle w:val="Hyperlink"/>
            <w:color w:val="505050"/>
          </w:rPr>
          <w:t>https://www.cisa.gov/resources-tools/programs/coordinated-vulnerability-disclosure-program</w:t>
        </w:r>
      </w:hyperlink>
      <w:r>
        <w:t>). After completion of (a) and (b) and as part of any public disclosure, Customer must (x) reference the Firmware Analysis service as the source of the Analysis Results, and (y) include the following disclaimer: these Analysis Results are not a definitive measure of vulnerability assessment or system security.</w:t>
      </w:r>
    </w:p>
    <w:p>
      <w:pPr>
        <w:pStyle w:val="Heading3"/>
        <w:spacing w:before="150" w:beforeAutospacing="0"/>
        <w:rPr>
          <w:rFonts w:eastAsia="Times New Roman"/>
          <w:color w:val="0078D4"/>
          <w:sz w:val="26"/>
          <w:szCs w:val="26"/>
        </w:rPr>
      </w:pPr>
      <w:r>
        <w:rPr>
          <w:rFonts w:eastAsia="Times New Roman"/>
          <w:color w:val="0078D4"/>
          <w:sz w:val="26"/>
          <w:szCs w:val="26"/>
        </w:rPr>
        <w:t>Azure Health Bot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Obligations</w:t>
      </w:r>
    </w:p>
    <w:p>
      <w:pPr>
        <w:pStyle w:val="NormalWeb"/>
        <w:spacing w:after="150"/>
      </w:pPr>
      <w:r>
        <w:t xml:space="preserve">Customer is solely responsible for: (1) the accuracy and adequacy of information and Data furnished through use of the Azure Health Bot Service; (2) implementing a secure application-to-application authentication method between the </w:t>
      </w:r>
      <w:hyperlink w:anchor="_Toc22"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the Azure Health Bot Service; (3) obtaining appropriate consent from end users in connection with their use of the </w:t>
      </w:r>
      <w:hyperlink w:anchor="_Toc22"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(4) displaying appropriate warnings, disclaimers, and acknowledgements to end users in connection with their use of the </w:t>
      </w:r>
      <w:hyperlink w:anchor="_Toc22"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including, as applicable, those set forth in the following </w:t>
      </w:r>
      <w:hyperlink r:id="rId159" w:tgtFrame="_blank" w:history="1">
        <w:r>
          <w:rPr>
            <w:rStyle w:val="Hyperlink"/>
            <w:color w:val="505050"/>
          </w:rPr>
          <w:t>form</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IoT Operations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Use Cases</w:t>
      </w:r>
    </w:p>
    <w:p>
      <w:pPr>
        <w:pStyle w:val="NormalWeb"/>
        <w:spacing w:after="150"/>
      </w:pPr>
      <w:r>
        <w:t>For each instance of Azure IoT Operations in the below use cases, Customer may (1) allow a maximum of 5 users to access the operations experience portal; (2) configure its data flow endpoints to include a maximum of 50 concurrent endpoints; and (3) use the connector for OPC UA to enable connections to a maximum of 2 OPC UA servers. Use cases are as follows:  </w:t>
      </w:r>
    </w:p>
    <w:p>
      <w:pPr>
        <w:numPr>
          <w:ilvl w:val="0"/>
          <w:numId w:val="8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Production Use. Customer may install and use Azure IoT Operations. Customer may not use Azure IoT Operations on Listed Provider clouds.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Non-Production Use. Customer may install and use Azure IoT Operations on Listed Provider and non-Listed Provider clouds.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Trial Use. Customer may install and use Azure IoT Operations on Listed Provider and non-Listed Provider clouds as described at </w:t>
      </w:r>
      <w:hyperlink r:id="rId160" w:tgtFrame="_blank" w:history="1">
        <w:r>
          <w:rPr>
            <w:rStyle w:val="Hyperlink"/>
            <w:rFonts w:ascii="Segoe UI" w:eastAsia="Times New Roman" w:hAnsi="Segoe UI" w:cs="Segoe UI"/>
            <w:color w:val="505050"/>
            <w:sz w:val="18"/>
            <w:szCs w:val="18"/>
          </w:rPr>
          <w:t>https://aka.ms/AzureIoTOperations/pricing</w:t>
        </w:r>
      </w:hyperlink>
      <w:r>
        <w:rPr>
          <w:rFonts w:ascii="Segoe UI" w:eastAsia="Times New Roman" w:hAnsi="Segoe UI" w:cs="Segoe UI"/>
          <w:color w:val="505050"/>
          <w:sz w:val="18"/>
          <w:szCs w:val="18"/>
        </w:rP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Limitations </w:t>
      </w:r>
    </w:p>
    <w:p>
      <w:pPr>
        <w:pStyle w:val="NormalWeb"/>
        <w:spacing w:after="150"/>
      </w:pPr>
      <w:r>
        <w:t>For each use case of Azure IoT Operations above, Customer may not (1) separate the Azure IoT Operations components for use as a stand-alone product or with other products or services or (2) replace or substitute Azure IoT Operations components with third party components.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Components </w:t>
      </w:r>
    </w:p>
    <w:p>
      <w:pPr>
        <w:pStyle w:val="NormalWeb"/>
        <w:spacing w:after="150"/>
      </w:pPr>
      <w:r>
        <w:t xml:space="preserve">Azure IoT Operations may include other Microsoft components listed at </w:t>
      </w:r>
      <w:hyperlink r:id="rId161" w:tgtFrame="_blank" w:history="1">
        <w:r>
          <w:rPr>
            <w:rStyle w:val="Hyperlink"/>
            <w:color w:val="505050"/>
          </w:rPr>
          <w:t>https://aka.ms/AzureIoTOperations/Includedcomponents</w:t>
        </w:r>
      </w:hyperlink>
      <w:r>
        <w:t xml:space="preserve">. Use of these components, as described in the associated documentation at </w:t>
      </w:r>
      <w:hyperlink r:id="rId162" w:tgtFrame="_blank" w:history="1">
        <w:r>
          <w:rPr>
            <w:rStyle w:val="Hyperlink"/>
            <w:color w:val="505050"/>
          </w:rPr>
          <w:t>https://aka.ms/AzureIoTOperationsDocs</w:t>
        </w:r>
      </w:hyperlink>
      <w:r>
        <w:t xml:space="preserve"> is governed by these license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connectors Use Rights and Use Cases</w:t>
      </w:r>
    </w:p>
    <w:p>
      <w:pPr>
        <w:pStyle w:val="NormalWeb"/>
        <w:spacing w:after="150"/>
      </w:pPr>
      <w:r>
        <w:t>The following terms apply to: Azure IoT Operations connector for REST/HTTP, Azure IoT Operations connector for SSE, Azure IoT Operations connector for ONVIF, Azure IoT Operations media connector, and Azure IoT Operations connector for MQTT.For each instance, Customer may install and use the connector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 for OPC UA Use Rights and Use Cases</w:t>
      </w:r>
    </w:p>
    <w:p>
      <w:pPr>
        <w:pStyle w:val="NormalWeb"/>
        <w:spacing w:after="150"/>
      </w:pPr>
      <w:r>
        <w:t>For each instance of Azure IoT Operations connector for OPC UA, Customer may install and use the commanding capability of the Azure IoT Operations connector for OPC UA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Schema Registry feature of Azure Device Registry in Azure IoT Operations Use Rights and Use Case</w:t>
      </w:r>
    </w:p>
    <w:p>
      <w:pPr>
        <w:pStyle w:val="NormalWeb"/>
        <w:spacing w:after="150"/>
      </w:pPr>
      <w:r>
        <w:t>Customer may use the schema registry feature from Azure Device Registry within Azure IoT Operations in Production, Non-Production and Trial Use Cases. Customer may use a maximum of 200 schemas per schema registry.</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Edge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Edge Essentials (AKS EE) only on Windows and Windows Server to host, manage, and service validly licensed containers running validly licensed applications.</w:t>
      </w:r>
    </w:p>
    <w:p>
      <w:pPr>
        <w:pStyle w:val="NormalWeb"/>
        <w:spacing w:before="150"/>
      </w:pPr>
      <w:r>
        <w:t>One (1) SL for AKS EE permits Customer to use AKS EE on one (1) physical device or virtual machine.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Pre-Release Features</w:t>
      </w:r>
    </w:p>
    <w:p>
      <w:pPr>
        <w:pStyle w:val="NormalWeb"/>
        <w:spacing w:after="150"/>
      </w:pPr>
      <w:r>
        <w:t>Microsoft may provide pre-release features in AKS EE which are for preview purposes only and may not be used in a production environment. Such pre-release features may not work correctly or the way a final commercial version of the features will. Microsoft may change the commercial versions of such features or may not release commercial versions.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If Customer gives feedback about the pre-release features or AKS EE to Microsoft, Customer gives to Microsoft, without charge, the right to use, share and commercialize Customer feedback in any way and for any purpose. Customer will not give feedback that is subject to a license that requires Microsoft to license its software or documentation to third parties because Microsoft includes Customer feedback in them. These rights survive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on Azure Local and Azure Kubernetes Service Runtime on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on Azure Local (AKS on Local) and Azure Kubernetes Service Runtime on Windows Server (AKS on WS) (collectively, AKS) only (i) on Azure Local (with respect to AKS on Local) or Windows Server (with respect to AKS on WS) running on servers dedicated to Customer's use and (ii) to host, manage, and service validly licensed containers running validly licensed applications.  </w:t>
      </w:r>
    </w:p>
    <w:p>
      <w:pPr>
        <w:pStyle w:val="NormalWeb"/>
        <w:spacing w:before="150"/>
      </w:pPr>
      <w:r>
        <w:t>Customer may use AKS as long as it is registered with Customer's valid Azure subscription in order to enable additional AKS functionality and to meter and invoice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Applications</w:t>
      </w:r>
    </w:p>
    <w:p>
      <w:pPr>
        <w:pStyle w:val="NormalWeb"/>
        <w:spacing w:after="150"/>
      </w:pPr>
      <w:r>
        <w:t>AKS may include other Microsoft applications. These license terms apply to those included applications, if any, unless other license terms are provided with the other Microsoft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Software</w:t>
      </w:r>
    </w:p>
    <w:p>
      <w:pPr>
        <w:pStyle w:val="NormalWeb"/>
        <w:spacing w:after="150"/>
      </w:pPr>
      <w:r>
        <w:t>AKS may include third party components with separate legal notices or governed by other agreements, as may be described in the ThirdPartyNotices file(s) accompanying AKS or within AKS itself.</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work around any mandatory registration or sign-up process for AKS.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Support</w:t>
      </w:r>
    </w:p>
    <w:p>
      <w:pPr>
        <w:pStyle w:val="NormalWeb"/>
        <w:spacing w:after="150"/>
      </w:pPr>
      <w:r>
        <w:t>Any support for AKS is provided "as is", "with all faults", and without warranty of any kind.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AKS may automatically download and install updates for you. You agree to receive these automatic updates without any additional notice. Updates may not include all existing software features, services, or peripheral devices.</w:t>
      </w:r>
    </w:p>
    <w:p>
      <w:pPr>
        <w:pStyle w:val="Heading3"/>
        <w:spacing w:before="150" w:beforeAutospacing="0"/>
        <w:rPr>
          <w:rFonts w:eastAsia="Times New Roman"/>
          <w:color w:val="0078D4"/>
          <w:sz w:val="26"/>
          <w:szCs w:val="26"/>
        </w:rPr>
      </w:pPr>
      <w:r>
        <w:rPr>
          <w:rFonts w:eastAsia="Times New Roman"/>
          <w:color w:val="0078D4"/>
          <w:sz w:val="26"/>
          <w:szCs w:val="26"/>
        </w:rPr>
        <w:t>Azure Lab Services</w:t>
      </w:r>
    </w:p>
    <w:p>
      <w:pPr>
        <w:pStyle w:val="NormalWeb"/>
        <w:spacing w:after="150"/>
      </w:pPr>
      <w:r>
        <w:t>While Microsoft provides Azure Lab Services to Customer, as between Customer and Microsoft, Customer is the sole provider of related services to Customer's end users and shall have sole and exclusive responsibility to end users, including any support obligations. Customer's end users are not a party to any agreement with Microsoft regarding the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Notification; Liability; Bar on Actions Against Microsoft</w:t>
      </w:r>
    </w:p>
    <w:p>
      <w:pPr>
        <w:pStyle w:val="NormalWeb"/>
        <w:spacing w:after="150"/>
      </w:pPr>
      <w:r>
        <w:t>Customer will notify Microsoft promptly of any incidents that could have an impact on Microsoft such as a data breach, password issues, end user complaint(s), loss of user data, or intellectual property or privacy claims.</w:t>
      </w:r>
    </w:p>
    <w:p>
      <w:pPr>
        <w:pStyle w:val="NormalWeb"/>
        <w:spacing w:before="150"/>
      </w:pPr>
      <w:r>
        <w:t>Customer acknowledges and agrees that Microsoft has no obligation or liability to Customer or any end user for the end user's usage of the service.</w:t>
      </w:r>
    </w:p>
    <w:p>
      <w:pPr>
        <w:pStyle w:val="NormalWeb"/>
        <w:spacing w:before="150"/>
      </w:pPr>
      <w:r>
        <w:t>By using the service, an end user may not bring any action against Microsoft in relation to the services. If any end user does bring an action against Microsoft, the Indemnification provision in this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Indemnification</w:t>
      </w:r>
    </w:p>
    <w:p>
      <w:pPr>
        <w:pStyle w:val="NormalWeb"/>
        <w:spacing w:after="150"/>
      </w:pPr>
      <w:r>
        <w:t>Customer agrees to hold harmless and indemnify Microsoft from and against any claim by an end user, third party, and/or regulatory authority in connection with the service provided to end users. Customer shall pay any resulting judgment, or settlement, and all costs, including reasonable attorney's fees, and expenses related thereto.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Terms</w:t>
      </w:r>
    </w:p>
    <w:p>
      <w:pPr>
        <w:pStyle w:val="NormalWeb"/>
        <w:spacing w:after="150"/>
      </w:pPr>
      <w:r>
        <w:t>In order to provide the services to end users, Customer and Customer's end users must validly agree to a binding, written agreement that contain the substance of the following requirements:</w:t>
      </w:r>
    </w:p>
    <w:p>
      <w:pPr>
        <w:pStyle w:val="NormalWeb"/>
        <w:spacing w:before="150"/>
      </w:pPr>
      <w:r>
        <w:rPr>
          <w:u w:val="single"/>
        </w:rPr>
        <w:t>Statement of Relationship</w:t>
      </w:r>
      <w:r>
        <w:t>: Customer is the sole provider of the services. Customer is responsible for providing any support to end users. The services will be provided by Customer to Customer's end users under your terms of use and privacy policy.</w:t>
      </w:r>
    </w:p>
    <w:p>
      <w:pPr>
        <w:pStyle w:val="NormalWeb"/>
        <w:spacing w:before="150"/>
      </w:pPr>
      <w:r>
        <w:rPr>
          <w:u w:val="single"/>
        </w:rPr>
        <w:t>Compliance; Acceptable Use</w:t>
      </w:r>
      <w:r>
        <w:t>: Customer is solely responsible for ensuring compliance with all applicable laws, including, but not limited GDPR, with respect to Customer's provision and end users' use of the service. In addition, for clarity and without limiting the Acceptable Use Policy, Customer and Customer's end users may not use Azure Lab Services to facilitate or engage in cryptocurrency mining. Violation of this prohibition may result in suspension of the service, as set forth in the Acceptable Use Policy.</w:t>
      </w:r>
    </w:p>
    <w:p>
      <w:pPr>
        <w:pStyle w:val="NormalWeb"/>
        <w:spacing w:before="150"/>
      </w:pPr>
      <w:r>
        <w:rPr>
          <w:u w:val="single"/>
        </w:rPr>
        <w:t>Disclaimer of Warranties</w:t>
      </w:r>
      <w:r>
        <w:t>: Customer will disclaim any and all warranties in connection with the services, and Customer will disclaim the same with respect to Microsoft.</w:t>
      </w:r>
    </w:p>
    <w:p>
      <w:pPr>
        <w:pStyle w:val="NormalWeb"/>
        <w:spacing w:before="150"/>
      </w:pPr>
      <w:r>
        <w:rPr>
          <w:u w:val="single"/>
        </w:rPr>
        <w:t>Limitation of Liability and Exclusion of Damages</w:t>
      </w:r>
      <w:r>
        <w:t>: Customer will disclaim liability and exclude damages in a way that is consistent with the provisions of any applicable agreement(s) between Customer and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is responsible for updating the virtual machines (VMs) in Customer's portfolio. Notwithstanding the foregoing, Microsoft may, but is not obligated to, take any action it deems reasonable in its business judgment with respect to the VMs in your portfolio, including applying any updates or other changes generally applicable to the services.</w:t>
      </w:r>
    </w:p>
    <w:p>
      <w:pPr>
        <w:pStyle w:val="Heading3"/>
        <w:spacing w:before="150" w:beforeAutospacing="0"/>
        <w:rPr>
          <w:rFonts w:eastAsia="Times New Roman"/>
          <w:color w:val="0078D4"/>
          <w:sz w:val="26"/>
          <w:szCs w:val="26"/>
        </w:rPr>
      </w:pPr>
      <w:r>
        <w:rPr>
          <w:rFonts w:eastAsia="Times New Roman"/>
          <w:color w:val="0078D4"/>
          <w:sz w:val="26"/>
          <w:szCs w:val="26"/>
        </w:rPr>
        <w:t>Azure Machine Learning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NVIDIA Components</w:t>
      </w:r>
    </w:p>
    <w:p>
      <w:pPr>
        <w:pStyle w:val="NormalWeb"/>
        <w:spacing w:after="150"/>
      </w:pPr>
      <w:r>
        <w:t xml:space="preserve">Azure Machine Learning service may include NVIDIA Corporation's CUDA Toolkit, Tesla drivers, cuDNN, DIGITS, NCCL, and TensorRT (the "NVIDIA Components"), Customer agrees that its use of NVIDIA Components is governed by the NVIDIA Cloud End User License Agreement for Compute at </w:t>
      </w:r>
      <w:hyperlink r:id="rId163" w:tgtFrame="_blank" w:history="1">
        <w:r>
          <w:rPr>
            <w:rStyle w:val="Hyperlink"/>
            <w:color w:val="505050"/>
          </w:rPr>
          <w:t>https://go.microsoft.com/fwlink/?linkid=874330</w:t>
        </w:r>
      </w:hyperlink>
      <w:hyperlink r:id="rId163"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Model Catalog/Registry</w:t>
      </w:r>
    </w:p>
    <w:p>
      <w:pPr>
        <w:pStyle w:val="NormalWeb"/>
        <w:spacing w:after="150"/>
      </w:pPr>
      <w:r>
        <w:t xml:space="preserve">Any third-party models that Microsoft makes available in the Model Catalog and/or Model Registry are deemed to be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subject to the terms for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in these Microsoft Product Terms. Customer's use of any such third-party models is governed by the third-party license terms provided in connection with the model.</w:t>
      </w:r>
    </w:p>
    <w:p>
      <w:pPr>
        <w:pStyle w:val="Heading3"/>
        <w:spacing w:before="150" w:beforeAutospacing="0"/>
        <w:rPr>
          <w:rFonts w:eastAsia="Times New Roman"/>
          <w:color w:val="0078D4"/>
          <w:sz w:val="26"/>
          <w:szCs w:val="26"/>
        </w:rPr>
      </w:pPr>
      <w:r>
        <w:rPr>
          <w:rFonts w:eastAsia="Times New Roman"/>
          <w:color w:val="0078D4"/>
          <w:sz w:val="26"/>
          <w:szCs w:val="26"/>
        </w:rPr>
        <w:t>Azure Maps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Navigation restrictions</w:t>
      </w:r>
    </w:p>
    <w:p>
      <w:pPr>
        <w:pStyle w:val="NormalWeb"/>
        <w:spacing w:after="150"/>
      </w:pPr>
      <w:r>
        <w:t xml:space="preserve">Customer may not use Azure Maps, or any part thereof (1) to enable turn-by-turn navigation functionality in any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or use within an automatic or autonomous vehicle control; or (2) with a vehicle's dashboard, or a device connected to a vehicles dashboard, systems, or sensors, except that the device may be connected to the vehicle power source for charging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Database restrictions </w:t>
      </w:r>
    </w:p>
    <w:p>
      <w:pPr>
        <w:pStyle w:val="NormalWeb"/>
        <w:spacing w:after="150"/>
      </w:pPr>
      <w:r>
        <w:t>Customer may not use Azure Maps or any part thereof to create a competing database or service, or a derived database populated wholly or partially with Customer's content and/or content supplied or created by any third party.</w:t>
      </w:r>
    </w:p>
    <w:p>
      <w:pPr>
        <w:pStyle w:val="NormalWeb"/>
        <w:spacing w:before="150"/>
      </w:pPr>
      <w:r>
        <w:t>Customer will not use the content delivered by the Azure Maps in combination with any other third-party database, except that Customer may layer onto the content a type of content not already included within Azure Maps (such as Customer's proprietary content) or which Microsoft separately licenses to Customer.</w:t>
      </w:r>
    </w:p>
    <w:p>
      <w:pPr>
        <w:pStyle w:val="NormalWeb"/>
        <w:spacing w:before="150"/>
      </w:pPr>
      <w:r>
        <w:t>When using content licensed under or subject to an open-source license, Customer may not combine the use of Azure Maps, or any part thereof, in a way that potentially compromises copyright protection.</w:t>
      </w:r>
    </w:p>
    <w:p>
      <w:pPr>
        <w:pStyle w:val="NormalWeb"/>
        <w:spacing w:before="150"/>
      </w:pPr>
      <w:r>
        <w:t>Customer will not modify or create a derivative work based on Azure Maps, or any part thereof, unless expressly permitted to do so under these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API Results</w:t>
      </w:r>
    </w:p>
    <w:p>
      <w:pPr>
        <w:pStyle w:val="NormalWeb"/>
        <w:spacing w:after="150"/>
      </w:pPr>
      <w:r>
        <w:t>Microsoft may, in its sole discretion, limit the rate at which Azure Maps, or any portion thereof, may be called.</w:t>
      </w:r>
    </w:p>
    <w:p>
      <w:pPr>
        <w:pStyle w:val="NormalWeb"/>
        <w:spacing w:before="150"/>
      </w:pPr>
      <w:r>
        <w:t>Customer may not cache or store results delivered by the Azure Maps API for the purpose of scaling such Results (as defined below) to serve multiple users, or to circumvent any functionality in Azure Maps, including but not limited to (i) map data tiles, or (ii) information on the calculation of a path between two (2) or more points ("Route") information (collectively the "Results").</w:t>
      </w:r>
    </w:p>
    <w:p>
      <w:pPr>
        <w:pStyle w:val="NormalWeb"/>
        <w:spacing w:before="150"/>
      </w:pPr>
      <w:r>
        <w:t xml:space="preserve">Caching and storing Results and locations (latitude and longitude pair) or addresses that have been returned from a call to Azure Maps ("Geocode"/ "Reverse Geocode") are permitted where the purpose of caching is to reduce latency times of the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Results may not be stored for longer than: (i) the validity period indicated in returned headers; or (ii) 6 months, whichever is shorter. However, Customer may store Geocodes as long as Customer maintains an active Azure account.</w:t>
      </w:r>
    </w:p>
    <w:p>
      <w:pPr>
        <w:pStyle w:val="NormalWeb"/>
        <w:spacing w:before="150"/>
      </w:pPr>
      <w:r>
        <w:t>Customer may not display any Results, and/or Azure Maps Weather service results, solely as described in these Terms, on any third-party content or geographical map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Map Content</w:t>
      </w:r>
    </w:p>
    <w:p>
      <w:pPr>
        <w:pStyle w:val="NormalWeb"/>
        <w:spacing w:after="150"/>
      </w:pPr>
      <w:r>
        <w:t>Use of content displaying the TomTom copyright notice must be in accordance with restrictions set forth in the TomTom Licensing Third Party Product Terms and EULA (</w:t>
      </w:r>
      <w:hyperlink r:id="rId164" w:tgtFrame="_blank" w:history="1">
        <w:r>
          <w:rPr>
            <w:rStyle w:val="Hyperlink"/>
            <w:color w:val="505050"/>
          </w:rPr>
          <w:t>https://tomtom.com/product-attributions/</w:t>
        </w:r>
      </w:hyperlink>
      <w:r>
        <w:t>).</w:t>
      </w:r>
    </w:p>
    <w:p>
      <w:pPr>
        <w:pStyle w:val="NormalWeb"/>
        <w:spacing w:before="150"/>
      </w:pPr>
      <w:r>
        <w:t xml:space="preserve">Azure Maps may include content that is subject to the Open Data Commons Open Database License ("ODbL"), available at </w:t>
      </w:r>
      <w:hyperlink r:id="rId165" w:tgtFrame="_blank" w:history="1">
        <w:r>
          <w:rPr>
            <w:rStyle w:val="Hyperlink"/>
            <w:color w:val="505050"/>
          </w:rPr>
          <w:t>https://opendatacommons.org/licenses/odbl/</w:t>
        </w:r>
      </w:hyperlink>
      <w:r>
        <w:t xml:space="preserve"> or a successor site. Customer's use of such content is subject to the terms of the ODbL, including the License and Community Guidelines available at https://osmfoundation.org/wiki/Licence/Community_Guidelines, as well as these terms. </w:t>
      </w:r>
    </w:p>
    <w:p>
      <w:pPr>
        <w:pStyle w:val="NormalWeb"/>
        <w:spacing w:before="150"/>
      </w:pPr>
      <w:r>
        <w:t>Additional information on Customer's use of Azure Maps or functionalities is described in product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Imagery Content</w:t>
      </w:r>
    </w:p>
    <w:p>
      <w:pPr>
        <w:pStyle w:val="NormalWeb"/>
        <w:spacing w:after="150"/>
      </w:pPr>
      <w:r>
        <w:t>When using Azure Maps, Customer may not, nor may permit end users to, replace maps from Azure Maps with maps supplied by any other mapping platform. Notwithstanding the foregoing, Customer may overlay satellite/aerial imagery that Customer has the rights to use, provided that such imagery does not substantially replace the base satellite/aerial imagery provided by Azure Maps. Customer may not modify or create a derivative work based on any content using machine learning or artificial intelligence, unless expressly permitted to do so under these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region parameter</w:t>
      </w:r>
    </w:p>
    <w:p>
      <w:pPr>
        <w:pStyle w:val="NormalWeb"/>
        <w:spacing w:after="150"/>
      </w:pPr>
      <w:r>
        <w:t>User region parameter in Azure Maps must be used in compliance with applicable laws, including those regarding mapping, of the country where maps, images and other content and third-party content that Customer is authorized to access via Azure Maps is made available.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warranty for accuracy</w:t>
      </w:r>
    </w:p>
    <w:p>
      <w:pPr>
        <w:pStyle w:val="NormalWeb"/>
        <w:spacing w:after="150"/>
      </w:pPr>
      <w:r>
        <w:t>Microsoft and its suppliers make no warranty that the maps, images, content or any content delivered by Azure Maps will be accurate or complete.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Copyright</w:t>
      </w:r>
    </w:p>
    <w:p>
      <w:pPr>
        <w:pStyle w:val="NormalWeb"/>
        <w:spacing w:after="150"/>
      </w:pPr>
      <w:r>
        <w:t xml:space="preserve">Customers may not remove, obscure, mask or change any logo and/or copyright notice placed on or automatically generated by Azure Maps. Customer must display in a conspicuous manner within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any Microsoft or third-party attribution provided by Microsoft. In addition, customers using the Azure Maps Render services must use the "Get Map Attribution" API to obtain the copyright attribution text and display it in their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Print Rights</w:t>
      </w:r>
    </w:p>
    <w:p>
      <w:pPr>
        <w:pStyle w:val="NormalWeb"/>
        <w:spacing w:after="150"/>
      </w:pPr>
      <w:r>
        <w:t>Customer may and allow end users to print, save, or use screen shots of Azure Maps, or any part thereof, of the type "Road Map" and "Satellite" ("Prints"). Prints may be used for commercial purposes. Acceptable commercial purposes for Prints include: (i) use in an advertisement or press article about Microsoft products or services; (ii) sending PDF Prints to customers; (iii) printing a browser page including Azure Maps, or any part thereof, to create a flyer or handout; (iv) use within documents or presentations; and (v) sending in an email.</w:t>
      </w:r>
    </w:p>
    <w:p>
      <w:pPr>
        <w:pStyle w:val="NormalWeb"/>
        <w:spacing w:before="150"/>
      </w:pPr>
      <w:r>
        <w:t>Prints must include the following copyright attribution statement: "Microsoft product screen shot(s) reprinted with permission from Microsoft Corporation."</w:t>
      </w:r>
    </w:p>
    <w:p>
      <w:pPr>
        <w:pStyle w:val="NormalWeb"/>
        <w:spacing w:before="150"/>
      </w:pPr>
      <w:r>
        <w:t>Customer may not, nor may Customer permit end users to:</w:t>
      </w:r>
    </w:p>
    <w:p>
      <w:pPr>
        <w:numPr>
          <w:ilvl w:val="0"/>
          <w:numId w:val="8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way that is disparaging, defamatory, or libelous to Microsoft, any of its products, or any other person or entity.</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of an identifiable individual.</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more than 5,000 copies of any single Road Map Print or Satellite imagery.</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download, transmit or save the ‘raw' data (tiles) from Azure Maps under any circumstances.</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to create production maps which are similar to or compete with commercial maps or atlases.</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Azure Maps to produce Prints similar to a local mapping authority.</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imply Microsoft sponsorship, affiliation, or endorsement of Customer's product or service.</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comparative advertisement.</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 screen shot in any way except to resize the screen shot.</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Prints in Customer's product user interface.</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prints that display the Zenrin copyright notice, © [Year] Zenrin. For example, maps isolated solely on Japan.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Broadcast Media &amp; Entertainment</w:t>
      </w:r>
    </w:p>
    <w:p>
      <w:pPr>
        <w:pStyle w:val="NormalWeb"/>
        <w:spacing w:after="150"/>
      </w:pPr>
      <w:r>
        <w:t>Customer may use the imagery provided in Azure Maps with television programming and the Road Maps in Azure Maps with television programming, media and entertainment use. Customer may only use Azure Maps to provide graphics, imagery, animations and/or video showing Azure Maps that are intended to be viewed by end users who are unable to interact with the final graphics, imagery and/or video. Customer may use Azure Maps solely in conjunction with and integrated into Customer Solution that use Azure Maps for broadcast use ("Broadcast Applications") using only methods and means of access that are documented. The media incorporating the Road Maps content from Azure Maps may be stored, recorded, distributed, and redistributed both online and offline for television broadcast, media and entertainment use (including movies and similar scenarios), except for Road Maps of France, Australia, Czech Republic, Switzerland and Japan. The media incorporating the imagery content from Azure Maps may be: (i) recorded, distributed and redistributed online as part of television broadcasts and (ii) stored and distributed offline for television broadcast purposes only, except for Road Maps in type "Hybrid" of France, Australia, Czech Republic, Switzerland and Japan. Additional rights may only be obtained by written agreement with Microsoft.  </w:t>
      </w:r>
    </w:p>
    <w:p>
      <w:pPr>
        <w:pStyle w:val="NormalWeb"/>
        <w:spacing w:before="150"/>
      </w:pPr>
      <w:r>
        <w:t xml:space="preserve">Customer must follow the content attribution requirements provided at: </w:t>
      </w:r>
      <w:hyperlink r:id="rId166" w:tgtFrame="_blank" w:history="1">
        <w:r>
          <w:rPr>
            <w:rStyle w:val="Hyperlink"/>
            <w:color w:val="505050"/>
          </w:rPr>
          <w:t>https://www.microsoft.com/legal/intellectualproperty/trademarks</w:t>
        </w:r>
      </w:hyperlink>
      <w:r>
        <w:t>. To the extent applicable local law prohibits Customer from attributing content sources by displaying their logos with Azure Maps, Customer must prominently display the source of the content as a text string.  </w:t>
      </w:r>
    </w:p>
    <w:p>
      <w:pPr>
        <w:pStyle w:val="NormalWeb"/>
        <w:spacing w:before="150"/>
      </w:pPr>
      <w:r>
        <w:t>In developing Broadcast Applications, and in using Azure Maps, Customer may not, nor may Customer permit end users to distribute or broadcast the road traffic data from Azure Maps.</w:t>
      </w:r>
    </w:p>
    <w:p>
      <w:pPr>
        <w:pStyle w:val="Heading3"/>
        <w:spacing w:before="150" w:beforeAutospacing="0"/>
        <w:rPr>
          <w:rFonts w:eastAsia="Times New Roman"/>
          <w:color w:val="0078D4"/>
          <w:sz w:val="26"/>
          <w:szCs w:val="26"/>
        </w:rPr>
      </w:pPr>
      <w:r>
        <w:rPr>
          <w:rFonts w:eastAsia="Times New Roman"/>
          <w:color w:val="0078D4"/>
          <w:sz w:val="26"/>
          <w:szCs w:val="26"/>
        </w:rPr>
        <w:t>Azure Orbital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Authorization Required</w:t>
      </w:r>
    </w:p>
    <w:p>
      <w:pPr>
        <w:pStyle w:val="NormalWeb"/>
        <w:spacing w:after="150"/>
      </w:pPr>
      <w:r>
        <w:t>Customers may not use the Azure Orbital service to receive signals from or transmit signals to a satellite space station without the authorization of its operator. By subscribing to the Azure Orbital service, you represent to Microsoft that your intended operations will occur only with the satellite space-station operator's consent.</w:t>
      </w:r>
    </w:p>
    <w:p>
      <w:pPr>
        <w:pStyle w:val="Heading3"/>
        <w:spacing w:before="150" w:beforeAutospacing="0"/>
        <w:rPr>
          <w:rFonts w:eastAsia="Times New Roman"/>
          <w:color w:val="0078D4"/>
          <w:sz w:val="26"/>
          <w:szCs w:val="26"/>
        </w:rPr>
      </w:pPr>
      <w:r>
        <w:rPr>
          <w:rFonts w:eastAsia="Times New Roman"/>
          <w:color w:val="0078D4"/>
          <w:sz w:val="26"/>
          <w:szCs w:val="26"/>
        </w:rPr>
        <w:t>Azure Private 5G Core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Software License</w:t>
      </w:r>
    </w:p>
    <w:p>
      <w:pPr>
        <w:pStyle w:val="NormalWeb"/>
        <w:spacing w:after="150"/>
      </w:pPr>
      <w:r>
        <w:t xml:space="preserve">Subject to the following terms and conditions, Microsoft grants you a nonexclusive, limited, royalty-free, nontransferable right to use the Azure Private 5G Core software solely as part of an </w:t>
      </w:r>
      <w:hyperlink w:anchor="_Toc22" w:tooltip="Azure Private MEC Solution means a combined software and hardware private multi-access edge compute offering which includes Azure Network Function Manager." w:history="1">
        <w:r>
          <w:rPr>
            <w:rStyle w:val="Hyperlink"/>
            <w:color w:val="505050"/>
          </w:rPr>
          <w:t>Azure Private MEC Solution</w:t>
        </w:r>
      </w:hyperlink>
      <w:r>
        <w:t xml:space="preserve">. Customer agrees that it will only use Azure Private 5G Core after review by Microsoft and may be required to assent to additional terms and conditions, visit </w:t>
      </w:r>
      <w:hyperlink r:id="rId167" w:tgtFrame="_blank" w:history="1">
        <w:r>
          <w:rPr>
            <w:rStyle w:val="Hyperlink"/>
            <w:color w:val="505050"/>
          </w:rPr>
          <w:t>aka.ms/ap5gcvalidation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Local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use the Azure Local software only (i) on devices dedicated to Customer's internal use and (ii) as a host operating system to manage and service validly licensed virtual machines running validly licensed applications. Any server that is under the management or control of an entity other than Customer or one of its Affiliates is subject to the </w:t>
      </w:r>
      <w:hyperlink r:id="rId168" w:history="1">
        <w:r>
          <w:rPr>
            <w:rStyle w:val="Hyperlink"/>
            <w:color w:val="505050"/>
          </w:rPr>
          <w:t>Outsourcing Software Management</w:t>
        </w:r>
      </w:hyperlink>
      <w:r>
        <w:t xml:space="preserve"> clause. Customer may use the Azure Local software as long as it is (i) registered with Customer's valid Azure subscription in order to enable additional Azure Local functionality and to meter and invoice Customer and (ii) connected to Customer's Azure subscription over the Internet at least once every thirty (30) consecutive calendar days.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(i) work around any mandatory registration or sign-up process for Azure Local or (ii) run any applications, operating system roles, and/or other workloads directly on the Azure Local software except for (A) utilities and operating system roles and (B) virtualized machines running Azure Local, both (A) and (B) as necessary to enable Azure Local to host, manage, and service validly licensed virtual machines running validly licensed applications.  </w:t>
      </w:r>
    </w:p>
    <w:p>
      <w:pPr>
        <w:pStyle w:val="Heading3"/>
        <w:spacing w:before="150" w:beforeAutospacing="0"/>
        <w:rPr>
          <w:rFonts w:eastAsia="Times New Roman"/>
          <w:color w:val="0078D4"/>
          <w:sz w:val="26"/>
          <w:szCs w:val="26"/>
        </w:rPr>
      </w:pPr>
      <w:r>
        <w:rPr>
          <w:rFonts w:eastAsia="Times New Roman"/>
          <w:color w:val="0078D4"/>
          <w:sz w:val="26"/>
          <w:szCs w:val="26"/>
        </w:rPr>
        <w:t>Azure Stack Hub</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Hub</w:t>
      </w:r>
    </w:p>
    <w:p>
      <w:pPr>
        <w:pStyle w:val="NormalWeb"/>
        <w:spacing w:after="150"/>
      </w:pPr>
      <w:r>
        <w:t>Customer may use Azure Stack Hub only on the hardware on which it is preinstalled.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Default Provider Subscription</w:t>
      </w:r>
    </w:p>
    <w:p>
      <w:pPr>
        <w:pStyle w:val="NormalWeb"/>
        <w:spacing w:after="150"/>
      </w:pPr>
      <w:r>
        <w:t>The subscription created for the system administrator during the Azure Stack Hub deployment process (the default provider subscription) may be used solely to deploy and manage the Azure Stack Hub infrastructure; it may not be used to run any workload that does not deploy or manage Azure Stack Hub infrastructure (e.g. it may not be used to run any application workloads).</w:t>
      </w:r>
    </w:p>
    <w:p>
      <w:pPr>
        <w:pStyle w:val="Heading3"/>
        <w:spacing w:before="150" w:beforeAutospacing="0"/>
        <w:rPr>
          <w:rFonts w:eastAsia="Times New Roman"/>
          <w:color w:val="0078D4"/>
          <w:sz w:val="26"/>
          <w:szCs w:val="26"/>
        </w:rPr>
      </w:pPr>
      <w:r>
        <w:rPr>
          <w:rFonts w:eastAsia="Times New Roman"/>
          <w:color w:val="0078D4"/>
          <w:sz w:val="26"/>
          <w:szCs w:val="26"/>
        </w:rPr>
        <w:t>Azure Stack Hub Plan</w:t>
      </w:r>
    </w:p>
    <w:p>
      <w:pPr>
        <w:pStyle w:val="NormalWeb"/>
        <w:spacing w:after="150"/>
      </w:pPr>
      <w:r>
        <w:t xml:space="preserve">Customer may use Microsoft Azure Stack Hub on a </w:t>
      </w:r>
      <w:hyperlink w:anchor="_Toc22" w:tooltip="Licensed Server means a single Server to which a License is assigned. See Glossary for full definition." w:history="1">
        <w:r>
          <w:rPr>
            <w:rStyle w:val="Hyperlink"/>
            <w:color w:val="505050"/>
          </w:rPr>
          <w:t>Licensed Server</w:t>
        </w:r>
      </w:hyperlink>
      <w:r>
        <w:t xml:space="preserve">, provided it acquires a number of SLs equal to the number of </w:t>
      </w:r>
      <w:hyperlink w:anchor="_Toc22" w:tooltip="Physical Core means a core in a Physical Processor." w:history="1">
        <w:r>
          <w:rPr>
            <w:rStyle w:val="Hyperlink"/>
            <w:color w:val="505050"/>
          </w:rPr>
          <w:t>Physical Cores</w:t>
        </w:r>
      </w:hyperlink>
      <w:r>
        <w:t xml:space="preserve"> on that </w:t>
      </w:r>
      <w:hyperlink w:anchor="_Toc22" w:tooltip="Server means a physical hardware system capable of running server software." w:history="1">
        <w:r>
          <w:rPr>
            <w:rStyle w:val="Hyperlink"/>
            <w:color w:val="505050"/>
          </w:rPr>
          <w:t>Server</w:t>
        </w:r>
      </w:hyperlink>
      <w:r>
        <w:t xml:space="preserve">. Licenses are reduction eligible; however, ongoing use remains subject to the requirement to retain licenses equal to the </w:t>
      </w:r>
      <w:hyperlink w:anchor="_Toc22" w:tooltip="Physical Core means a core in a Physical Processor." w:history="1">
        <w:r>
          <w:rPr>
            <w:rStyle w:val="Hyperlink"/>
            <w:color w:val="505050"/>
          </w:rPr>
          <w:t>Physical Cores</w:t>
        </w:r>
      </w:hyperlink>
      <w:r>
        <w:t xml:space="preserve"> on the </w:t>
      </w:r>
      <w:hyperlink w:anchor="_Toc22"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SQL Edge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IoT Device</w:t>
      </w:r>
    </w:p>
    <w:p>
      <w:pPr>
        <w:pStyle w:val="NormalWeb"/>
        <w:spacing w:after="150"/>
      </w:pPr>
      <w:r>
        <w:t xml:space="preserve">Any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SQL Edge  </w:t>
      </w:r>
    </w:p>
    <w:p>
      <w:pPr>
        <w:pStyle w:val="NormalWeb"/>
        <w:spacing w:after="150"/>
      </w:pPr>
      <w:r>
        <w:t xml:space="preserve">Customer may install and use any number of copies of the Azure SQL Edge software on an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dedicated to Customer's use and to which a </w:t>
      </w:r>
      <w:hyperlink w:anchor="_Toc22" w:tooltip="License means the right to download, install, access and use a Product." w:history="1">
        <w:r>
          <w:rPr>
            <w:rStyle w:val="Hyperlink"/>
            <w:color w:val="505050"/>
          </w:rPr>
          <w:t>License</w:t>
        </w:r>
      </w:hyperlink>
      <w:r>
        <w:t xml:space="preserve"> is assigned. Notwithstanding anything to the contrary in </w:t>
      </w:r>
      <w:hyperlink r:id="rId132" w:history="1">
        <w:r>
          <w:rPr>
            <w:rStyle w:val="Hyperlink"/>
            <w:color w:val="505050"/>
          </w:rPr>
          <w:t>Universal Terms for Online Services</w:t>
        </w:r>
      </w:hyperlink>
      <w:r>
        <w:t xml:space="preserve">, Customer may reassign a </w:t>
      </w:r>
      <w:hyperlink w:anchor="_Toc22" w:tooltip="License means the right to download, install, access and use a Product." w:history="1">
        <w:r>
          <w:rPr>
            <w:rStyle w:val="Hyperlink"/>
            <w:color w:val="505050"/>
          </w:rPr>
          <w:t>License</w:t>
        </w:r>
      </w:hyperlink>
      <w:r>
        <w:t xml:space="preserve"> at any time to other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s dedicated to its use. If Customer installs any features or functionalities other than the Azure SQL Edge software (whether derived from Microsoft or third party software) on the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then those other features or functionalities may be used only to support the IoT Program.  </w:t>
      </w:r>
    </w:p>
    <w:p>
      <w:pPr>
        <w:pStyle w:val="Heading3"/>
        <w:spacing w:before="150" w:beforeAutospacing="0"/>
        <w:rPr>
          <w:rFonts w:eastAsia="Times New Roman"/>
          <w:color w:val="0078D4"/>
          <w:sz w:val="26"/>
          <w:szCs w:val="26"/>
        </w:rPr>
      </w:pPr>
      <w:r>
        <w:rPr>
          <w:rFonts w:eastAsia="Times New Roman"/>
          <w:color w:val="0078D4"/>
          <w:sz w:val="26"/>
          <w:szCs w:val="26"/>
        </w:rPr>
        <w:t>Azure SQL Managed Instance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Managed Instances include the following Fail-over entitlements:</w:t>
      </w:r>
    </w:p>
    <w:p>
      <w:pPr>
        <w:numPr>
          <w:ilvl w:val="0"/>
          <w:numId w:val="8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Server Virtual Machines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SQL Server Virtual Machines include the following Fail-over entitlements:</w:t>
      </w:r>
    </w:p>
    <w:p>
      <w:pPr>
        <w:numPr>
          <w:ilvl w:val="0"/>
          <w:numId w:val="9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and</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xml:space="preserve"> simultaneously for brief periods of disaster recovery testing every 90 days, and around the time of a disaster, for a brief period, to assist in the transfer between them. Customer may perform the following maintenance-related operations for any permitted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The number of vCores used may not exceed the vCore size of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Database include the following Fail-over entitlements:</w:t>
      </w:r>
    </w:p>
    <w:p>
      <w:pPr>
        <w:numPr>
          <w:ilvl w:val="0"/>
          <w:numId w:val="9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Style w:val="Strong"/>
          <w:rFonts w:eastAsia="Times New Roman"/>
          <w:color w:val="0078D4"/>
          <w:sz w:val="26"/>
          <w:szCs w:val="26"/>
        </w:rPr>
        <w:t>Azure Virtual Desktop Per User Access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 </w:t>
      </w:r>
    </w:p>
    <w:p>
      <w:pPr>
        <w:pStyle w:val="NormalWeb"/>
        <w:spacing w:after="150"/>
      </w:pPr>
      <w:r>
        <w:t>"End User" means a third-party individual that acquires Azure Virtual Desktop Customer Solution from Customer for End User's own internal use (without the right to resell or redistribute it).</w:t>
      </w:r>
    </w:p>
    <w:p>
      <w:pPr>
        <w:pStyle w:val="NormalWeb"/>
        <w:spacing w:before="150"/>
      </w:pPr>
      <w:r>
        <w:t>"Azure Virtual Desktop Customer Solution" means an application or any set of applications that adds primary and significant functionality to the 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w:t>
      </w:r>
    </w:p>
    <w:p>
      <w:pPr>
        <w:pStyle w:val="NormalWeb"/>
        <w:spacing w:after="150"/>
      </w:pPr>
      <w:r>
        <w:t>Azure Virtual Desktop per user access licenses are only available for Customer's external commercial purposes to serve Azure Virtual Desktop Customer Solutions to third parties on Azure. Customer may not use the licenses acquired under this model for internal purposes. Customer may assign no more than one million user identities licensed under this model to its Azure Virtual Desktop session hosts.</w:t>
      </w:r>
    </w:p>
    <w:p>
      <w:pPr>
        <w:pStyle w:val="NormalWeb"/>
        <w:spacing w:before="150"/>
      </w:pPr>
      <w:r>
        <w:t>To access Azure Virtual Desktop for internal business purposes Customer may acquire select Windows Enterprise and Microsoft 365 licenses. Please see the relevant product sections for more details.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Entitlements </w:t>
      </w:r>
    </w:p>
    <w:p>
      <w:pPr>
        <w:pStyle w:val="NormalWeb"/>
        <w:spacing w:after="150"/>
      </w:pPr>
      <w:r>
        <w:t>End Users may connect to up to five Azure Virtual Desktop session hosts at once.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Entitlement  </w:t>
      </w:r>
    </w:p>
    <w:p>
      <w:pPr>
        <w:pStyle w:val="NormalWeb"/>
        <w:spacing w:after="150"/>
      </w:pPr>
      <w:r>
        <w:t>The General Service Terms Azure Customer Solution clause does not apply. Notwithstanding the general restrictions in Customer's agreement that preclude reselling, redistributing, or using the Products to offer commercial hosting services to third parties, Customer may, subject to the conditions set forth below:</w:t>
      </w:r>
    </w:p>
    <w:p>
      <w:pPr>
        <w:pStyle w:val="NormalWeb"/>
        <w:spacing w:before="150"/>
      </w:pPr>
      <w:r>
        <w:t>Combine Azure Virtual Desktop per user access licenses with applications owned or licensed by Customer or a third party to create an Azure Virtual Desktop Customer Solution solely for use on Microsoft Azure, and permit End Users to access and use Azure Virtual Desktop per user access licenses in connection with the use of that Azure Virtual Desktop Customer Solution on a rental, subscription or services basis (whether or not a fee for such use is paid).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Terms </w:t>
      </w:r>
    </w:p>
    <w:p>
      <w:pPr>
        <w:pStyle w:val="NormalWeb"/>
        <w:spacing w:after="150"/>
      </w:pPr>
      <w:r>
        <w:rPr>
          <w:rStyle w:val="Strong"/>
        </w:rPr>
        <w:t>Indemnification</w:t>
      </w:r>
      <w:r>
        <w:t>. Customer agrees to defend Microsoft from and against any claim by an End User, third party, and/or regulatory authority arising from, or in connection with, the Azure Virtual Desktop Customer Solution provided to End Users. Customer will pay the amount of any adverse final judgment or approved settlement resulting from a claim covered by this section.  The obligations under this section are not subject to the limitation of liability or exclusion of certain damages under Customer's volume licensing agreement.</w:t>
      </w:r>
    </w:p>
    <w:p>
      <w:pPr>
        <w:pStyle w:val="NormalWeb"/>
        <w:spacing w:before="150"/>
      </w:pPr>
      <w:r>
        <w:rPr>
          <w:rStyle w:val="Strong"/>
        </w:rPr>
        <w:t>Support</w:t>
      </w:r>
      <w:r>
        <w:t>.  Microsoft is not obligated to provide support services to Customer or its End Users in connection with the Azure Virtual Desktop Customer Solution.  Customer alone is responsible for providing technical support to End Users for all aspects and components of the Azure Virtual Desktop Customer Solution, either itself or by obtaining and continuously maintaining support for its End Users through Microsoft or a third party. Customer must inform End Users of this fact.  Any support from Microsoft for questions or issues that arise as part of Customer's support of the Azure Virtual Desktop Customer Solution must be obtained under a separate support services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AGREEMENT REQUIREMENTS</w:t>
      </w:r>
    </w:p>
    <w:p>
      <w:pPr>
        <w:pStyle w:val="NormalWeb"/>
        <w:spacing w:after="150"/>
      </w:pPr>
      <w:r>
        <w:t>Company must:</w:t>
      </w:r>
    </w:p>
    <w:p>
      <w:pPr>
        <w:numPr>
          <w:ilvl w:val="0"/>
          <w:numId w:val="9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Notify each End User before or at the time of purchase (in the appropriate language versions for the locations in which Company will deliver the Azure Virtual Desktop Customer Solution) that the Azure Virtual Desktop Customer Solution contains Microsoft technology that is subject to certain license terms and that the End User must agree to the license terms before using the Product.</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the following acknowledgment in the credit screen or about screen and documentation of any Azure Virtual Desktop Customer Solution:  "© Copyright 2021 Microsoft Corporation.  All rights reserved."</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Present and execute license terms in a manner that forms a contract binding the End User under applicable law. Such license terms must contain the substance of the requirements contained in the following exemplar:</w:t>
      </w:r>
    </w:p>
    <w:p>
      <w:pPr>
        <w:pStyle w:val="Heading5"/>
        <w:rPr>
          <w:rFonts w:eastAsia="Times New Roman"/>
        </w:rPr>
      </w:pPr>
      <w:r>
        <w:rPr>
          <w:rStyle w:val="Strong"/>
          <w:rFonts w:eastAsia="Times New Roman"/>
        </w:rPr>
        <w:t>TERMS AND CONDITIONS REGARDING USE OF MICROSOFT SOFTWARE &amp; ONLINE SERVICES</w:t>
      </w:r>
    </w:p>
    <w:p>
      <w:pPr>
        <w:pStyle w:val="cms-block-indent-1"/>
      </w:pPr>
      <w:r>
        <w:t>This document governs the use of software and online services ("Software Services") that [insert Service Provider's name] ("Service Provider") provides to you on a rental, subscription or services basis, and that include Microsoft software and online services ("Microsoft Products").  Service Provider does not own the Microsoft Products and the use thereof is subject to certain rights and limitations of which Service Provider must inform you.  Your right to use the Microsoft Products is subject to the terms of your agreement with Service Provider, and to your understanding of, compliance with, and consent to the following terms and conditions, which Service Provider does not have authority to vary, alter, or amend.</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OWNERSHIP OF MICROSOFT PRODUCTS</w:t>
      </w:r>
      <w:r>
        <w:rPr>
          <w:rFonts w:ascii="Segoe UI" w:eastAsia="Times New Roman" w:hAnsi="Segoe UI" w:cs="Segoe UI"/>
          <w:color w:val="505050"/>
          <w:sz w:val="18"/>
          <w:szCs w:val="18"/>
        </w:rPr>
        <w:t>.  The Microsoft Products are licensed to Service Provider from an affiliate of the Microsoft Corporation (collectively "Microsoft").  Microsoft Products are protected by copyright and other intellectual property rights. Microsoft Products and related elements including but not limited to any images, photographs, animations, video, audio, music, text and "applets" incorporated into the Microsoft Products are owned by Microsoft or its suppliers. You may not remove, modify or obscure any copyright trademark or other proprietary rights notices that are contained in or on the Microsoft Products. The Microsoft Products are protected by copyright laws and international copyright treaties, as well as other intellectual property laws and treaties.  Your possession, access, or use of the Microsoft Products does not transfer any ownership of the Microsoft Products or any intellectual property rights to you.</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SOFTWARE SERVICES</w:t>
      </w:r>
      <w:r>
        <w:rPr>
          <w:rFonts w:ascii="Segoe UI" w:eastAsia="Times New Roman" w:hAnsi="Segoe UI" w:cs="Segoe UI"/>
          <w:color w:val="505050"/>
          <w:sz w:val="18"/>
          <w:szCs w:val="18"/>
        </w:rPr>
        <w:t>.  You may use the Software Services only in accordance with your agreement with Service Provider and these terms.  These terms permanently and irrevocably supersede the terms of any Microsoft End User License Agreement that may be presented in electronic form during the installation and/or use of the Software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COPIES</w:t>
      </w:r>
      <w:r>
        <w:rPr>
          <w:rFonts w:ascii="Segoe UI" w:eastAsia="Times New Roman" w:hAnsi="Segoe UI" w:cs="Segoe UI"/>
          <w:color w:val="505050"/>
          <w:sz w:val="18"/>
          <w:szCs w:val="18"/>
        </w:rPr>
        <w:t>.  You may not make any copies of the Products.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LIMITATIONS ON REVERSE ENGINEERING, DECOMPILATION AND DISASSEMBLY</w:t>
      </w:r>
      <w:r>
        <w:rPr>
          <w:rFonts w:ascii="Segoe UI" w:eastAsia="Times New Roman" w:hAnsi="Segoe UI" w:cs="Segoe UI"/>
          <w:color w:val="505050"/>
          <w:sz w:val="18"/>
          <w:szCs w:val="18"/>
        </w:rPr>
        <w:t>.  You may not reverse engineer, decompile, or disassemble the Products, except and only to the extent that applicable law, notwithstanding this limitation, expressly permits such activity.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RENTAL</w:t>
      </w:r>
      <w:r>
        <w:rPr>
          <w:rFonts w:ascii="Segoe UI" w:eastAsia="Times New Roman" w:hAnsi="Segoe UI" w:cs="Segoe UI"/>
          <w:color w:val="505050"/>
          <w:sz w:val="18"/>
          <w:szCs w:val="18"/>
        </w:rPr>
        <w:t>.  You may not rent, lease, lend, pledge, or directly or indirectly transfer or distribute the Products to any third party, and may not permit any third party to have access to and/or use the functionality of the Products except for the sole purpose of accessing the functionality of the Products in the form of Software Services in accordance with the terms of this agreement and any agreement between you and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TERMINATION</w:t>
      </w:r>
      <w:r>
        <w:rPr>
          <w:rFonts w:ascii="Segoe UI" w:eastAsia="Times New Roman" w:hAnsi="Segoe UI" w:cs="Segoe UI"/>
          <w:color w:val="505050"/>
          <w:sz w:val="18"/>
          <w:szCs w:val="18"/>
        </w:rPr>
        <w:t>.  Without prejudice to any other rights, Service Provider may terminate your rights to use the Products if you fail to comply with these terms and conditions.  In the event of termination or cancellation of your agreement with Service Provider or Service Provider's agreement with Microsoft under which the Products are licensed, you must stop using and/or accessing the Products, and destroy all copies of the Products and all of their component parts within thirty (30) days of the termination of your agreement with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WARRANTIES, LIABILITIES OR REMEDIES BY MICROSOFT</w:t>
      </w:r>
      <w:r>
        <w:rPr>
          <w:rFonts w:ascii="Segoe UI" w:eastAsia="Times New Roman" w:hAnsi="Segoe UI" w:cs="Segoe UI"/>
          <w:color w:val="505050"/>
          <w:sz w:val="18"/>
          <w:szCs w:val="18"/>
        </w:rPr>
        <w:t>.  Microsoft disclaims, to the extent permitted by applicable law, all warranties and liability for damages by Microsoft or its suppliers for any damages and remedies whether direct, indirect or consequential, arising from the Software Services. Any warranties and liabilities are provided solely by Service Provider and not by Microsoft, its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PRODUCT SUPPORT</w:t>
      </w:r>
      <w:r>
        <w:rPr>
          <w:rFonts w:ascii="Segoe UI" w:eastAsia="Times New Roman" w:hAnsi="Segoe UI" w:cs="Segoe UI"/>
          <w:color w:val="505050"/>
          <w:sz w:val="18"/>
          <w:szCs w:val="18"/>
        </w:rPr>
        <w:t>.  Any support for the Software Services is provided to you by Service Provider or a third party on Service Provider's behalf and is not provided by Microsoft, its suppliers,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NOT FAULT TOLERANT</w:t>
      </w:r>
      <w:r>
        <w:rPr>
          <w:rFonts w:ascii="Segoe UI" w:eastAsia="Times New Roman" w:hAnsi="Segoe UI" w:cs="Segoe UI"/>
          <w:color w:val="505050"/>
          <w:sz w:val="18"/>
          <w:szCs w:val="18"/>
        </w:rPr>
        <w:t>.  The Products are not fault-tolerant and are not guaranteed to be error free or to operate uninterrupted.  You must not use the Products in any application or situation where the Product(s) failure could lead to death or serious bodily injury of any person, or to severe physical or environmental damage ("High Risk Use").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EXPORT RESTRICTIONS</w:t>
      </w:r>
      <w:r>
        <w:rPr>
          <w:rFonts w:ascii="Segoe UI" w:eastAsia="Times New Roman" w:hAnsi="Segoe UI" w:cs="Segoe UI"/>
          <w:color w:val="505050"/>
          <w:sz w:val="18"/>
          <w:szCs w:val="18"/>
        </w:rPr>
        <w:t xml:space="preserve">.  The Products are subject to U.S. export jurisdiction.  You must comply with all applicable laws including the U.S. Export Administration Regulations, the International Traffic in Arms Regulations, as well as end-user, end-use and destination restrictions issued by U.S. and other governments.  For additional information, see </w:t>
      </w:r>
      <w:hyperlink r:id="rId169" w:tgtFrame="_blank" w:history="1">
        <w:r>
          <w:rPr>
            <w:rStyle w:val="Hyperlink"/>
            <w:rFonts w:ascii="Segoe UI" w:eastAsia="Times New Roman" w:hAnsi="Segoe UI" w:cs="Segoe UI"/>
            <w:color w:val="505050"/>
            <w:sz w:val="18"/>
            <w:szCs w:val="18"/>
          </w:rPr>
          <w:t>http://www.microsoft.com/exporting/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LIABILITY FOR BREACH</w:t>
      </w:r>
      <w:r>
        <w:rPr>
          <w:rFonts w:ascii="Segoe UI" w:eastAsia="Times New Roman" w:hAnsi="Segoe UI" w:cs="Segoe UI"/>
          <w:color w:val="505050"/>
          <w:sz w:val="18"/>
          <w:szCs w:val="18"/>
        </w:rPr>
        <w:t>.  In addition to any liability you may have to the Service Provider, you agree that you will also be legally responsible directly to Microsoft for any breach of these terms and conditions.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INFORMATION DISCLOSURE</w:t>
      </w:r>
      <w:r>
        <w:rPr>
          <w:rFonts w:ascii="Segoe UI" w:eastAsia="Times New Roman" w:hAnsi="Segoe UI" w:cs="Segoe UI"/>
          <w:color w:val="505050"/>
          <w:sz w:val="18"/>
          <w:szCs w:val="18"/>
        </w:rPr>
        <w:t>.  You must permit Service Provider to disclose any information requested by Microsoft under the Service Provider's Agreement. Microsoft will be an intended third-party beneficiary of your agreement with Service Provider, with the right to enforce provisions of your agreement with Service Provider and to verify your compliance.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 AND DATA PROTECTION</w:t>
      </w:r>
      <w:r>
        <w:rPr>
          <w:rFonts w:ascii="Segoe UI" w:eastAsia="Times New Roman" w:hAnsi="Segoe UI" w:cs="Segoe UI"/>
          <w:color w:val="505050"/>
          <w:sz w:val="18"/>
          <w:szCs w:val="18"/>
        </w:rPr>
        <w:t>.  The Software Service will be provided by Service Provider you under its privacy policy.</w:t>
      </w:r>
    </w:p>
    <w:p>
      <w:pPr>
        <w:pStyle w:val="Heading3"/>
        <w:spacing w:before="150" w:beforeAutospacing="0"/>
        <w:rPr>
          <w:rFonts w:eastAsia="Times New Roman"/>
          <w:color w:val="0078D4"/>
          <w:sz w:val="26"/>
          <w:szCs w:val="26"/>
        </w:rPr>
      </w:pPr>
      <w:r>
        <w:rPr>
          <w:rFonts w:eastAsia="Times New Roman"/>
          <w:color w:val="0078D4"/>
          <w:sz w:val="26"/>
          <w:szCs w:val="26"/>
        </w:rPr>
        <w:t>Azure VMware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Deployment and Usage Information</w:t>
      </w:r>
    </w:p>
    <w:p>
      <w:pPr>
        <w:pStyle w:val="NormalWeb"/>
        <w:spacing w:after="150"/>
      </w:pPr>
      <w:r>
        <w:t>Customer authorizes Microsoft to share with VMware its status as a customer of Azure VMware Solution and associated Azure VMware Solution deployment and usage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Foundry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Integrated Services</w:t>
      </w:r>
    </w:p>
    <w:p>
      <w:pPr>
        <w:pStyle w:val="NormalWeb"/>
        <w:spacing w:after="150"/>
      </w:pPr>
      <w:r>
        <w:t>When Azure AI Services or Azure Machine Learning services are accessed and used through Microsoft Foundry, the product terms applicable to those services apply in addition to applicable Microsoft Foundry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w:t>
      </w:r>
    </w:p>
    <w:p>
      <w:pPr>
        <w:pStyle w:val="NormalWeb"/>
        <w:spacing w:after="150"/>
      </w:pPr>
      <w:r>
        <w:t>When Customer uses Grounding with Bing Search and/or Grounding with Bing Custom Search (including use of Web Knowledge Source), Customer's use will be of a </w:t>
      </w:r>
      <w:hyperlink w:anchor="_Toc22" w:tooltip="First-Party Consumption Services are Microsoft Online Services that are available as Azure meters. These Microsoft services include, but are not limited to, certain Power Platform, Dynamics 365, Microsoft 365 Copilot Chat, Dragon Copilot, and GitHub meters" w:history="1">
        <w:r>
          <w:rPr>
            <w:u w:val="single"/>
          </w:rPr>
          <w:t>First-Party Consumption Service</w:t>
        </w:r>
      </w:hyperlink>
      <w:r>
        <w:t xml:space="preserve"> governed by the terms at </w:t>
      </w:r>
      <w:hyperlink r:id="rId170"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Foundry Models</w:t>
      </w:r>
    </w:p>
    <w:p>
      <w:pPr>
        <w:pStyle w:val="NormalWeb"/>
        <w:spacing w:after="150"/>
      </w:pPr>
      <w:r>
        <w:rPr>
          <w:rStyle w:val="Strong"/>
        </w:rPr>
        <w:t>Third-party models</w:t>
      </w:r>
      <w:r>
        <w:t xml:space="preserve">: Any third-party models that Microsoft makes available through Microsoft Foundry Models (including in a Model Catalog, Model Registry, or otherwise) are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for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Notwithstanding the foregoing, any </w:t>
      </w:r>
      <w:hyperlink w:anchor="_Toc22" w:tooltip="Azure Direct Model means an AI model designated and deployed as an Azure Direct Model in Microsoft Foundry." w:history="1">
        <w:r>
          <w:rPr>
            <w:rStyle w:val="Hyperlink"/>
            <w:color w:val="505050"/>
          </w:rPr>
          <w:t>Azure Direct Model</w:t>
        </w:r>
      </w:hyperlink>
      <w:r>
        <w:t xml:space="preserve"> that is not designated as an open license model is subject to the terms below for </w:t>
      </w:r>
      <w:hyperlink w:anchor="_Toc22" w:tooltip="Azure Direct Model means an AI model designated and deployed as an Azure Direct Model in Microsoft Foundry." w:history="1">
        <w:r>
          <w:rPr>
            <w:rStyle w:val="Hyperlink"/>
            <w:color w:val="505050"/>
          </w:rPr>
          <w:t>Azure Direct Models</w:t>
        </w:r>
      </w:hyperlink>
      <w:r>
        <w:t>.</w:t>
      </w:r>
    </w:p>
    <w:p>
      <w:pPr>
        <w:pStyle w:val="NormalWeb"/>
        <w:spacing w:before="150"/>
      </w:pPr>
      <w:r>
        <w:rPr>
          <w:rStyle w:val="Strong"/>
        </w:rPr>
        <w:t xml:space="preserve">Models from Microsoft other than </w:t>
      </w:r>
      <w:hyperlink w:anchor="_Toc22" w:tooltip="Azure Direct Model means an AI model designated and deployed as an Azure Direct Model in Microsoft Foundry." w:history="1">
        <w:r>
          <w:rPr>
            <w:rStyle w:val="Strong"/>
          </w:rPr>
          <w:t>Azure Direct Models</w:t>
        </w:r>
      </w:hyperlink>
      <w:r>
        <w:t xml:space="preserve">: Microsoft may make models available in the Model Catalog as </w:t>
      </w:r>
      <w:hyperlink w:anchor="_Toc22"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subject to the </w:t>
      </w:r>
      <w:hyperlink r:id="rId54" w:anchor="clause-2588-h3-1" w:tgtFrame="_blank" w:history="1">
        <w:r>
          <w:rPr>
            <w:rStyle w:val="Hyperlink"/>
            <w:color w:val="505050"/>
          </w:rPr>
          <w:t>Azure availability clause</w:t>
        </w:r>
      </w:hyperlink>
      <w:r>
        <w:t xml:space="preserve"> and subject to the license terms provided with the models.</w:t>
      </w:r>
    </w:p>
    <w:p>
      <w:pPr>
        <w:pStyle w:val="NormalWeb"/>
        <w:spacing w:before="150"/>
      </w:pPr>
      <w:r>
        <w:rPr>
          <w:rStyle w:val="Strong"/>
        </w:rPr>
        <w:t>Azure Direct Models</w:t>
      </w:r>
      <w:r>
        <w:t xml:space="preserve">: </w:t>
      </w:r>
      <w:hyperlink w:anchor="_Toc22" w:tooltip="Azure Direct Model means an AI model designated and deployed as an Azure Direct Model in Microsoft Foundry." w:history="1">
        <w:r>
          <w:rPr>
            <w:rStyle w:val="Hyperlink"/>
            <w:color w:val="505050"/>
          </w:rPr>
          <w:t>Azure Direct Models</w:t>
        </w:r>
      </w:hyperlink>
      <w:r>
        <w:t xml:space="preserve"> provided through Microsoft Foundry Models (excluding any </w:t>
      </w:r>
      <w:hyperlink w:anchor="_Toc22" w:tooltip="Azure Direct Model means an AI model designated and deployed as an Azure Direct Model in Microsoft Foundry." w:history="1">
        <w:r>
          <w:rPr>
            <w:rStyle w:val="Hyperlink"/>
            <w:color w:val="505050"/>
          </w:rPr>
          <w:t>Azure Direct Model</w:t>
        </w:r>
      </w:hyperlink>
      <w:r>
        <w:t xml:space="preserve"> designated as an open license model) are subject to the </w:t>
      </w:r>
      <w:hyperlink r:id="rId25" w:tgtFrame="_blank" w:history="1">
        <w:r>
          <w:rPr>
            <w:rStyle w:val="Hyperlink"/>
            <w:color w:val="505050"/>
          </w:rPr>
          <w:t>Universal License Terms for Online Services</w:t>
        </w:r>
      </w:hyperlink>
      <w:r>
        <w:t xml:space="preserve"> (including the terms for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Services</w:t>
        </w:r>
      </w:hyperlink>
      <w:r>
        <w:t>) and Azure service terms as supplemented or modified below:</w:t>
      </w:r>
    </w:p>
    <w:p>
      <w:pPr>
        <w:numPr>
          <w:ilvl w:val="0"/>
          <w:numId w:val="93"/>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Access</w:t>
      </w:r>
      <w:r>
        <w:rPr>
          <w:rFonts w:ascii="Segoe UI" w:eastAsia="Times New Roman" w:hAnsi="Segoe UI" w:cs="Segoe UI"/>
          <w:color w:val="505050"/>
          <w:sz w:val="18"/>
          <w:szCs w:val="18"/>
        </w:rPr>
        <w:t xml:space="preserve">: Microsoft reserves the right to designate specific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(or versions of models) as Limited Access Services, in which case the Limited Access Services terms for Azure AI Services will apply to access to and use of such designated model.</w:t>
      </w:r>
    </w:p>
    <w:p>
      <w:pPr>
        <w:numPr>
          <w:ilvl w:val="0"/>
          <w:numId w:val="9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Use and Access for Abuse Monitoring</w:t>
      </w:r>
      <w:r>
        <w:rPr>
          <w:rFonts w:ascii="Segoe UI" w:eastAsia="Times New Roman" w:hAnsi="Segoe UI" w:cs="Segoe UI"/>
          <w:color w:val="505050"/>
          <w:sz w:val="18"/>
          <w:szCs w:val="18"/>
        </w:rPr>
        <w:t xml:space="preserve">: Except for the Limited exception below, as part of providing the Azure Direct Models, Microsoft will temporarily store </w:t>
      </w:r>
      <w:hyperlink w:anchor="_Toc22"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and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to monitor for and prevent abusive or harmful uses or outputs of the service. Authorized Microsoft employees may review such data that has triggered our automated systems to investigate and verify potential abuse. For customers who have deployed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the European Economic Area, the authorized Microsoft employees will be located in the European Economic Area. See the product documentation </w:t>
      </w:r>
      <w:hyperlink r:id="rId171" w:tgtFrame="_blank" w:history="1">
        <w:r>
          <w:rPr>
            <w:rStyle w:val="Hyperlink"/>
            <w:rFonts w:ascii="Segoe UI" w:eastAsia="Times New Roman" w:hAnsi="Segoe UI" w:cs="Segoe UI"/>
            <w:color w:val="505050"/>
            <w:sz w:val="18"/>
            <w:szCs w:val="18"/>
          </w:rPr>
          <w:t>https://learn.microsoft.com/azure/ai-services/openai/</w:t>
        </w:r>
      </w:hyperlink>
      <w:r>
        <w:rPr>
          <w:rFonts w:ascii="Segoe UI" w:eastAsia="Times New Roman" w:hAnsi="Segoe UI" w:cs="Segoe UI"/>
          <w:color w:val="505050"/>
          <w:sz w:val="18"/>
          <w:szCs w:val="18"/>
        </w:rPr>
        <w:t xml:space="preserve"> for more information. </w:t>
      </w:r>
    </w:p>
    <w:p>
      <w:pPr>
        <w:numPr>
          <w:ilvl w:val="0"/>
          <w:numId w:val="9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exception</w:t>
      </w:r>
      <w:r>
        <w:rPr>
          <w:rFonts w:ascii="Segoe UI" w:eastAsia="Times New Roman" w:hAnsi="Segoe UI" w:cs="Segoe UI"/>
          <w:color w:val="505050"/>
          <w:sz w:val="18"/>
          <w:szCs w:val="18"/>
        </w:rPr>
        <w:t xml:space="preserve">. The Data Use and Access for Abuse Monitoring terms will not apply if and to the extent Customer is approved for and complies with all requirements to use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with Modified Abuse Monitoring.</w:t>
      </w:r>
    </w:p>
    <w:p>
      <w:pPr>
        <w:numPr>
          <w:ilvl w:val="0"/>
          <w:numId w:val="93"/>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Output Content for fine-tuning.</w:t>
      </w:r>
      <w:r>
        <w:rPr>
          <w:rFonts w:ascii="Segoe UI" w:eastAsia="Times New Roman" w:hAnsi="Segoe UI" w:cs="Segoe UI"/>
          <w:color w:val="505050"/>
          <w:sz w:val="18"/>
          <w:szCs w:val="18"/>
        </w:rPr>
        <w:t xml:space="preserve"> Notwithstanding the restrictions on Use of Content for Training in the Universal License Terms for Microsoft Generative AI Services, and unless otherwise provided in these terms for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Customers may use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to create synthetic data for use solely to fine-tune the following model types and use them as described below: </w:t>
      </w:r>
    </w:p>
    <w:p>
      <w:pPr>
        <w:numPr>
          <w:ilvl w:val="0"/>
          <w:numId w:val="21"/>
        </w:numPr>
        <w:spacing w:line="240" w:lineRule="auto"/>
        <w:ind w:left="600"/>
        <w:rPr>
          <w:rFonts w:ascii="Segoe UI" w:eastAsia="Times New Roman" w:hAnsi="Segoe UI" w:cs="Segoe UI"/>
          <w:color w:val="505050"/>
          <w:sz w:val="18"/>
          <w:szCs w:val="18"/>
        </w:rPr>
      </w:pP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using the fine-tuning capabilities of and for deployment in Microsoft Foundry Models,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AI custom models, using the fine-tuning capabilities of and for use in that Azure AI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Fine-tunable models available in the Microsoft Foundry model catalog, using Azure fine-tuning capabilities of and for deployment via serverless API (Model-as-a-Service),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Models that are (i) designed to modify </w:t>
      </w:r>
      <w:hyperlink w:anchor="_Toc22"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or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Customer's use case and (ii) are deployed in one or more applications that interact with a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Grok models. </w:t>
      </w:r>
      <w:r>
        <w:rPr>
          <w:rFonts w:ascii="Segoe UI" w:eastAsia="Times New Roman" w:hAnsi="Segoe UI" w:cs="Segoe UI"/>
          <w:color w:val="505050"/>
          <w:sz w:val="18"/>
          <w:szCs w:val="18"/>
        </w:rPr>
        <w:t>Grok models are trained and developed by xAI. Use of Grok models in Microsoft Foundry Models is subject to – and xAI is an intended third-party beneficiary with the right to enforce – the following additional terms: </w:t>
      </w:r>
      <w:hyperlink r:id="rId172" w:tgtFrame="_blank" w:history="1">
        <w:r>
          <w:rPr>
            <w:rStyle w:val="Hyperlink"/>
            <w:rFonts w:ascii="Segoe UI" w:eastAsia="Times New Roman" w:hAnsi="Segoe UI" w:cs="Segoe UI"/>
            <w:color w:val="505050"/>
            <w:sz w:val="18"/>
            <w:szCs w:val="18"/>
          </w:rPr>
          <w:t>https://x.ai/legal/acceptable-use-policy.</w:t>
        </w:r>
      </w:hyperlink>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Certain Llama models. </w:t>
      </w:r>
      <w:r>
        <w:rPr>
          <w:rFonts w:ascii="Segoe UI" w:eastAsia="Times New Roman" w:hAnsi="Segoe UI" w:cs="Segoe UI"/>
          <w:color w:val="505050"/>
          <w:sz w:val="18"/>
          <w:szCs w:val="18"/>
        </w:rPr>
        <w:t xml:space="preserve">Llama models are trained and developed by Meta Platforms Inc. Use of Llama 3 and Llama 4 models as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Microsoft Foundry Models is subject to – and Meta Platforms Inc. is an intended third-party beneficiary with the right to enforce –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Commercial Terms. If the monthly active users of the products or services made available by or for Customer, or its affiliates, is greater than 700 million monthly active users in the preceding calendar month, Customer is not authorized to use or access the Llama models unless or until Meta expressly grants Customer such rights.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 Restrictions. If Customer is an individual domiciled in, or a company with a principal place of business in, the European Union, Customer is not permitted to, and agrees not to, use Microsoft Foundry Models to access any multimodal Llama models that may be made available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This restriction does not apply to end users of Customer's integrated product that incorporate any such multimodal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Indemnification.  Customer will indemnify and hold harmless Meta from and against any claim by any third party arising out of or related to Customer's use or distribution of the Llama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High Risk Use. Customer agrees not to use, or to allow others to use, the Llama models to engage in, promote, incite, facilitate, or assist in the planning or development of activities that present a risk of death or bodily harm to individuals, including use of the Llama models related to military, warfare, nuclear industries or applications, espionage, or use for materials or activities that are subject to the International Traffic Arms Regulations (ITAR) maintained by the United States Department of State or to the U.S. Biological Weapons Anti-Terrorism Act of 1989 or to the Chemical Weapons Convention Implementation Act of 1997.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Attribution. If customer utilizes any Llama models (or any derivative works thereof, including via model distillation) within a product or service, Customer shall prominently display "Built with Llama" on a related website, user interface, blog post, "About" page or product documentation. Customer must also include an attribution notice in an "About", "Licenses", "Notice", or similar web page or text-based file which includes: "Llama [Version #] is licensed under the Llama [Version #] Community License, Copyright © Meta Platforms, Inc. All Rights Reserved" (and Customer will include the applicable version number for the relevant Llama AI model within the "[Version #]" placeholder in such notice). For clarity, if Customer's end users use or receive the Llama models (or any derivative works thereof) from Customer as part of use of Customer's integrated product, then this requirement does not apply to any such end users.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Black Forest Labs models.</w:t>
      </w:r>
      <w:r>
        <w:rPr>
          <w:rFonts w:ascii="Segoe UI" w:eastAsia="Times New Roman" w:hAnsi="Segoe UI" w:cs="Segoe UI"/>
          <w:color w:val="505050"/>
          <w:sz w:val="18"/>
          <w:szCs w:val="18"/>
        </w:rPr>
        <w:t xml:space="preserve"> Black Forest Labs models are trained and developed by Black Forest Labs Inc. Use of Black Forest Labs models in Microsoft Foundry Models is subject to - and Black Forest Labs Inc. is an intended third-party beneficiary with the right to enforce - the following additional terms:</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Application; End Users. If Customer integrates any of the Black Forest Labs models or any Derivatives into a service, website, and/or application ("Customer Application"), then Customer must bind the end users of the Customer Application ("End Users") to an enforceable end user agreement, acceptable use policy, and privacy policy that contains terms no less protected of Black Forest Labs than those set forth in this agreement and in the Black Forest Labs' Usage Policy available at </w:t>
      </w:r>
      <w:hyperlink r:id="rId173" w:tgtFrame="_blank" w:history="1">
        <w:r>
          <w:rPr>
            <w:rStyle w:val="Hyperlink"/>
            <w:rFonts w:ascii="Segoe UI" w:eastAsia="Times New Roman" w:hAnsi="Segoe UI" w:cs="Segoe UI"/>
            <w:color w:val="505050"/>
            <w:sz w:val="18"/>
            <w:szCs w:val="18"/>
          </w:rPr>
          <w:t>https://bfl.ai/legal/usage-policy</w:t>
        </w:r>
      </w:hyperlink>
      <w:r>
        <w:rPr>
          <w:rFonts w:ascii="Segoe UI" w:eastAsia="Times New Roman" w:hAnsi="Segoe UI" w:cs="Segoe UI"/>
          <w:color w:val="505050"/>
          <w:sz w:val="18"/>
          <w:szCs w:val="18"/>
        </w:rPr>
        <w:t>. If Customer becomes aware, or if Black Forest Labs reasonably suspects, that an End User is not in compliance with any such agreement, then Customer must immediately terminate such End User's access to and use of the Black Forest Labs models or Derivatives, and take any other steps as reasonably requested by Black Forest Labs. Customer will provide access to Black Forest Labs models to End Users only in accordance with these terms and Customer is solely responsible for all activities that occur on the Customer Application, under End User accounts, or by End Users. Customer represents and warrants to Black Forest Labs that the Customer Application will, at all times, comply with applicable laws. If Customer breaches any of these terms, all licenses granted with respect to use of Black Forest Labs models will terminate automatically. For purposes of these additional terms for Black Forest Labs models, "Derivatives" means anything that would be considered a derivative of a Black Forest Labs model under law and, whether or not considered a derivative under law, any modified version of a Black Forest Labs model (including but not limited to any fine-tuned version thereof).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BFL Outputs. The Black Forest Labs models and Derivatives may generate the same or similar BFL Output for other users, and use of the Black Forest Labs models and Derivatives may result in incorrect, obscene, or unreal BFL Output. As between Customer and Black Forest Labs, Customer is responsible for the BFL Outputs generated via the Customer Application. Customer evaluate BFL Outputs and assess the suitability for use of Black Forest Labs models. When using Black Forest Labs models or Derivatives in the Customer Application, Customer (i) shall not represent that BFL Output was human-generated; (ii) acknowledge that BFL Outputs may not be unique across users and Black Forest Labs models may generate the same or similar BFL Output for multiple users; (iii) acknowledge that BFL Outputs may contain "hallucinations" and may be inaccurate, objectionable, inappropriate, or otherwise unsuited to Customer's purpose. Customer may not use, or direct third parties to use, the Black Forest Labs models or Derivatives to generate BFL Output for the purpose of creating synthetic training data to develop or train AI models or systems that have substantially similar functionality to the Black Forest Labs models. As between Customer and Black Forest Labs, Black Forest Labs claims no ownership rights in and to Customer's BFL Output.</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Restrictions. Customer agrees that Customer will not, and will not allow or facilitate any third party (including any End User)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Input (as defined in the Product Terms), or BFL Output in a manner that violates any applicable laws or these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Modify decompile, create Derivatives based upon, or otherwise alter the Black Forest Labs models, except to the extent enabled in the service or expressly authorized by Black Forest Labs;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Derivatives, or BFL Output to develop any product, service, or technology that competes with Black Forest Labs or any of its products or services, including using any BFL Output to train, distill or fine tune any other AI models;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Attempt to gain unauthorized access to, interface with, damage, or disrupt the Black Forest Labs models, Derivatives, or the computer systems or networks connected to the Black Forest Labs models;</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 Circumvent, remove, alter, deactivate, degrade, or thwart any technological measure or content protections of the Black Forest Labs models or Derivatives;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robot, spider, crawlers, scraper, or other automatic device, process, software or queries that intercepts, "mines," scrapes, extracts, or otherwise accesses the Black Forest Labs models to monitor, extract, copy or collect information or data from or through the Black Forest Labs models, or engage in any manual process to do the same;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Upload images of individuals to the Black Forest Labs models or Derivatives without their consent or use the Black Forest Labs models or Derivatives in a harassing, threatening, abusive, inflammatory, harmful, hateful, cruel, insensitive, deceptive, or otherwise objectionable manner;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violate any applicable U.S. and non-U.S. export control and trade sanctions laws ("Export Laws") in connection with use of the Black Forest Labs models or Derivatives; or</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distribute, export, or otherwise transfer the Black Forest Labs models or Derivatives (a) to any individual, entity, or country prohibited by Export Laws; (b) to anyone on U.S. or non-U.S. government restricted parties lists; or (c) for any purpose prohibited by Export Laws, including nuclear, chemical or biological weapons, or missile technology applications.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Content Filters and Labelling. As part of Customer's use of Black Forest Labs models or Derivatives, Customer must (i) implement and maintain content filtering measures to prevent the creation, display, transmission, generation, or dissemination of unlawful or infringing content, or (ii) ensure BFL Output undergoes review for unlawful or infringing content before public or non-public distribution, display, transmission or dissemination. Customer must follow applicable law for use of the Black Forest Labs Models to create, display, transmit, generate, or disseminate content. Customer must comply with applicable law on content provenance measures in Customer's use of the Black Forest Labs models. Customer must also implement reasonable abuse monitoring measures for Customer's End User's use of the Customer Application and the Black Forest Labs models or Derivatives.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Release. Customer hereby releases and forever discharges Black Forest Labs and its predecessors, successors, and their respective parent corporations, affiliates, related, and/or subsidiary entities, and all of their past and present investors, directors, shareholders, officers, general or limited partners, employees, attorneys, agents and representatives (the "BFL Releasees"), from and against any and all claims, debts, demands, accounts, judgments, rights, causes of action, equitable relief, damages, costs, charges, complaints, obligations, promises, agreements, controversies, suits, expenses, compensation, responsibility and liability of every kind and character whatsoever (including attorneys' fees and costs), whether in law or equity known or unknown, asserted or unasserted, suspected or unsuspected (collectively, "BFL Released Claims"), arising directly or indirectly, out of or related to BFL Output, content filtering, and content moderation, or the failure to implement adequate content filtering or content moderation.</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CUSTOMER ACKNOWLEDGES THAT IT HAS BEEN ADVISED OF AND IS FAMILIAR WITH THE PROVISIONS OF CALIFORNIA CIVIL CODE SECTION 1542,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BEING AWARE OF SAID CODE SECTION, CUSTOMER HEREBY EXPRESSLY WAIVES ANY RIGHTS CUSTOMER MAY HAVE THEREUNDER WITH RESPECT TO BLACK FOREST LABS, AS WELL AS UNDER ANY OTHER STATUTES OR COMMON LAW PRINCIPLES OF SIMILAR EFFECT.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Black Forest Labs Technology; Ownership.  Black Forest Labs will own all right, title, and interest in and to (i) any of the artificial intelligence and machine learning models — including the models' various elements, such as model weights, algorithms, software, checkpoints, parameters, source code (inference code, evaluation code, fine-tuning code) — offered as a Black Forest Labs model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(ii) any software code offered as a Black Forest Labs model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and (iii) any Black Forest Labs names, logos, trademarks, and service marks of the models offered as a Black Forest Labs model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(collectively, "Black Forest Labs Technology"). Customer acknowledges that no intellectual property rights are assigned or transferred to Customer under these terms, other than the limited right to access and use the a Black Forest Labs models via Azure Direct Models. In the event that, by operation of law or otherwise, Customer obtains any intellectual property rights, interest, or ownership in any Black Forest Labs Technology, Customer agrees, to the fullest extent possible under applicable law, to assign such rights to Black Forest Labs.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Indemnification. Customer agrees to indemnify, defend and hold Black Forest Labs and its parents, affiliates, related companies, officers, directors, employees, agents, representatives, partners, and licensors harmless from and against any and all actions, causes of actions, claims, demands, liabilities, losses, judgments, damages or expenses (collectively, "BFL Indemnity Claims") which Black Forest Labs may at any time incur, sustain or become subject to by reason of any BFL Indemnity Claim (a) brought by a third party and arising from Customer's or, if applicable, Customer's End User's (i) breach of these terms or any law or regulation, (ii) operation of a Customer Application, (iii) violation of any rights of any third party, (iv) misuse of the Black Forest Labs models, (v) content or Input, (vi) BFL Output, (vii) fine-tuning of any Black Forest Labs models, and (viii) negligence or willful misconduct or (b) brought by an End User. Customer will pay all costs, damages, and expenses incurred by Black Forest Labs, including reasonable attorneys' fees and costs awarded against or otherwise incurred Black Forest Labs in connection with or arising from any such BFL Indemnity Claim, provided that Black Forest Labs notifies Customer of any such BFL Indemnity Claim. If Customer does not timely and adequately conduct such defense, Black Forest Labs may, at its option and at Customer's expense, conduct such defense, contest, litigate or settle the BFL Indemnity Claim using counsel of Black Forest Labs' own choice without prejudice to Black Forest Labs' right of indemnification. Black Forest Labs will have the right to be represented by counsel at its own expense in any such contest, defense, litigation or settlement conducted by Customer.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Effect of Termination or Expiration. Upon termination or expiration of Customer's agreement with Microsoft, all licenses granted under the agreement to use Black Forest Labs models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will terminate.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Certain Mistral Models</w:t>
      </w:r>
      <w:r>
        <w:rPr>
          <w:rFonts w:ascii="Segoe UI" w:eastAsia="Times New Roman" w:hAnsi="Segoe UI" w:cs="Segoe UI"/>
          <w:color w:val="505050"/>
          <w:sz w:val="18"/>
          <w:szCs w:val="18"/>
        </w:rPr>
        <w:t xml:space="preserve">. Mistral models are trained and developed by Mistral AI and its Affiliates ("Mistral AI"). Use of Mistral models as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("Mistral AI Products") in Microsoft Foundry Models is subject to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Intellectual Property. As between Customer and Mistral AI, Mistral AI remains the sole owner of all right, title, and interest in and to the Mistral AI Products, including any modifications or enhancements thereto, and all intellectual property in all of the foregoing, but excluding any developments made by Customer to customize a Mistral AI Product or in furtherance of Customer's use of a Mistral AI Product, in each case only as expressly authorized under the Product Terms including these additional terms ("Customer Developments"). Mistral AI makes no claims of any right, title, or interest in or to Customer Developments. For the avoidance of doubt, Customer Developments do not include the underlying Mistral AI Product customized or used by Customer. </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Restrictions. Customer will not, and will not permit any other person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violates any applicable laws or the Product Terms including these additional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infringes, misappropriates, or otherwise violates any third party's rights, including intentionally using the Mistral AI Products to generate Mistral Outputs that infringe third party rights; "Mistral Outputs" means output from a Mistral AI Product based on Customer's Input);</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send any personal information of children under 13 or the applicable age of digital consent or allow minors to use the Mistral AI Products without consent from their parent or guardian; reverse assemble, reverse compile, decompile, translate, engage in model extraction or stealing attacks, or otherwise attempt to discover the source code or underlying components of the Mistral AI Products, algorithms, and systems of the Mistral AI Products (except to the extent these restrictions are contrary to applicable law);</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compromise the security or proper functionality of the Mistral AI Products, including interfering with, circumventing, or bypassing security or moderation mechanisms in the Mistral AI Products or performing any vulnerability, penetration, or similar testing of the Mistral AI Products;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method to extract any content from the Mistral AI Products other than Mistral Outputs; or distribute or market the Mistral AI Products as a standalone product or Mistral AI Product and/or act as a distributor of the Mistral AI Products without Mistral AI's prior written consent.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Disclaimer. EXCEPT FOR THE EXPRESS WARRANTIES PROVIDED BY MISTRAL AI IN THE PRODUCT TERMS INCLUDING THESE ADDITIONAL TERMS, MISTRAL AI PROVIDES NO WARRANTIES, WHETHER EXPRESS, IMPLIED, STATUTORY, OR OTHERWISE, INCLUDING WARRANTIES OF MERCHANTIBILITY OR FITNESS FOR A PARTICULAR PURPOSE, OR THAT THE MISTRAL OUTPUTS WILL BE ACCURATE, RELIABLE, COMPLETE, OR SUITABLE FOR CUSTOMER'S SPECIFIC REQUIREMENTS. THESE DISCLAIMERS WILL APPLY EXCEPT TO THE EXTENT APPLICABLE LAW DOES NOT PERMIT THEM.</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Indemnity.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Mistral AI. Mistral AI will indemnify, defend, and hold Customer harmless against any liabilities, damages and costs (including reasonable attorneys' fees) arising out of a third-party claim to the extent alleging that the Mistral AI Products infringe that third party's patent, copyright or trademark or makes unlawful use of its trade secret. Mistral AI will have no obligations under this clause to the extent the claim arises from: (i) the combination of the Mistral AI Products with software, hardware, or any other equipment not provided by or on behalf of Mistral AI or otherwise authorized or recommended in the applicable documentation; (ii) modification of the Mistral AI Products or Mistral Outputs by any party other than Mistral AI; (iii) Customer Data; or (iv) Customer's breach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Customer. Customer will indemnify, defend, and hold Mistral AI and its licensors harmless from and against any liabilities, damages, and costs (including reasonable attorneys' fees) arising out of a third-party claim related to the use of the Mistral AI Products in violation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Procedure. The indemnification obligations in this section are subject to the indemnifying Party (a) receiving a prompt written notice of such claim; (b) being granted the exclusive right to control and direct (including the authority to select legal counsel) the investigation, defense or settlement strategy of such claim; and (c) benefitting from all reasonable necessary cooperation and assistance, including access to the relevant information, by the indemnified Party at the indemnifying Party's expense. Any settlement requiring the indemnified Party to admit liability, pay money, or take (or refrain from taking) any action, will require the indemnified Party's prior written consent. </w:t>
      </w:r>
    </w:p>
    <w:p>
      <w:pPr>
        <w:pStyle w:val="Heading3"/>
        <w:spacing w:before="150" w:beforeAutospacing="0"/>
        <w:rPr>
          <w:rFonts w:eastAsia="Times New Roman"/>
          <w:color w:val="0078D4"/>
          <w:sz w:val="26"/>
          <w:szCs w:val="26"/>
        </w:rPr>
      </w:pPr>
      <w:r>
        <w:rPr>
          <w:rFonts w:eastAsia="Times New Roman"/>
          <w:color w:val="0078D4"/>
          <w:sz w:val="26"/>
          <w:szCs w:val="26"/>
        </w:rPr>
        <w:t>Azure AI Services</w:t>
      </w:r>
    </w:p>
    <w:p>
      <w:pPr>
        <w:pStyle w:val="NormalWeb"/>
        <w:spacing w:after="150"/>
      </w:pPr>
      <w:r>
        <w:t>For the purposes of this section, "Services" means collectively the Azure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documentation</w:t>
      </w:r>
    </w:p>
    <w:p>
      <w:pPr>
        <w:pStyle w:val="NormalWeb"/>
        <w:spacing w:after="150"/>
      </w:pPr>
      <w:r>
        <w:t>Microsoft may provide technical documentation regarding the appropriate operation applicable to the Services (including the applicable developer guides), which is made available online by Microsoft and updated from time to time. Customer acknowledges and agrees that it has reviewed this documentation and will use the Services in accordance with such documentation, as applicable.  </w:t>
      </w:r>
    </w:p>
    <w:p>
      <w:pPr>
        <w:pStyle w:val="NormalWeb"/>
        <w:spacing w:before="150"/>
      </w:pPr>
      <w:r>
        <w:t xml:space="preserve">Some Services are intended to process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that includes Biometric Data (as may be further described in product documentation) which Customer may incorporate into its own systems used for personal identification or other purposes. Customer acknowledges and agrees that it is responsible for complying with the Biometric Data obligations contained in the Online Services DPA (</w:t>
      </w:r>
      <w:hyperlink r:id="rId73" w:tgtFrame="_blank" w:history="1">
        <w:r>
          <w:rPr>
            <w:rStyle w:val="Hyperlink"/>
            <w:color w:val="505050"/>
          </w:rPr>
          <w:t>https://aka.ms/DPA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 on Customer use of service output</w:t>
      </w:r>
    </w:p>
    <w:p>
      <w:pPr>
        <w:pStyle w:val="NormalWeb"/>
        <w:spacing w:after="150"/>
      </w:pPr>
      <w:r>
        <w:t>Customer will not use, and will not allow third parties to use the Services or data from the Services to create, train, or improve (directly or indirectly) a similar or competing product or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Limited Access Services</w:t>
      </w:r>
    </w:p>
    <w:p>
      <w:pPr>
        <w:pStyle w:val="NormalWeb"/>
        <w:spacing w:after="150"/>
      </w:pPr>
      <w:r>
        <w:t>Certain Services (or versions thereof) require registration and are subject to limitations on access and use based on Microsoft's eligibility and use criteria, as updated by Microsoft from time to time ("Limited Access Services"). The following Azure AI Services are Limited Access Services:</w:t>
      </w:r>
    </w:p>
    <w:p>
      <w:pPr>
        <w:numPr>
          <w:ilvl w:val="0"/>
          <w:numId w:val="9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TTS custom neural voice </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custom TTS avatar</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Face</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celebrity recognition</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Video Indexer Applied AI Service</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designated as Limited Access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(Modified Content Filtering/Abuse Monitoring)</w:t>
      </w:r>
    </w:p>
    <w:p>
      <w:pPr>
        <w:pStyle w:val="NormalWeb"/>
        <w:spacing w:before="150"/>
      </w:pPr>
      <w:r>
        <w:rPr>
          <w:i/>
          <w:iCs/>
        </w:rPr>
        <w:t>NOTE: In addition to the services listed here, (i) Azure AI Services Previews may be designated, in applicable preview terms, as subject to Limited Access Services terms; and (ii) certain versions of Azure AI Services, such as versions in containers, may be designated, in product documentation or otherwise, as subject to Limited Access Services terms.</w:t>
      </w:r>
    </w:p>
    <w:p>
      <w:pPr>
        <w:pStyle w:val="NormalWeb"/>
        <w:spacing w:before="150"/>
      </w:pPr>
      <w:r>
        <w:t>Customer may only use Limited Access Services (including when used in a Customer Solution) in accordance with the applicable Product Terms, product documentation, and these Limited Access Services terms; solely for the permitted uses specified in its registration form; and in accordance with any commitments and/or representations made in its Limited Access Services registration form. Customer will provide current, complete, and accurate information in all registration forms and other materials provided to Microsoft pursuant to these Limited Access Service terms.  Microsoft may require Customer from time to time to re-verify that all information submitted to Microsoft regarding Customer and Customer's use of the Limited Access Services remains accurate, complete, and up to date, and that Customer is using the Limited Access Services in accordance with the information submitted and these terms. Customer must respond to requests for re-verification from Microsoft within ten (10) business days of receiving a request (requests may be provided via self-certification Azure tools). If Microsoft needs additional information to assure compliance with these terms or eligibility for access to Limited Access Services, Customer will reasonably cooperate with Microsoft to provide such information within thirty (30) business days of request. </w:t>
      </w:r>
    </w:p>
    <w:p>
      <w:pPr>
        <w:pStyle w:val="NormalWeb"/>
        <w:spacing w:before="150"/>
      </w:pPr>
      <w:r>
        <w:t>Microsoft may re-assess Customer's eligibility to access and use Limited Access Services from time to time. If Microsoft determines that Customer no longer meets Microsoft's eligibility and use criteria for a Limited Access Service (or that Customer does not meet eligibility and use criteria for a Service that has become a Limited Access Service), Microsoft will provide Customer with 12 months' notice before discontinuing Customer's access to and use of that Limited Access Service, unless security, legal, or system performance considerations require an expedited discontinuation of access. This does not apply to Previews and does not affect any other rights and remedies available to Microsoft with respect to Customer's use of Services. </w:t>
      </w:r>
    </w:p>
    <w:p>
      <w:pPr>
        <w:pStyle w:val="NormalWeb"/>
        <w:spacing w:before="150"/>
      </w:pPr>
      <w:r>
        <w:t>In addition to Microsoft's right to discontinue access to and use of a Limited Access Service when Customer no longer meets Microsoft's eligibility and use criteria (or Customer does not meet eligibility and use criteria for a Service that has become a Limited Access Service), Microsoft may limit, suspend or terminate Customer's access to a Limited Access Services for non-compliance with any of the terms in this section (including without limitation Customer's use of a Limited Access Service in a manner that is inconsistent with the Customer's Limited Access Service registration form or with requirements in applicable product documentation), without advance notice but only to the extent reasonably necessary under the circumstances.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Text-to-Speech (TTS) Services </w:t>
      </w:r>
    </w:p>
    <w:p>
      <w:pPr>
        <w:pStyle w:val="NormalWeb"/>
        <w:spacing w:after="150"/>
      </w:pPr>
      <w:r>
        <w:rPr>
          <w:rStyle w:val="Strong"/>
        </w:rPr>
        <w:t>Customer Data submitted to TTS Services</w:t>
      </w:r>
      <w:r>
        <w:t>: Customer represents and warrants that Customer has all necessary right, title, and interest to use all Customer's Data submitted to TTS Services.  </w:t>
      </w:r>
    </w:p>
    <w:p>
      <w:pPr>
        <w:pStyle w:val="NormalWeb"/>
        <w:spacing w:before="150"/>
      </w:pPr>
      <w:r>
        <w:rPr>
          <w:rStyle w:val="Strong"/>
        </w:rPr>
        <w:t>TTS Service output use rights</w:t>
      </w:r>
      <w:r>
        <w:t>: For Customers of the paid tier TTS Service only, Customer may use the audio output of prebuilt neural voices generated using the TTS Service, including for commercial purposes.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Customized TTS Services and use of Synthetic Voices</w:t>
      </w:r>
    </w:p>
    <w:p>
      <w:pPr>
        <w:pStyle w:val="NormalWeb"/>
        <w:spacing w:after="150"/>
      </w:pPr>
      <w:r>
        <w:rPr>
          <w:rStyle w:val="Strong"/>
        </w:rPr>
        <w:t>Permissions:</w:t>
      </w:r>
      <w:r>
        <w:t xml:space="preserve"> Customer represents, warrants and certifies that (i) it has explicit written permission from the voice owner(s) contained within its audio files ("Voice Talent") to use their personal data, including his/her voice likeness to create voice model(s) ("Synthetic Voice(s)"), (ii) Customer's agreement(s) contemplate the duration of use of the Synthetic Voice and any content limitations and (iii) Customer has shared Microsoft's disclosure guidance for voice talent (</w:t>
      </w:r>
      <w:hyperlink r:id="rId174" w:tgtFrame="_blank" w:history="1">
        <w:r>
          <w:rPr>
            <w:rStyle w:val="Hyperlink"/>
            <w:color w:val="505050"/>
          </w:rPr>
          <w:t>https://aka.ms/disclosure-voice-talent</w:t>
        </w:r>
      </w:hyperlink>
      <w:r>
        <w:t>) with Voice Talent directly or through Voice Talent's authorized representative that describes how synthetic voices are developed and operate in conjunction with TTS services. Microsoft reserves the right to require Customer to provide audio files containing acknowledgements by Voice Talent(s). Customer acknowledges and agrees that Microsoft may use this to perform speaker verification against Customer's audio training files; however, Microsoft's retention of audio files does not create or imply an obligation that Microsoft will perform speaker verification. </w:t>
      </w:r>
    </w:p>
    <w:p>
      <w:pPr>
        <w:pStyle w:val="NormalWeb"/>
        <w:spacing w:before="150"/>
      </w:pPr>
      <w:r>
        <w:rPr>
          <w:rStyle w:val="Strong"/>
        </w:rPr>
        <w:t>Permitted uses:</w:t>
      </w:r>
      <w:r>
        <w:t xml:space="preserve"> In addition to compliance with the Acceptable Use Policy, the Microsoft Enterprise AI Services Code of Conduct (</w:t>
      </w:r>
      <w:hyperlink r:id="rId53" w:tgtFrame="_blank" w:history="1">
        <w:r>
          <w:rPr>
            <w:rStyle w:val="Hyperlink"/>
            <w:color w:val="505050"/>
          </w:rPr>
          <w:t>https://aka.ms/AI-CoC</w:t>
        </w:r>
      </w:hyperlink>
      <w:r>
        <w:t>) sets the minimum requirements that all implementations of TTS Services must adhere to in good faith. Customer shall have the exclusive right to use the Synthetic Voice(s)s created by Customer and made available through use of the Services. Notwithstanding the foregoing or anything to the contrary in the DPA, Customer acknowledges and agrees that Microsoft may retain a copy of each Synthetic Voice created by Customer and may, but is not obligated to, use the Synthetic Voice(s) to investigate and respond to any alleged violations of the service terms. Customer agrees and grants Microsoft a limited nonexclusive irrevocable worldwide license to retain acknowledgment audio voice consent file(s)s and a copy of the Synthetic Voice(s) for the limited purposes above. Customer is required to secure and maintain all rights necessary for Microsoft to retain and use the acknowledgment audio files and Synthetic Voice(s) as described in this section without violating the rights of Voice Talent(s) or any other third party or otherwise obligating Microsoft to Customer, Voice Talent or any other third party. This paragraph will survive termination or expiration of Customer's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Translation Attribution</w:t>
      </w:r>
    </w:p>
    <w:p>
      <w:pPr>
        <w:pStyle w:val="NormalWeb"/>
        <w:spacing w:after="150"/>
      </w:pPr>
      <w:r>
        <w:t>When displaying automatic translations performed by Azure AI Service, Customer will provide reasonably prominent notice that the text has been automatically translated by the subject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AI Search</w:t>
      </w:r>
    </w:p>
    <w:p>
      <w:pPr>
        <w:pStyle w:val="NormalWeb"/>
        <w:spacing w:after="150"/>
      </w:pPr>
      <w:r>
        <w:t xml:space="preserve">When Customer uses Web Knowledge Source, which uses Grounding with Bing Search and/or Grounding with Bing Custom Search, Customer's use will be of a First-Party Consumption Service governed by the terms at </w:t>
      </w:r>
      <w:hyperlink r:id="rId170"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Content Safety</w:t>
      </w:r>
    </w:p>
    <w:p>
      <w:pPr>
        <w:pStyle w:val="Heading5"/>
        <w:rPr>
          <w:rFonts w:eastAsia="Times New Roman"/>
        </w:rPr>
      </w:pPr>
      <w:r>
        <w:rPr>
          <w:rFonts w:eastAsia="Times New Roman"/>
        </w:rPr>
        <w:t>Sample Content</w:t>
      </w:r>
    </w:p>
    <w:p>
      <w:pPr>
        <w:pStyle w:val="NormalWeb"/>
      </w:pPr>
      <w:r>
        <w:t>If Customer chooses to provide Microsoft with examples of Customer content ("Sample Content") to help Microsoft tailor the service to Customer's requirements as described in the service documentation, Customer agrees (a) that Microsoft will review and use it in accordance with that documentation, and (b) that Customer will abide by any requirements in that documentation, including the requirement not to include personal, confidential, or commercially sensitive information in Sample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in Containers</w:t>
      </w:r>
    </w:p>
    <w:p>
      <w:pPr>
        <w:pStyle w:val="NormalWeb"/>
        <w:spacing w:after="150"/>
      </w:pPr>
      <w:r>
        <w:t xml:space="preserve">Services' features that are available in containers are licensed to Customer under this agreement as Online Services, and the containers are also subject to the terms for Use of Software with the Online Service. Customer may install and use any number of containers on Customer's hardware devices that are dedicated to Customer's exclusive use, subject to the conditions specified below for connected and disconnected containers, respectively. For containers installed on dedicated hardware that is under the management or control of an entity other than Customer or one of its Affiliates, the Outsourcing Software Management clause of the </w:t>
      </w:r>
      <w:hyperlink r:id="rId168" w:history="1">
        <w:r>
          <w:rPr>
            <w:rStyle w:val="Hyperlink"/>
            <w:color w:val="505050"/>
          </w:rPr>
          <w:t>Universal License Terms for All Software</w:t>
        </w:r>
      </w:hyperlink>
      <w:r>
        <w:t>.  </w:t>
      </w:r>
    </w:p>
    <w:p>
      <w:pPr>
        <w:pStyle w:val="NormalWeb"/>
        <w:spacing w:before="150"/>
      </w:pPr>
      <w:r>
        <w:t>Microsoft may offer required and/or optional updates or supplements to the services in containers. If an update is required, Customer will update the container in accordance with the Microsoft notice requirements; failure to perform these updates may affect the container's functionality and/or the container may stop operating. </w:t>
      </w:r>
    </w:p>
    <w:p>
      <w:pPr>
        <w:pStyle w:val="NormalWeb"/>
        <w:spacing w:before="150"/>
      </w:pPr>
      <w:r>
        <w:t>The containers include material that is confidential and proprietary to Microsoft. Customer agrees to keep that material confidential and to promptly notify Microsoft if Customer becomes aware of any possible misappropriation or misuse.  </w:t>
      </w:r>
    </w:p>
    <w:p>
      <w:pPr>
        <w:pStyle w:val="NormalWeb"/>
        <w:spacing w:before="150"/>
      </w:pPr>
      <w:r>
        <w:rPr>
          <w:rStyle w:val="Strong"/>
        </w:rPr>
        <w:t>Connected Containers:</w:t>
      </w:r>
      <w:r>
        <w:t xml:space="preserve"> Connected containers are designed to connect to a billing endpoint. Customer must configure any connected containers it uses to communicate with the billing endpoint so that the billing endpoint meters all use of the container(s). In addition to the rights to install and use containers on dedicated hardware, Customer may also install and use any number of connected containers in Customer's Microsoft Azure Service accounts; all rights to install and use connected containers are subject to Customer's enabling and maintaining metering for all such containers.</w:t>
      </w:r>
    </w:p>
    <w:p>
      <w:pPr>
        <w:pStyle w:val="NormalWeb"/>
        <w:spacing w:before="150"/>
      </w:pPr>
      <w:r>
        <w:rPr>
          <w:rStyle w:val="Strong"/>
        </w:rPr>
        <w:t xml:space="preserve">Disconnected Containers: </w:t>
      </w:r>
      <w:r>
        <w:t>Disconnected containers are intended for use with no online connectivity to an Azure billing endpoint. Disconnected containers are subject to the terms for Limited Access Services. Disconnected containers have limited capacity workloads and usage is measured in units. As specified in the terms for Purchasing Microsoft Azure Services, Customer must pay upfront for a commitment tier at the number of units necessary to meet Customer's actual service usage for each license period. Customer has the rights specified above to install and use disconnected containers on dedicated hardware provided that the aggregate service usage in all Customer's disconnected containers does not exceed the usage for which Customer has paid for the applicable license period. Disconnected container units expire at the end of the license period, and Customer must activate (or reactivate, as applicable) disconnected container units before the beginning of the next license period. If Customer fails to reactive a disconnected container prior to the expiration of the applicable license period, the disconnected container will stop operating after the license expires.</w:t>
      </w:r>
    </w:p>
    <w:p>
      <w:pPr>
        <w:pStyle w:val="Heading3"/>
        <w:spacing w:before="150" w:beforeAutospacing="0"/>
        <w:rPr>
          <w:rFonts w:eastAsia="Times New Roman"/>
          <w:color w:val="0078D4"/>
          <w:sz w:val="26"/>
          <w:szCs w:val="26"/>
        </w:rPr>
      </w:pPr>
      <w:r>
        <w:rPr>
          <w:rFonts w:eastAsia="Times New Roman"/>
          <w:color w:val="0078D4"/>
          <w:sz w:val="26"/>
          <w:szCs w:val="26"/>
        </w:rPr>
        <w:t>Defender for Cloud - Use on Devices Managed by Third-Parties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Cloud with workloads running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Express Route Global Reach  </w:t>
      </w:r>
    </w:p>
    <w:p>
      <w:pPr>
        <w:pStyle w:val="NormalWeb"/>
        <w:spacing w:after="150"/>
      </w:pPr>
      <w:r>
        <w:t xml:space="preserve">Express Route Global Reach is an Azure Service offering data transport capabilities to Express Route users in certain locations. Express Route Global Reach is provided by the Microsoft Affiliate authorized in a given country to administer it. Pricing for Express Route Global Reach may include applicable taxes and fees. Express Route Global Reach terms may vary from country to country.  All included taxes, fees and country-specific terms of use are disclosed in the terms of use available at </w:t>
      </w:r>
      <w:hyperlink r:id="rId175" w:history="1">
        <w:r>
          <w:rPr>
            <w:rStyle w:val="Hyperlink"/>
            <w:color w:val="505050"/>
          </w:rPr>
          <w:t>https://aka.ms/CommunicationServicesTerms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Identity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Microsoft Defender for Identity Customers</w:t>
      </w:r>
    </w:p>
    <w:p>
      <w:pPr>
        <w:pStyle w:val="NormalWeb"/>
        <w:spacing w:after="150"/>
      </w:pPr>
      <w:r>
        <w:t xml:space="preserve">Customer may also install and use Advanced Threat Analytics locally to manage client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 are used solely by users to whom licenses are assigned. This right expires when Customer's subscription expires.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Automatic Updates for Microsoft for Identity</w:t>
      </w:r>
    </w:p>
    <w:p>
      <w:pPr>
        <w:pStyle w:val="NormalWeb"/>
        <w:spacing w:after="150"/>
      </w:pPr>
      <w:r>
        <w:t>Microsoft Defender for Identity may automatically download and install updates for you. You agree to receive these automatic updates without any additional notice.</w:t>
      </w:r>
    </w:p>
    <w:p>
      <w:pPr>
        <w:pStyle w:val="Heading3"/>
        <w:spacing w:before="150" w:beforeAutospacing="0"/>
        <w:rPr>
          <w:rFonts w:eastAsia="Times New Roman"/>
          <w:color w:val="0078D4"/>
          <w:sz w:val="26"/>
          <w:szCs w:val="26"/>
        </w:rPr>
      </w:pPr>
      <w:r>
        <w:rPr>
          <w:rFonts w:eastAsia="Times New Roman"/>
          <w:color w:val="0078D4"/>
          <w:sz w:val="26"/>
          <w:szCs w:val="26"/>
        </w:rPr>
        <w:t>Microsoft Genomics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Medical Use</w:t>
      </w:r>
    </w:p>
    <w:p>
      <w:pPr>
        <w:pStyle w:val="NormalWeb"/>
        <w:spacing w:after="150"/>
      </w:pPr>
      <w:r>
        <w:t>Microsoft Genomics is not a medical device and outputs generated from its use are not intended to be statements of fact, nor are they to be used as a substitute for medical judgment, advice, diagnosis or treatment of any disease or condition.</w:t>
      </w:r>
    </w:p>
    <w:p>
      <w:pPr>
        <w:pStyle w:val="Heading3"/>
        <w:spacing w:before="150" w:beforeAutospacing="0"/>
        <w:rPr>
          <w:rFonts w:eastAsia="Times New Roman"/>
          <w:color w:val="0078D4"/>
          <w:sz w:val="26"/>
          <w:szCs w:val="26"/>
        </w:rPr>
      </w:pPr>
      <w:r>
        <w:rPr>
          <w:rFonts w:eastAsia="Times New Roman"/>
          <w:color w:val="0078D4"/>
          <w:sz w:val="26"/>
          <w:szCs w:val="26"/>
        </w:rPr>
        <w:t>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Customer may only access and use Visual Studio App Center to develop and test Customer's application(s). Only one Licensed User may access a virtual machine provided by Visual Studio App Center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Visual Studio App Center. Microsoft is responsible for complying with the terms for any such software included in Visual Studio App Center and will keep confidential any confidential information of Apple accessed as part of 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Azure User Plans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1"/>
        <w:gridCol w:w="48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Client Management License Add-on (User SL)</w:t>
            </w:r>
          </w:p>
        </w:tc>
      </w:tr>
    </w:tbl>
    <w:p>
      <w:pPr>
        <w:rPr>
          <w:rFonts w:eastAsia="Times New Roman"/>
          <w:color w:val="0078D4"/>
          <w:sz w:val="26"/>
          <w:szCs w:val="26"/>
        </w:rPr>
      </w:pPr>
    </w:p>
    <w:p w:rsidR="00ED5159" w:rsidP="00ED5159">
      <w:pPr>
        <w:pStyle w:val="ProductList-OfferingGroupHeading"/>
        <w:outlineLvl w:val="1"/>
      </w:pPr>
      <w:r>
        <w:t>Microsoft Dynamics 365 Services</w:t>
      </w:r>
      <w:r>
        <w:fldChar w:fldCharType="begin"/>
      </w:r>
      <w:r>
        <w:instrText xml:space="preserve"> TC </w:instrText>
      </w:r>
      <w:bookmarkStart w:id="53" w:name="_Toc256000042"/>
      <w:r>
        <w:instrText>"</w:instrText>
      </w:r>
      <w:r>
        <w:instrText>Microsoft Dynamics 365 Services</w:instrText>
      </w:r>
      <w:r>
        <w:instrText>"</w:instrText>
      </w:r>
      <w:bookmarkEnd w:id="5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Enterprise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Contact Center Voice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Supply Chain Management Add-on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 Activity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Add-on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Sales Premium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Human Resources Sandbox</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Guides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Intelligent Order Management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Order Lines</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Customer Service Premium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Additional File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Scale Unit - Cloud</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Customer Service Professional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Sales Professional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 Device Add-on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Contact Center Digital Add-on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Field Service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Team Members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 Sandbox Tiers 2-5</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Field Service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Remote Assist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Conversation Intelligence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Finance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Sales Insights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Contact Center Digital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Finance Add-on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Recommendations</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Human Resources Self Service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Routing Overage</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Sales Enterprise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Additional Unified People (Tiers 1-3)</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Supply Chain Management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Additional Interacted People (Tiers 1-3)</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 Additional Database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Contact Center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Insights</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Sales Enterprise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Commerce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Additional Asset Management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Contact Center Add-on for Customer Service Enterprise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Team Members Add-on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Customer Service Enterprise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e-Commerce Tier</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e-Commerce Tier Overage</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Finance Premium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Contact Center Voice Add-on EDU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Digital Messaging</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Commerce Ratings and Reviews</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Supply Chain Management Premium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Customer Service Chat</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Project Operations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Human Resources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Activity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Field Service - Resource Scheduling Optimization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Remote Assist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Operations - Device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Dynamics 365 Guides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928"/>
        <w:gridCol w:w="14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Project Service Automation(User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69"/>
        <w:gridCol w:w="22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Customers with active Dynamics 365 Customer Service Enterprise subscriptions may install and use USD software for each user. </w:t>
      </w:r>
      <w:hyperlink w:anchor="_Toc22"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Customers with active Dynamics 365 subscriptions may access and use CustomerSource.</w:t>
      </w:r>
    </w:p>
    <w:p>
      <w:pPr>
        <w:pStyle w:val="Heading3"/>
        <w:spacing w:before="150" w:beforeAutospacing="0"/>
        <w:rPr>
          <w:rFonts w:eastAsia="Times New Roman"/>
          <w:color w:val="0078D4"/>
          <w:sz w:val="26"/>
          <w:szCs w:val="26"/>
        </w:rPr>
      </w:pPr>
      <w:r>
        <w:rPr>
          <w:rFonts w:eastAsia="Times New Roman"/>
          <w:color w:val="0078D4"/>
          <w:sz w:val="26"/>
          <w:szCs w:val="26"/>
        </w:rPr>
        <w:t>Dynamics 365 Plan for Government</w:t>
      </w:r>
    </w:p>
    <w:p>
      <w:pPr>
        <w:pStyle w:val="NormalWeb"/>
        <w:spacing w:after="150"/>
      </w:pPr>
      <w:r>
        <w:t>Dynamics 365 Supply Chain Management, Finance, Commerce, and Human Resources are not available in Dynamics 365 Plan for Government.</w:t>
      </w:r>
    </w:p>
    <w:p>
      <w:pPr>
        <w:pStyle w:val="Heading3"/>
        <w:spacing w:before="150" w:beforeAutospacing="0"/>
        <w:rPr>
          <w:rFonts w:eastAsia="Times New Roman"/>
          <w:color w:val="0078D4"/>
          <w:sz w:val="26"/>
          <w:szCs w:val="26"/>
        </w:rPr>
      </w:pPr>
      <w:r>
        <w:rPr>
          <w:rFonts w:eastAsia="Times New Roman"/>
          <w:color w:val="0078D4"/>
          <w:sz w:val="26"/>
          <w:szCs w:val="26"/>
        </w:rPr>
        <w:t>Prerequisites for Base and Attach user subscription licenses</w:t>
      </w:r>
    </w:p>
    <w:p>
      <w:pPr>
        <w:pStyle w:val="NormalWeb"/>
        <w:spacing w:after="150"/>
      </w:pPr>
      <w:r>
        <w:t>When purchasing multiple core Business Applications, the first or Base license must be the highest priced license for the user. Every full user must have a Base license. Dynamics 365 attach user SLs may only be assigned to users with qualifying application licenses.</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Remote Assist and Dynamics 365 Guides</w:t>
      </w:r>
    </w:p>
    <w:p>
      <w:pPr>
        <w:pStyle w:val="NormalWeb"/>
        <w:spacing w:after="150"/>
      </w:pPr>
      <w:hyperlink w:anchor="_Toc22" w:tooltip="see Glossary for full definition." w:history="1">
        <w:r>
          <w:rPr>
            <w:rStyle w:val="Hyperlink"/>
            <w:color w:val="505050"/>
          </w:rPr>
          <w:t>External Users</w:t>
        </w:r>
      </w:hyperlink>
      <w:r>
        <w:t xml:space="preserve"> may access and use the above software on devices licensed with a Dynamics 365 Remote Assist Device SL or Dynamics 365 Guides Device SL.</w:t>
      </w:r>
    </w:p>
    <w:p>
      <w:pPr>
        <w:pStyle w:val="Heading3"/>
        <w:spacing w:before="150" w:beforeAutospacing="0"/>
        <w:rPr>
          <w:rFonts w:eastAsia="Times New Roman"/>
          <w:color w:val="0078D4"/>
          <w:sz w:val="26"/>
          <w:szCs w:val="26"/>
        </w:rPr>
      </w:pPr>
      <w:r>
        <w:rPr>
          <w:rFonts w:eastAsia="Times New Roman"/>
          <w:color w:val="0078D4"/>
          <w:sz w:val="26"/>
          <w:szCs w:val="26"/>
        </w:rPr>
        <w:t>Dual Use Rights</w:t>
      </w:r>
    </w:p>
    <w:p>
      <w:pPr>
        <w:pStyle w:val="NormalWeb"/>
        <w:spacing w:after="150"/>
      </w:pPr>
      <w:r>
        <w:t>Certain Dynamics 365 SLs may allow access to the on-premises equivalent. This is mapped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99"/>
        <w:gridCol w:w="3099"/>
        <w:gridCol w:w="37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Dynamics 365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Software access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Customer Service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Field Service functionality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Activity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 or Dynamics 365 for Operations, on-premises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*On-premises dual use rights only apply for the specific Dynamics 365 for Operations applications for which the user has a cloud SL. For example, a user licensed for Finance may only use the Dynamics 365 on-premises security roles associated with the Finance USL.</w:t>
      </w:r>
    </w:p>
    <w:p>
      <w:pPr>
        <w:pStyle w:val="NormalWeb"/>
        <w:spacing w:before="150"/>
      </w:pPr>
      <w:r>
        <w:rPr>
          <w:i/>
          <w:iCs/>
        </w:rPr>
        <w:t>**Only available for Microsoft Cloud Agreement (MCA)</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19"/>
        <w:gridCol w:w="42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 (Base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user SLs other than the Team Members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Enterprise, or</w:t>
            </w:r>
          </w:p>
          <w:p>
            <w:pPr>
              <w:pStyle w:val="NormalWeb"/>
              <w:spacing w:before="150"/>
            </w:pPr>
            <w:r>
              <w:t>Dynamics 365 Sales Premium, or</w:t>
            </w:r>
          </w:p>
          <w:p>
            <w:pPr>
              <w:pStyle w:val="NormalWeb"/>
              <w:spacing w:before="150"/>
            </w:pPr>
            <w:r>
              <w:t>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Conversation Intelligence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Insights Attach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10 or more seats of ONE of the following:</w:t>
            </w:r>
          </w:p>
          <w:p>
            <w:pPr>
              <w:pStyle w:val="NormalWeb"/>
              <w:spacing w:before="150"/>
            </w:pPr>
            <w:r>
              <w:t>Dynamics 365 Sales Professional</w:t>
            </w:r>
          </w:p>
          <w:p>
            <w:pPr>
              <w:pStyle w:val="NormalWeb"/>
              <w:spacing w:before="150"/>
            </w:pPr>
            <w:r>
              <w:t>Dynamics 365 Sales Enterprise</w:t>
            </w:r>
          </w:p>
          <w:p>
            <w:pPr>
              <w:pStyle w:val="NormalWeb"/>
              <w:spacing w:before="150"/>
            </w:pPr>
            <w:r>
              <w:t>Dynamics 365 Sales Premium</w:t>
            </w:r>
          </w:p>
          <w:p>
            <w:pPr>
              <w:pStyle w:val="NormalWeb"/>
              <w:spacing w:before="150"/>
            </w:pPr>
            <w:r>
              <w:t>Microsoft Relationship Sales</w:t>
            </w:r>
          </w:p>
          <w:p>
            <w:pPr>
              <w:pStyle w:val="NormalWeb"/>
              <w:spacing w:before="150"/>
            </w:pPr>
            <w:r>
              <w:t>Dynamics 365 Customer Service Professional</w:t>
            </w:r>
          </w:p>
          <w:p>
            <w:pPr>
              <w:pStyle w:val="NormalWeb"/>
              <w:spacing w:before="150"/>
            </w:pPr>
            <w:r>
              <w:t>Dynamics 365 Customer Service Enterprise</w:t>
            </w:r>
          </w:p>
          <w:p>
            <w:pPr>
              <w:pStyle w:val="NormalWeb"/>
              <w:spacing w:before="150"/>
            </w:pPr>
            <w:r>
              <w:t>Dynamics 365 Field Service</w:t>
            </w:r>
          </w:p>
          <w:p>
            <w:pPr>
              <w:pStyle w:val="NormalWeb"/>
              <w:spacing w:before="150"/>
            </w:pPr>
            <w:r>
              <w:t>Dynamics 365 Finance</w:t>
            </w:r>
          </w:p>
          <w:p>
            <w:pPr>
              <w:pStyle w:val="NormalWeb"/>
              <w:spacing w:before="150"/>
            </w:pPr>
            <w:r>
              <w:t>Dynamics 365 Supply Chain Management</w:t>
            </w:r>
          </w:p>
          <w:p>
            <w:pPr>
              <w:pStyle w:val="NormalWeb"/>
              <w:spacing w:before="150"/>
            </w:pPr>
            <w:r>
              <w:t>Dynamics 365 Commerce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Chat for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Asset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Messaging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e-Commerce Tier</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Scale Unit - Cloud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Recommendations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Ratings and Reviews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Digital Add-on</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Voice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Add-on for Customer Service Enterprise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 Contractor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Field Service (User SL) or</w:t>
            </w:r>
          </w:p>
          <w:p>
            <w:pPr>
              <w:pStyle w:val="NormalWeb"/>
              <w:spacing w:before="150"/>
            </w:pPr>
            <w:r>
              <w:t>Dynamics 365 Field Service Device (SL) and</w:t>
            </w:r>
          </w:p>
          <w:p>
            <w:pPr>
              <w:pStyle w:val="NormalWeb"/>
              <w:spacing w:before="150"/>
            </w:pPr>
            <w:r>
              <w:t>Microsoft Entra ID</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Academic</w:t>
      </w:r>
    </w:p>
    <w:p>
      <w:pPr>
        <w:pStyle w:val="NormalWeb"/>
        <w:spacing w:after="150"/>
      </w:pPr>
      <w:r>
        <w:t>Purchases in the Academic segment require a minimum purchase of the Licenses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467"/>
        <w:gridCol w:w="2045"/>
        <w:gridCol w:w="581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Segment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 (Base License only)</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Academic</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84"/>
        <w:gridCol w:w="3859"/>
        <w:gridCol w:w="2686"/>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rHeight w:val="465"/>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purchased Base Licenses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w:t>
            </w:r>
          </w:p>
          <w:p>
            <w:pPr>
              <w:pStyle w:val="NormalWeb"/>
              <w:spacing w:before="150"/>
            </w:pPr>
            <w:r>
              <w:t>Dynamics 365 Finance</w:t>
            </w:r>
          </w:p>
          <w:p>
            <w:pPr>
              <w:pStyle w:val="NormalWeb"/>
              <w:spacing w:before="150"/>
            </w:pPr>
            <w:r>
              <w:t>Dynamics 365 Project Operations</w:t>
            </w:r>
          </w:p>
          <w:p>
            <w:pPr>
              <w:pStyle w:val="NormalWeb"/>
              <w:spacing w:before="150"/>
            </w:pPr>
            <w:r>
              <w:t>Dynamics 365 Supply Chain Management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 or</w:t>
            </w:r>
          </w:p>
          <w:p>
            <w:pPr>
              <w:pStyle w:val="NormalWeb"/>
              <w:spacing w:before="150"/>
            </w:pPr>
            <w:r>
              <w:t>Dynamics 365 Finance, or</w:t>
            </w:r>
          </w:p>
          <w:p>
            <w:pPr>
              <w:pStyle w:val="NormalWeb"/>
              <w:spacing w:before="150"/>
            </w:pPr>
            <w:r>
              <w:t>Dynamics 365 Project Operations, or</w:t>
            </w:r>
          </w:p>
          <w:p>
            <w:pPr>
              <w:pStyle w:val="NormalWeb"/>
              <w:spacing w:before="150"/>
            </w:pPr>
            <w:r>
              <w:t>Dynamics 365 Supply Chain Management</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20</w:t>
            </w:r>
          </w:p>
          <w:p>
            <w:pPr>
              <w:pStyle w:val="NormalWeb"/>
              <w:spacing w:before="150"/>
            </w:pPr>
            <w:r>
              <w:t>(250 maximum - once met all remaining users are covered with no additional licenses required)</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Dynamics applications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Interacted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Interacted People Tier 1</w:t>
            </w:r>
          </w:p>
          <w:p>
            <w:pPr>
              <w:pStyle w:val="NormalWeb"/>
              <w:spacing w:before="150"/>
            </w:pPr>
            <w:r>
              <w:t>Dynamics 365 Additional Interacted People Tier 2</w:t>
            </w:r>
          </w:p>
          <w:p>
            <w:pPr>
              <w:pStyle w:val="NormalWeb"/>
              <w:spacing w:before="150"/>
            </w:pPr>
            <w:r>
              <w:t>Dynamics 365 Additional Interacted People Tier 3</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Unified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19</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Unified People Tier 1</w:t>
            </w:r>
          </w:p>
          <w:p>
            <w:pPr>
              <w:pStyle w:val="NormalWeb"/>
              <w:spacing w:before="150"/>
            </w:pPr>
            <w:r>
              <w:t>Dynamics 365 Additional Unified People Tier 2</w:t>
            </w:r>
          </w:p>
          <w:p>
            <w:pPr>
              <w:pStyle w:val="NormalWeb"/>
              <w:spacing w:before="150"/>
            </w:pPr>
            <w:r>
              <w:t>Dynamics 365 Additional Unified People Tier 3</w:t>
            </w:r>
          </w:p>
        </w:tc>
      </w:tr>
      <w:tr>
        <w:tblPrEx>
          <w:tblW w:w="5000" w:type="pct"/>
          <w:tblInd w:w="600" w:type="dxa"/>
          <w:tblCellMar>
            <w:top w:w="15" w:type="dxa"/>
            <w:left w:w="15" w:type="dxa"/>
            <w:bottom w:w="15" w:type="dxa"/>
            <w:right w:w="15" w:type="dxa"/>
          </w:tblCellMar>
        </w:tblPrEx>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Additional Database Capacity</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Dynamics 365 Operations - Additional Database Capacity Tier 1</w:t>
            </w:r>
          </w:p>
          <w:p>
            <w:pPr>
              <w:pStyle w:val="NormalWeb"/>
              <w:spacing w:before="150"/>
            </w:pPr>
            <w:r>
              <w:t> Dynamics 365 Operations - Additional Database Capacity Tier 2</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In addition, Azure Media Services H.265/HEVC Encoding, H.264/AVC Visual Standard, and VC-1 Video Standard apply only to Dynamics 365 Commerce. (refer to </w:t>
      </w:r>
      <w:hyperlink r:id="rId114"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hyperlink w:anchor="_Toc22" w:tooltip="see Glossary for full definition." w:history="1">
        <w:r>
          <w:rPr>
            <w:rStyle w:val="Hyperlink"/>
            <w:color w:val="505050"/>
          </w:rPr>
          <w:t>External Users</w:t>
        </w:r>
      </w:hyperlink>
      <w:r>
        <w:t xml:space="preserve"> of Dynamics 365 Services do not need a SL to access the Online Service. This exemption does not apply to </w:t>
      </w:r>
      <w:hyperlink w:anchor="_Toc22" w:tooltip="see Glossary for full definition." w:history="1">
        <w:r>
          <w:rPr>
            <w:rStyle w:val="Hyperlink"/>
            <w:color w:val="505050"/>
          </w:rPr>
          <w:t>External Users</w:t>
        </w:r>
      </w:hyperlink>
      <w:r>
        <w:t xml:space="preserve"> using Dynamics 365 client software with Dynamics 365 Services other than services or components included in Dynamics 365 Supply Chain Management/Supply Chain Management Premium, Dynamics 365 Finance/Finance Premium, Dynamics 365 Commerce, Dynamics 365 Human Resources,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Administration Portal</w:t>
      </w:r>
    </w:p>
    <w:p>
      <w:pPr>
        <w:pStyle w:val="NormalWeb"/>
        <w:spacing w:after="150"/>
      </w:pPr>
      <w:r>
        <w:t>Customers with Dynamics 365 Supply Chain Management/Supply Chain Management Premium, Dynamics 365 Finance/Finance Premium, Dynamics 365 Commerce, Dynamics 365 Human Resources, or Dynamics 365 Project Operations SLs may deploy and manage the Online Service through Microsoft Dynamics Lifecycle Services (or its successor), which is subject to separate terms.</w:t>
      </w:r>
    </w:p>
    <w:p>
      <w:pPr>
        <w:pStyle w:val="Heading3"/>
        <w:spacing w:before="150" w:beforeAutospacing="0"/>
        <w:rPr>
          <w:rFonts w:eastAsia="Times New Roman"/>
          <w:color w:val="0078D4"/>
          <w:sz w:val="26"/>
          <w:szCs w:val="26"/>
        </w:rPr>
      </w:pPr>
      <w:r>
        <w:rPr>
          <w:rFonts w:eastAsia="Times New Roman"/>
          <w:color w:val="0078D4"/>
          <w:sz w:val="26"/>
          <w:szCs w:val="26"/>
        </w:rPr>
        <w:t>Mixed deployments of Dynamics 365 services</w:t>
      </w:r>
    </w:p>
    <w:p>
      <w:pPr>
        <w:pStyle w:val="NormalWeb"/>
        <w:spacing w:after="150"/>
      </w:pPr>
      <w:r>
        <w:t>Customers may mix (i) Dynamics 365 Sales Professional and Enterprise licenses, (ii) Dynamics 365 Customer Service Professional and Enterprise licenses, or (iii) Dynamics 365 Business Central and any of the following: Dynamics 365 Finance/Finance Premium, Dynamics 365 Supply Chain Management/Supply Chain Management Premium, or Dynamics 365 Project Operations licenses if,</w:t>
      </w:r>
    </w:p>
    <w:p>
      <w:pPr>
        <w:numPr>
          <w:ilvl w:val="0"/>
          <w:numId w:val="9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Online Service is deployed under a separate instance, and</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users only access instances for which they are entitled.</w:t>
      </w:r>
    </w:p>
    <w:p>
      <w:pPr>
        <w:pStyle w:val="Heading3"/>
        <w:spacing w:before="150" w:beforeAutospacing="0"/>
        <w:rPr>
          <w:rFonts w:eastAsia="Times New Roman"/>
          <w:color w:val="0078D4"/>
          <w:sz w:val="26"/>
          <w:szCs w:val="26"/>
        </w:rPr>
      </w:pPr>
      <w:r>
        <w:rPr>
          <w:rFonts w:eastAsia="Times New Roman"/>
          <w:color w:val="0078D4"/>
          <w:sz w:val="26"/>
          <w:szCs w:val="26"/>
        </w:rPr>
        <w:t>Third-Party Funds Transfers</w:t>
      </w:r>
    </w:p>
    <w:p>
      <w:pPr>
        <w:pStyle w:val="NormalWeb"/>
        <w:spacing w:after="150"/>
      </w:pPr>
      <w:r>
        <w:t>Certain Dynamics 365 services may make third-party services available that allow Customer to transfer funds to Customer's end users or other recipient using that third-party service. Customer's use of any third-party service to transfer funds is governed by the terms and conditions of that third-party service. The third-party service provider is solely responsible for the receipt and transmission of funds. Microsoft is not responsible for any aspect of the third-party service and does not at any point hold, own or control funds, actually or constructively receive, take possession of or hold any money or monetary value for transmission, or advertise, solicit or hold itself out as receiving money for transmission.</w:t>
      </w:r>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and Dynamics 365 Finance in Denmark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Danish Bookkeeping Authority Registration Numbers</w:t>
      </w:r>
    </w:p>
    <w:p>
      <w:pPr>
        <w:pStyle w:val="NormalWeb"/>
        <w:spacing w:after="150"/>
      </w:pPr>
      <w:r>
        <w:t>Dynamics 365 Business Central and Dynamics 365 Finance are Digital Standard Bookkeeping Systems registered with the Danish Business Authority.  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 The registration numbers 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76"/>
        <w:gridCol w:w="39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Central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fob467715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fob314877</w:t>
            </w:r>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in Spain</w:t>
      </w:r>
    </w:p>
    <w:p>
      <w:pPr>
        <w:pStyle w:val="NormalWeb"/>
        <w:spacing w:after="150"/>
      </w:pPr>
      <w:r>
        <w:t xml:space="preserve">Dynamics 365 Business Central complies with the country/region certifications and accreditations listed in this </w:t>
      </w:r>
      <w:hyperlink r:id="rId176" w:tgtFrame="_blank" w:history="1">
        <w:r>
          <w:rPr>
            <w:rStyle w:val="Hyperlink"/>
            <w:color w:val="505050"/>
          </w:rPr>
          <w:t>link</w:t>
        </w:r>
      </w:hyperlink>
      <w:r>
        <w:t xml:space="preserve">. To this extent, you may find information on the Spanish declaration concerning computer billing systems in this </w:t>
      </w:r>
      <w:hyperlink r:id="rId177" w:tgtFrame="_blank" w:history="1">
        <w:r>
          <w:rPr>
            <w:rStyle w:val="Hyperlink"/>
            <w:color w:val="505050"/>
          </w:rPr>
          <w:t>link</w:t>
        </w:r>
      </w:hyperlink>
      <w:r>
        <w:t>. Please contact your reseller in those countries or regions where Microsoft does not provide a local version of Dynamics 365 Business Central.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Promotional Laws, Regulations, and Industry Standards</w:t>
      </w:r>
    </w:p>
    <w:p>
      <w:pPr>
        <w:pStyle w:val="NormalWeb"/>
        <w:spacing w:after="150"/>
      </w:pPr>
      <w:r>
        <w:t>Microsoft bears no responsibility for Customer's compliance with any applicable law, regulation, or industry standard governing the Customer's transmittal of promotional communications.</w:t>
      </w:r>
    </w:p>
    <w:p>
      <w:pPr>
        <w:pStyle w:val="Heading3"/>
        <w:spacing w:before="150" w:beforeAutospacing="0"/>
        <w:rPr>
          <w:rFonts w:eastAsia="Times New Roman"/>
          <w:color w:val="0078D4"/>
          <w:sz w:val="26"/>
          <w:szCs w:val="26"/>
        </w:rPr>
      </w:pPr>
      <w:r>
        <w:rPr>
          <w:rFonts w:eastAsia="Times New Roman"/>
          <w:color w:val="0078D4"/>
          <w:sz w:val="26"/>
          <w:szCs w:val="26"/>
        </w:rPr>
        <w:t>Dynamics 365 Supply Chain Management, Finance, Commerce, and Project Operations Source Code</w:t>
      </w:r>
    </w:p>
    <w:p>
      <w:pPr>
        <w:pStyle w:val="NormalWeb"/>
        <w:spacing w:after="150"/>
      </w:pPr>
      <w:r>
        <w:t>Customer may modify for its internal use the X++ application layer source code for Dynamics 365 Supply Chain Management/Supply Chain Management Premium, Dynamics 365 Finance/Finance Premium, Dynamics 365 for Commerce,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Server Use Rights for Dynamics 365 User SLs, From SA User SLs and Add-on User SLs</w:t>
      </w:r>
    </w:p>
    <w:p>
      <w:pPr>
        <w:pStyle w:val="NormalWeb"/>
        <w:spacing w:after="150"/>
      </w:pPr>
      <w:r>
        <w:t>The server use rights provisions below do not apply to Customers licensed for Dynamics 365 for Sales Professional, Dynamics 365 Customer Service Professional, Dynamics 365 Customer Insights, Dynamics 365 for Human Resources, or Customers licensed for Dynamics 365 online services through Open License, Open Value and Open Value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Operations on-premises Server</w:t>
      </w:r>
    </w:p>
    <w:p>
      <w:pPr>
        <w:pStyle w:val="NormalWeb"/>
        <w:spacing w:after="150"/>
      </w:pPr>
      <w:r>
        <w:t>Customer's with active subscriptions for (1) Dynamics 365 Plan or (2) Dynamics 365 Unified Operations Plan (or any separately licensed component of the Plan) may,</w:t>
      </w:r>
    </w:p>
    <w:p>
      <w:pPr>
        <w:numPr>
          <w:ilvl w:val="0"/>
          <w:numId w:val="9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the Dynamics 365 for Operations Server software on a network server or shared servers;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and use Dynamics AX 2012 R3 Server software in lieu of Dynamics 365 for Operations Server;</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receive and use updates related to government tax and regulatory requirements on the server software; and</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create derivative works of plug-ins, runtime, and other components identified in printed or online documentation and use those derivative works, but only with the server software and only for Customer's internal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on-premises Server</w:t>
      </w:r>
    </w:p>
    <w:p>
      <w:pPr>
        <w:pStyle w:val="NormalWeb"/>
        <w:spacing w:after="150"/>
      </w:pPr>
      <w:r>
        <w:t>Customers with active subscriptions for (1) Dynamics 365 Plan or (2) Dynamics 365 Customer Engagement Plan (or any separately licensed component of the Plan) may,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server (on-premises) software on a network server or shared servers;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Dynamics CRM 2016 Server software in lieu of Dynamics 365 On-Premise Server;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On-premises for Sales, Customer Service or Team Members CALs; or Dynamics CRM CAL. Users and devices assigned CALs with active Software Assurance may access new versions of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Business Central on-premises</w:t>
      </w:r>
    </w:p>
    <w:p>
      <w:pPr>
        <w:pStyle w:val="NormalWeb"/>
        <w:spacing w:after="150"/>
      </w:pPr>
      <w:r>
        <w:t>Customers with active subscriptions for Dynamics 365 Business Central may,</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Business Central on-premises software on a network server or shared servers;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Business Central Premium, Essentials, or Team Member CALs. Users and devices assigned CALs with an active maintenance plan may access new versions of the server software. </w:t>
      </w:r>
    </w:p>
    <w:p>
      <w:pPr>
        <w:pStyle w:val="Heading3"/>
        <w:spacing w:before="150" w:beforeAutospacing="0"/>
        <w:rPr>
          <w:rFonts w:eastAsia="Times New Roman"/>
          <w:color w:val="0078D4"/>
          <w:sz w:val="26"/>
          <w:szCs w:val="26"/>
        </w:rPr>
      </w:pPr>
      <w:r>
        <w:rPr>
          <w:rFonts w:eastAsia="Times New Roman"/>
          <w:color w:val="0078D4"/>
          <w:sz w:val="26"/>
          <w:szCs w:val="26"/>
        </w:rPr>
        <w:t>Microsoft Relationship Sales</w:t>
      </w:r>
    </w:p>
    <w:p>
      <w:pPr>
        <w:pStyle w:val="NormalWeb"/>
        <w:spacing w:after="150"/>
      </w:pPr>
      <w:r>
        <w:t>All components, software and entitlements of Microsoft Relationship Sales are limited for use with Dynamics 365 Sales environments only.</w:t>
      </w:r>
    </w:p>
    <w:p>
      <w:pPr>
        <w:pStyle w:val="NormalWeb"/>
        <w:spacing w:before="150"/>
      </w:pPr>
      <w:r>
        <w:t xml:space="preserve">Microsoft Relationship Sales includes Dynamics 365 for Sales Enterprise and LinkedIn Sales Navigator Advanced Plus Edition. LinkedIn Sales Navigator Advanced Plus Edition is for the sole use of the Microsoft Relationship Sales </w:t>
      </w:r>
      <w:hyperlink w:anchor="_Toc22"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Order Lines </w:t>
      </w:r>
    </w:p>
    <w:p>
      <w:pPr>
        <w:pStyle w:val="NormalWeb"/>
        <w:spacing w:after="150"/>
      </w:pPr>
      <w:r>
        <w:t>Users or devices do not require an SL to indirectly (not through a client UI) execute the transaction types designated in the Dynamics 365 Licensing Guide (</w:t>
      </w:r>
      <w:hyperlink r:id="rId178" w:history="1">
        <w:r>
          <w:rPr>
            <w:rStyle w:val="Hyperlink"/>
            <w:color w:val="505050"/>
          </w:rPr>
          <w:t>https://go.microsoft.com/fwlink/?LinkId=866544&amp;clcid=0x409</w:t>
        </w:r>
      </w:hyperlink>
      <w:r>
        <w:t>). The number of allowed transactions is limited to the number of order lines licensed.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Provided Data and Insights</w:t>
      </w:r>
    </w:p>
    <w:p>
      <w:pPr>
        <w:pStyle w:val="NormalWeb"/>
        <w:spacing w:after="150"/>
      </w:pPr>
      <w:r>
        <w:t>Dynamics 365 Customer Insights may include Microsoft provided data and insights (including, but not limited to, market segment and brand affinity data and insights), which Customer may use for internal business purposes only.</w:t>
      </w:r>
    </w:p>
    <w:p>
      <w:pPr>
        <w:pStyle w:val="Heading3"/>
        <w:spacing w:before="150" w:beforeAutospacing="0"/>
        <w:rPr>
          <w:rFonts w:eastAsia="Times New Roman"/>
          <w:color w:val="0078D4"/>
          <w:sz w:val="26"/>
          <w:szCs w:val="26"/>
        </w:rPr>
      </w:pPr>
      <w:r>
        <w:rPr>
          <w:rFonts w:eastAsia="Times New Roman"/>
          <w:color w:val="0078D4"/>
          <w:sz w:val="26"/>
          <w:szCs w:val="26"/>
        </w:rPr>
        <w:t>Communication Services</w:t>
      </w:r>
    </w:p>
    <w:p>
      <w:pPr>
        <w:pStyle w:val="NormalWeb"/>
        <w:spacing w:after="150"/>
      </w:pPr>
      <w:r>
        <w:t>Certain Dynamics 365 services have voice and text services provided by Azure Communication Services. For these services, the Azure Communication Services terms below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4"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55"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The </w:t>
      </w:r>
      <w:hyperlink r:id="rId26" w:tgtFrame="_blank" w:history="1">
        <w:r>
          <w:rPr>
            <w:rStyle w:val="Hyperlink"/>
            <w:color w:val="505050"/>
          </w:rPr>
          <w:t>Privacy &amp; Security terms</w:t>
        </w:r>
      </w:hyperlink>
      <w:r>
        <w:t xml:space="preserve"> apply to any Copilot features powered by Azure OpenAI service that are included within Microsoft Dynamics 365 Core Services or Dynamics 365 EU Data Boundary Services, except that any component powered by Bing remains subject to Bing terms.</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SL for each Qualifying License(s), unless provided otherwise in these terms</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Dynamics 365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57"/>
        <w:gridCol w:w="51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Add-on</w:t>
            </w:r>
          </w:p>
        </w:tc>
      </w:tr>
    </w:tbl>
    <w:p>
      <w:pPr>
        <w:rPr>
          <w:rFonts w:eastAsia="Times New Roman"/>
          <w:color w:val="0078D4"/>
          <w:sz w:val="26"/>
          <w:szCs w:val="26"/>
        </w:rPr>
      </w:pP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GroupHeading"/>
        <w:outlineLvl w:val="1"/>
      </w:pPr>
      <w:r>
        <w:t>Microsoft Power Platform</w:t>
      </w:r>
      <w:r>
        <w:fldChar w:fldCharType="begin"/>
      </w:r>
      <w:r>
        <w:instrText xml:space="preserve"> TC </w:instrText>
      </w:r>
      <w:bookmarkStart w:id="54" w:name="_Toc256000043"/>
      <w:r>
        <w:instrText>"</w:instrText>
      </w:r>
      <w:r>
        <w:instrText>Microsoft Power Platform</w:instrText>
      </w:r>
      <w:r>
        <w:instrText>"</w:instrText>
      </w:r>
      <w:bookmarkEnd w:id="5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Apps Per App</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unattended RPA Add-on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per flow plan</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Automate Process</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Platform Requests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Pages Authenticated</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Apps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Process Mining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BI Pro</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Pages Anonymous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Apps per app plan</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Apps plan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Copilot Studio</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AI Builder capacity add-on</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BI Premium EM1 A-EM3 A</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Automate per user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BI Pro A</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Automate per user with attended RPA plan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Power Automate Hosted Process add-on</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095"/>
        <w:gridCol w:w="32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 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69"/>
        <w:gridCol w:w="22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Server dedicated to Customer's user or a </w:t>
      </w:r>
      <w:hyperlink w:anchor="_Toc22"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22"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Customer may run the Power BI Report Server software in a Physical or </w:t>
      </w:r>
      <w:hyperlink w:anchor="_Toc22"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22"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22" w:tooltip="Hardware Thread means either a Physical Core or a hyper-thread in a Physical Processor." w:history="1">
        <w:r>
          <w:rPr>
            <w:rStyle w:val="Hyperlink"/>
            <w:color w:val="505050"/>
          </w:rPr>
          <w:t>Hardware Thread</w:t>
        </w:r>
      </w:hyperlink>
      <w:r>
        <w:t xml:space="preserve"> mapped to that </w:t>
      </w:r>
      <w:hyperlink w:anchor="_Toc22"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7"/>
        <w:gridCol w:w="471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Automate Premium per user or</w:t>
            </w:r>
          </w:p>
          <w:p>
            <w:pPr>
              <w:pStyle w:val="NormalWeb"/>
              <w:spacing w:before="150"/>
            </w:pPr>
            <w:r>
              <w:t>Power Automate per flow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BI Pro, or</w:t>
            </w:r>
          </w:p>
          <w:p>
            <w:pPr>
              <w:pStyle w:val="NormalWeb"/>
              <w:spacing w:before="150"/>
            </w:pPr>
            <w:r>
              <w:t>Microsoft 365 A5/E5, or</w:t>
            </w:r>
          </w:p>
          <w:p>
            <w:pPr>
              <w:pStyle w:val="NormalWeb"/>
              <w:spacing w:before="150"/>
            </w:pPr>
            <w:r>
              <w:t>Office 365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Process Mining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Premium per user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Platform Requests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Apps, or</w:t>
            </w:r>
          </w:p>
          <w:p>
            <w:pPr>
              <w:pStyle w:val="NormalWeb"/>
              <w:spacing w:before="150"/>
            </w:pPr>
            <w:r>
              <w:t>Power Automate, or</w:t>
            </w:r>
          </w:p>
          <w:p>
            <w:pPr>
              <w:pStyle w:val="NormalWeb"/>
              <w:spacing w:before="150"/>
            </w:pPr>
            <w:r>
              <w:t>O/M365</w:t>
            </w:r>
            <w:r>
              <w:rPr>
                <w:i/>
                <w:iCs/>
                <w:vertAlign w:val="superscript"/>
              </w:rPr>
              <w:t>1</w:t>
            </w:r>
            <w:r>
              <w:t>, or</w:t>
            </w:r>
          </w:p>
          <w:p>
            <w:pPr>
              <w:pStyle w:val="NormalWeb"/>
              <w:spacing w:before="150"/>
            </w:pPr>
            <w:r>
              <w:t>Dynamics 365</w:t>
            </w:r>
            <w:r>
              <w:rPr>
                <w:i/>
                <w:iCs/>
                <w:vertAlign w:val="superscript"/>
              </w:rPr>
              <w:t>2</w:t>
            </w:r>
          </w:p>
        </w:tc>
      </w:tr>
    </w:tbl>
    <w:p>
      <w:pPr>
        <w:pStyle w:val="NormalWeb"/>
      </w:pPr>
      <w:r>
        <w:rPr>
          <w:vertAlign w:val="superscript"/>
        </w:rPr>
        <w:t>1</w:t>
      </w:r>
      <w:r>
        <w:t xml:space="preserve">Select licenses as identified </w:t>
      </w:r>
      <w:hyperlink r:id="rId179" w:tgtFrame="_blank" w:history="1">
        <w:r>
          <w:rPr>
            <w:rStyle w:val="Hyperlink"/>
            <w:color w:val="505050"/>
          </w:rPr>
          <w:t>here</w:t>
        </w:r>
      </w:hyperlink>
      <w:r>
        <w:rPr>
          <w:vertAlign w:val="superscript"/>
        </w:rPr>
        <w:t>2</w:t>
      </w:r>
      <w:r>
        <w:t xml:space="preserve">Select licenses as identified </w:t>
      </w:r>
      <w:hyperlink r:id="rId180" w:tgtFrame="_blank" w:history="1">
        <w:r>
          <w:rPr>
            <w:rStyle w:val="Hyperlink"/>
            <w:color w:val="505050"/>
          </w:rPr>
          <w:t>here</w:t>
        </w:r>
      </w:hyperlink>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07"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70" w:tgtFrame="_blank" w:history="1">
        <w:r>
          <w:rPr>
            <w:rStyle w:val="Hyperlink"/>
            <w:color w:val="505050"/>
          </w:rPr>
          <w:t>https://www.microsoft.com/bing/apis/grounding-legal-enterprise</w:t>
        </w:r>
      </w:hyperlink>
      <w:r>
        <w:t>) and Microsoft Privacy Statement (</w:t>
      </w:r>
      <w:hyperlink r:id="rId181" w:tgtFrame="_blank" w:history="1">
        <w:r>
          <w:rPr>
            <w:rStyle w:val="Hyperlink"/>
            <w:color w:val="505050"/>
          </w:rPr>
          <w:t>https://www.microsoft.com/privacy/privacystatement</w:t>
        </w:r>
      </w:hyperlink>
      <w:r>
        <w:t xml:space="preserve">).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9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4"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10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82"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83" w:tgtFrame="_blank" w:history="1">
        <w:r>
          <w:rPr>
            <w:rStyle w:val="Hyperlink"/>
            <w:color w:val="505050"/>
          </w:rPr>
          <w:t>https://go.microsoft.com/fwlink/?linkid=868812</w:t>
        </w:r>
      </w:hyperlink>
      <w:hyperlink r:id="rId183"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8"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55" w:name="_Toc256000044"/>
      <w:r>
        <w:instrText>"</w:instrText>
      </w:r>
      <w:bookmarkStart w:id="56" w:name="_Toc19"/>
      <w:r>
        <w:instrText>Office 365 Services</w:instrText>
      </w:r>
      <w:bookmarkEnd w:id="56"/>
      <w:r>
        <w:instrText>"</w:instrText>
      </w:r>
      <w:bookmarkEnd w:id="55"/>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Audio Services</w:t>
      </w:r>
      <w:r>
        <w:fldChar w:fldCharType="begin"/>
      </w:r>
      <w:r>
        <w:instrText xml:space="preserve"> TC </w:instrText>
      </w:r>
      <w:bookmarkStart w:id="57" w:name="_Toc256000045"/>
      <w:r>
        <w:instrText>"</w:instrText>
      </w:r>
      <w:r>
        <w:instrText>Audio Services</w:instrText>
      </w:r>
      <w:r>
        <w:instrText>"</w:instrText>
      </w:r>
      <w:bookmarkEnd w:id="5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Phone with Calling Plan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Audio Conferencing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Operator Connect Conferencing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Teams Rooms Pro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Communication Credits</w:t>
            </w:r>
          </w:p>
        </w:tc>
        <w:tc>
          <w:tcPr/>
          <w:p w:rsidR="00A363CA" w:rsidP="00A363CA">
            <w:pPr>
              <w:pStyle w:val="ProductList-TableBody"/>
            </w:pPr>
          </w:p>
        </w:tc>
      </w:tr>
      <w:tr w:rsidTr="00610FDE">
        <w:tblPrEx>
          <w:tblW w:w="0" w:type="auto"/>
          <w:tblLook w:val="04A0"/>
        </w:tblPrEx>
        <w:tc>
          <w:tcPr/>
          <w:p w:rsidR="00A363CA" w:rsidP="00A363CA">
            <w:pPr>
              <w:pStyle w:val="ProductList-TableBody"/>
            </w:pPr>
            <w:r>
              <w:t>Advanced Communications</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Teams Phone Standard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Teams Rooms Pro w/o Audio Conferencing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Shared Devices (Device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Audio Conferencing Extended Dial-out minutes to USA/CAN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Calling Plan (User SL)</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70"/>
        <w:gridCol w:w="61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(except for Communication Credits)</w:t>
            </w:r>
          </w:p>
        </w:tc>
      </w:tr>
    </w:tbl>
    <w:p/>
    <w:p>
      <w:pPr>
        <w:pStyle w:val="Heading3"/>
        <w:spacing w:before="150" w:beforeAutospacing="0"/>
        <w:rPr>
          <w:rFonts w:eastAsia="Times New Roman"/>
          <w:color w:val="0078D4"/>
          <w:sz w:val="26"/>
          <w:szCs w:val="26"/>
        </w:rPr>
      </w:pPr>
      <w:r>
        <w:rPr>
          <w:rFonts w:eastAsia="Times New Roman"/>
          <w:color w:val="0078D4"/>
          <w:sz w:val="26"/>
          <w:szCs w:val="26"/>
        </w:rPr>
        <w:t>Communication Credits</w:t>
      </w:r>
    </w:p>
    <w:p>
      <w:pPr>
        <w:pStyle w:val="NormalWeb"/>
        <w:spacing w:after="150"/>
      </w:pPr>
      <w:r>
        <w:t>Communication Credits require an initial payment through the Office 365 Administration Portal. Microsoft will invoice Customer or its reseller immediately for each transaction including, if automatic replenishment is enabled, each time the minimum balance is reached. Any such funds not used within 12 months from the date of the transaction will be forfeited.</w:t>
      </w:r>
    </w:p>
    <w:p>
      <w:pPr>
        <w:pStyle w:val="NormalWeb"/>
        <w:spacing w:before="150"/>
      </w:pPr>
      <w:r>
        <w:t>Usage charges will be based on Microsoft's published rates when the services are used. Communication Credits are exempt from fixed pricing, notwithstanding any reference to fixed pricing under the applicable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19"/>
        <w:gridCol w:w="78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Communications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Microsoft Teams EEA; Microsoft Teams Enterprise;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Extended Dial-out minutes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Audio Conferencing; Audio Conferencing for India-Based Users; Microsoft 365 E5/A5; Microsoft 365 E5 EEA (no Teams)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Audio Conferencing with Dial-out to USA/CAN;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F1/F3/E3/A3/E5/A5;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 E5 Users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E5/A5;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Phone Standard;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Communications Credits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Audio Conferencing for India-Based Users; Microsoft 365 E5/A5; Microsoft 365 E5 (no Teams); Microsoft 365 E5 EEA (no Teams); Microsoft Teams Audio Conferencing with Dial-out to USA/CAN; Office 365 E5/A5; Office 365 E5 EEA (no Teams)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Audio Conferencing with Dial-out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F1/E3/F3; Microsoft 365 Business Basic/Business Standard/Business Premium; Microsoft Teams EEA; Microsoft Teams Enterprise; Office E1/E3/F3; Teams Essentials (AAD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for Frontline Workers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Office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with 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Operator Connect Conferencing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/F1/F3/E3/A3/E5/A5; Microsoft Teams EEA; Microsoft Teams Enterprise; Office 365 F3/E1/E3/A3/E5/A5</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Instant Messaging</w:t>
      </w:r>
    </w:p>
    <w:p>
      <w:pPr>
        <w:pStyle w:val="NormalWeb"/>
        <w:spacing w:after="150"/>
      </w:pPr>
      <w:r>
        <w:t>An end user will be able to transfer a text message to another end user in real time over an Internet Protocol network.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Presence</w:t>
      </w:r>
    </w:p>
    <w:p>
      <w:pPr>
        <w:pStyle w:val="NormalWeb"/>
        <w:spacing w:after="150"/>
      </w:pPr>
      <w:r>
        <w:t>An end user will be able to set and display the end user's availability and view another end user's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Meetings</w:t>
      </w:r>
    </w:p>
    <w:p>
      <w:pPr>
        <w:pStyle w:val="NormalWeb"/>
        <w:spacing w:after="150"/>
      </w:pPr>
      <w:r>
        <w:t>An end user will be able to conduct an Internet-based meeting that has audio and video conferencing functionality with other end users.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and H.264/AVC and/or VC-1 Notices apply (refer to </w:t>
      </w:r>
      <w:hyperlink r:id="rId114"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Common Area Communications Device</w:t>
      </w:r>
    </w:p>
    <w:p>
      <w:pPr>
        <w:pStyle w:val="NormalWeb"/>
        <w:spacing w:after="150"/>
      </w:pPr>
      <w:r>
        <w:t>A Common Area Communication Device ("CACD") is a device shared by multiple users who do not log into the device with their Microsoft 365 credentials and which supports calls, meetings and/or conferencing over voice, Voice over IP, and/or video.  Microsoft Teams Shared Device and Teams Rooms offerings are Device SLs that may only be assigned to a CACD. Each CACD Licensed Device may be accessed and used by any number of users. </w:t>
      </w:r>
    </w:p>
    <w:p>
      <w:pPr>
        <w:pStyle w:val="Heading3"/>
        <w:spacing w:before="150" w:beforeAutospacing="0"/>
        <w:rPr>
          <w:rFonts w:eastAsia="Times New Roman"/>
          <w:color w:val="0078D4"/>
          <w:sz w:val="26"/>
          <w:szCs w:val="26"/>
        </w:rPr>
      </w:pPr>
      <w:r>
        <w:rPr>
          <w:rFonts w:eastAsia="Times New Roman"/>
          <w:color w:val="0078D4"/>
          <w:sz w:val="26"/>
          <w:szCs w:val="26"/>
        </w:rPr>
        <w:t>Open Phone System Platform and Number Management</w:t>
      </w:r>
    </w:p>
    <w:p>
      <w:pPr>
        <w:pStyle w:val="NormalWeb"/>
        <w:spacing w:after="150"/>
      </w:pPr>
      <w:r>
        <w:t>Microsoft Phone System is an open platform that supports integration with any certified telecommunications carrier through options like Direct Routing or Operator Connect. Authorized carriers have the ability to provision, add, and remove telephone numbers associated with your account. Such actions are performed under the carrier's control and in accordance with your contractual arrangements with that carrier. Microsoft is not responsible for billing related to Direct Routing or Operator Connect; all payments are managed directly with the carrier that owns the telephone numbers.</w:t>
      </w:r>
    </w:p>
    <w:p>
      <w:pPr>
        <w:pStyle w:val="Heading3"/>
        <w:spacing w:before="150" w:beforeAutospacing="0"/>
        <w:rPr>
          <w:rFonts w:eastAsia="Times New Roman"/>
          <w:color w:val="0078D4"/>
          <w:sz w:val="26"/>
          <w:szCs w:val="26"/>
        </w:rPr>
      </w:pPr>
      <w:r>
        <w:rPr>
          <w:rFonts w:eastAsia="Times New Roman"/>
          <w:color w:val="0078D4"/>
          <w:sz w:val="26"/>
          <w:szCs w:val="26"/>
        </w:rPr>
        <w:t>Calling Plan and Audio Conferencing Services (Calling/Conferencing Services)</w:t>
      </w:r>
    </w:p>
    <w:p>
      <w:pPr>
        <w:pStyle w:val="NormalWeb"/>
        <w:spacing w:after="150"/>
      </w:pPr>
      <w:r>
        <w:t>Exceeding the usage limitations for the applicable Calling and Conferencing service subscription plan as described in the terms of use may result in suspension of the services. Microsoft will provide reasonable notice before suspending Calling or Conferencing services, and customer will be able to make emergency calls during any period of suspension.</w:t>
      </w:r>
    </w:p>
    <w:p>
      <w:pPr>
        <w:pStyle w:val="Heading3"/>
        <w:spacing w:before="150" w:beforeAutospacing="0"/>
        <w:rPr>
          <w:rFonts w:eastAsia="Times New Roman"/>
          <w:color w:val="0078D4"/>
          <w:sz w:val="26"/>
          <w:szCs w:val="26"/>
        </w:rPr>
      </w:pPr>
      <w:r>
        <w:rPr>
          <w:rFonts w:eastAsia="Times New Roman"/>
          <w:color w:val="0078D4"/>
          <w:sz w:val="26"/>
          <w:szCs w:val="26"/>
        </w:rPr>
        <w:t>Operator Connect </w:t>
      </w:r>
    </w:p>
    <w:p>
      <w:pPr>
        <w:pStyle w:val="NormalWeb"/>
        <w:spacing w:after="150"/>
      </w:pPr>
      <w:r>
        <w:t xml:space="preserve">Operator Connect includes Operator Connect for Microsoft Teams and Microsoft Teams Phone Mobile. Microsoft is an independent controller of </w:t>
      </w:r>
      <w:hyperlink w:anchor="_Toc22" w:tooltip="Personal Data means any information relating to an identified or identifiable natural person." w:history="1">
        <w:r>
          <w:rPr>
            <w:rStyle w:val="Hyperlink"/>
            <w:color w:val="505050"/>
          </w:rPr>
          <w:t>Personal Data</w:t>
        </w:r>
      </w:hyperlink>
      <w:r>
        <w:t xml:space="preserve"> processed in connection with Operator Connect. Customer agrees to, and must notify its end users of, the following:</w:t>
      </w:r>
    </w:p>
    <w:p>
      <w:pPr>
        <w:pStyle w:val="NormalWeb"/>
        <w:spacing w:before="150"/>
      </w:pPr>
      <w:r>
        <w:t>Operator Connect enables Teams end users to communicate with others through telephony networks via Microsoft Teams.  </w:t>
      </w:r>
    </w:p>
    <w:p>
      <w:pPr>
        <w:pStyle w:val="NormalWeb"/>
        <w:spacing w:before="150"/>
      </w:pPr>
      <w:r>
        <w:t>When Operator Connect is enabled by your organization, Microsoft shares information with your organization's communication services carrier (the Operator) to ensure the proper functioning of your Operator's service.  </w:t>
      </w:r>
    </w:p>
    <w:p>
      <w:pPr>
        <w:pStyle w:val="NormalWeb"/>
        <w:spacing w:before="150"/>
      </w:pPr>
      <w:r>
        <w:t>Information Microsoft shares with your Operator when you use Operator Connect includes:</w:t>
      </w:r>
    </w:p>
    <w:p>
      <w:pPr>
        <w:numPr>
          <w:ilvl w:val="0"/>
          <w:numId w:val="10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phone numbers;</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call details and call quality data, such as caller and call recipient phone numbers; call invite and end times; call duration; certain caller identifiers; and information about service connections (e.g., IP addresses and operating systems of the caller and call recipient); and</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location information for emergency calling.</w:t>
      </w:r>
    </w:p>
    <w:p>
      <w:pPr>
        <w:pStyle w:val="NormalWeb"/>
        <w:spacing w:before="150"/>
      </w:pPr>
      <w:r>
        <w:t>Operators will be able to export and download the information listed above.</w:t>
      </w:r>
    </w:p>
    <w:p>
      <w:pPr>
        <w:pStyle w:val="NormalWeb"/>
        <w:spacing w:before="150"/>
      </w:pPr>
      <w:r>
        <w:t xml:space="preserve">This information will be handled by your Operator in accordance with your Operator's privacy practices. For more information, refer to your Operator's privacy policy and terms of use. For information about how Microsoft will handle this </w:t>
      </w:r>
      <w:hyperlink w:anchor="_Toc22" w:tooltip="Personal Data means any information relating to an identified or identifiable natural person." w:history="1">
        <w:r>
          <w:rPr>
            <w:rStyle w:val="Hyperlink"/>
            <w:color w:val="505050"/>
          </w:rPr>
          <w:t>Personal Data</w:t>
        </w:r>
      </w:hyperlink>
      <w:r>
        <w:t xml:space="preserve">, please refer to the Microsoft Privacy Statement at </w:t>
      </w:r>
      <w:hyperlink r:id="rId184" w:tgtFrame="_blank" w:history="1">
        <w:r>
          <w:rPr>
            <w:rStyle w:val="Hyperlink"/>
            <w:color w:val="505050"/>
          </w:rPr>
          <w:t>https://go.microsoft.com/fwlink/?LinkId=521839</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Teams SMS Messaging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Teams SMS service involves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Teams SMS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w:t>
      </w:r>
    </w:p>
    <w:p>
      <w:pPr>
        <w:pStyle w:val="NormalWeb"/>
        <w:spacing w:after="150"/>
      </w:pPr>
      <w:r>
        <w:t>Customer and its end users shall comply with the Teams SMS Messaging Policy. The Messaging Policy applies to SMS communications. Microsoft reserves the right to suspend or remove access to Teams SMS for Customers that do not comply with the Messaging Policy. The Messaging Policy is available at </w:t>
      </w:r>
      <w:hyperlink r:id="rId185" w:tgtFrame="_blank" w:history="1">
        <w:r>
          <w:rPr>
            <w:rStyle w:val="Hyperlink"/>
            <w:color w:val="505050"/>
          </w:rPr>
          <w:t>https://learn.microsoft.com/microsoftteams/sms-microsoft-teams-policy.</w:t>
        </w:r>
      </w:hyperlink>
      <w:r>
        <w:t> </w:t>
      </w:r>
    </w:p>
    <w:p w:rsidR="00ED5159" w:rsidP="00ED5159">
      <w:pPr>
        <w:pStyle w:val="ProductList-Offering2Heading"/>
        <w:outlineLvl w:val="2"/>
      </w:pPr>
      <w:r>
        <w:t>Exchange Online</w:t>
      </w:r>
      <w:r>
        <w:fldChar w:fldCharType="begin"/>
      </w:r>
      <w:r>
        <w:instrText xml:space="preserve"> TC </w:instrText>
      </w:r>
      <w:bookmarkStart w:id="58" w:name="_Toc256000046"/>
      <w:r>
        <w:instrText>"</w:instrText>
      </w:r>
      <w:r>
        <w:instrText>Exchange Online</w:instrText>
      </w:r>
      <w:r>
        <w:instrText>"</w:instrText>
      </w:r>
      <w:bookmarkEnd w:id="5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Office 365 Plan 2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Defender for Office 365 Plan 1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Exchange Online Protection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Plan 2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Exchange Online Plan 1A for Alumni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Archiving for Exchange Server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Exchange Online Archiving for Exchange Online (User SL)</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984"/>
        <w:gridCol w:w="13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Archiving for Exchange Online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Archiving for Exchange Server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59" w:name="_Toc256000047"/>
      <w:r>
        <w:instrText>"</w:instrText>
      </w:r>
      <w:r>
        <w:instrText>Microsoft 365 Applications</w:instrText>
      </w:r>
      <w:r>
        <w:instrText>"</w:instrText>
      </w:r>
      <w:bookmarkEnd w:id="5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Apps for enterprise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Apps for enterprise (User SL)</w:t>
            </w:r>
          </w:p>
        </w:tc>
        <w:tc>
          <w:tcPr/>
          <w:p w:rsidR="00A363CA" w:rsidP="00A363CA">
            <w:pPr>
              <w:pStyle w:val="ProductList-TableBody"/>
            </w:pPr>
            <w:r>
              <w:t>Education Platform Product,Enterprise Online Service,Student Offering</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 xml:space="preserve">The following applies to customers in the </w:t>
      </w:r>
      <w:hyperlink w:anchor="_Toc22" w:tooltip="Open Value Subscription - Education Solutions" w:history="1">
        <w:r>
          <w:rPr>
            <w:rStyle w:val="Hyperlink"/>
            <w:color w:val="505050"/>
          </w:rPr>
          <w:t>OVS-ES</w:t>
        </w:r>
      </w:hyperlink>
      <w:r>
        <w:t xml:space="preserve"> and/or </w:t>
      </w:r>
      <w:hyperlink w:anchor="_Toc22" w:tooltip="Enrollment for Education Solutions" w:history="1">
        <w:r>
          <w:rPr>
            <w:rStyle w:val="Hyperlink"/>
            <w:color w:val="505050"/>
          </w:rPr>
          <w:t>EES</w:t>
        </w:r>
      </w:hyperlink>
      <w:r>
        <w:t xml:space="preserv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Apps for enterprise Device SL in EES</w:t>
      </w:r>
    </w:p>
    <w:p>
      <w:pPr>
        <w:pStyle w:val="NormalWeb"/>
        <w:spacing w:after="150"/>
      </w:pPr>
      <w:r>
        <w:t xml:space="preserve">Institutions with Microsoft 365 Apps for enterprise User SLs assigned to all faculty and staff,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in </w:t>
      </w:r>
      <w:hyperlink w:anchor="_Toc22" w:tooltip="Enrollment for Education Solutions" w:history="1">
        <w:r>
          <w:rPr>
            <w:rStyle w:val="Hyperlink"/>
            <w:color w:val="505050"/>
          </w:rPr>
          <w:t>EES</w:t>
        </w:r>
      </w:hyperlink>
      <w:r>
        <w:t xml:space="preserve"> may acquire Microsoft 365 Apps for enterprise Device SLs up to the number of Microsoft 365 Apps for enterprise User SLs licensed by the Institution for use on any device within the Institution’s Organization, including any open access lab or library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Lab and Library Use in OVS-ES</w:t>
      </w:r>
    </w:p>
    <w:p>
      <w:pPr>
        <w:pStyle w:val="NormalWeb"/>
        <w:spacing w:after="150"/>
      </w:pPr>
      <w:r>
        <w:t xml:space="preserve">Institutions with Microsoft 365 Apps for enterprise User SLs assigned to all faculty and staff,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in </w:t>
      </w:r>
      <w:hyperlink w:anchor="_Toc22" w:tooltip="Open Value Subscription - Education Solutions" w:history="1">
        <w:r>
          <w:rPr>
            <w:rStyle w:val="Hyperlink"/>
            <w:color w:val="505050"/>
          </w:rPr>
          <w:t>OVS-ES</w:t>
        </w:r>
      </w:hyperlink>
      <w:r>
        <w:t xml:space="preserve"> may install Office Professional Plus software on any open access lab or library within the Institution’s Organization. Use of the software is otherwise subject to the License terms for Office Professional Plus.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0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0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22"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10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10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2Heading"/>
        <w:outlineLvl w:val="2"/>
      </w:pPr>
      <w:r>
        <w:t>Microsoft Stream (Classic)</w:t>
      </w:r>
      <w:r>
        <w:fldChar w:fldCharType="begin"/>
      </w:r>
      <w:r>
        <w:instrText xml:space="preserve"> TC </w:instrText>
      </w:r>
      <w:bookmarkStart w:id="60" w:name="_Toc256000048"/>
      <w:r>
        <w:instrText>"</w:instrText>
      </w:r>
      <w:r>
        <w:instrText>Microsoft Stream (Classic)</w:instrText>
      </w:r>
      <w:r>
        <w:instrText>"</w:instrText>
      </w:r>
      <w:bookmarkEnd w:id="6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Stream (Classic)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Stream Storage Add-on (Classic) (500GB)</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69"/>
        <w:gridCol w:w="22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Visual Standard, VC-1 Video Standard, and H.265/HEVC Notices apply (refer to </w:t>
      </w:r>
      <w:hyperlink r:id="rId114"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Stream Live Events</w:t>
      </w:r>
    </w:p>
    <w:p>
      <w:pPr>
        <w:pStyle w:val="NormalWeb"/>
        <w:spacing w:after="150"/>
      </w:pPr>
      <w:r>
        <w:t>Stream Live Events are subject to the following:</w:t>
      </w:r>
    </w:p>
    <w:p>
      <w:pPr>
        <w:numPr>
          <w:ilvl w:val="0"/>
          <w:numId w:val="10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may not be greater than four (4) hours in length;</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attendees may not exceed 10,000; and</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are limited to fifteen (15) per customer at any single point in time.</w:t>
      </w:r>
    </w:p>
    <w:p w:rsidR="00ED5159" w:rsidP="00ED5159">
      <w:pPr>
        <w:pStyle w:val="ProductList-Offering2Heading"/>
        <w:outlineLvl w:val="2"/>
      </w:pPr>
      <w:r>
        <w:t>Microsoft Teams</w:t>
      </w:r>
      <w:r>
        <w:fldChar w:fldCharType="begin"/>
      </w:r>
      <w:r>
        <w:instrText xml:space="preserve"> TC </w:instrText>
      </w:r>
      <w:bookmarkStart w:id="61" w:name="_Toc256000049"/>
      <w:r>
        <w:instrText>"</w:instrText>
      </w:r>
      <w:r>
        <w:instrText>Microsoft Teams</w:instrText>
      </w:r>
      <w:r>
        <w:instrText>"</w:instrText>
      </w:r>
      <w:bookmarkEnd w:id="6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Premium</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7"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22"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62" w:name="_Toc256000050"/>
      <w:r>
        <w:instrText>"</w:instrText>
      </w:r>
      <w:r>
        <w:instrText>Office 365 Suites</w:instrText>
      </w:r>
      <w:r>
        <w:instrText>"</w:instrText>
      </w:r>
      <w:bookmarkEnd w:id="6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A5 (User SL)</w:t>
            </w:r>
          </w:p>
        </w:tc>
        <w:tc>
          <w:tcPr/>
          <w:p w:rsidR="00A363CA" w:rsidP="00A363CA">
            <w:pPr>
              <w:pStyle w:val="ProductList-TableBody"/>
            </w:pPr>
            <w:r>
              <w:t>Additional Product School,Education Platform Product</w:t>
            </w:r>
          </w:p>
        </w:tc>
      </w:tr>
      <w:tr w:rsidTr="00610FDE">
        <w:tblPrEx>
          <w:tblW w:w="0" w:type="auto"/>
          <w:tblLook w:val="04A0"/>
        </w:tblPrEx>
        <w:tc>
          <w:tcPr/>
          <w:p w:rsidR="00A363CA" w:rsidP="00A363CA">
            <w:pPr>
              <w:pStyle w:val="ProductList-TableBody"/>
            </w:pPr>
            <w:r>
              <w:t>Office 365 A3 (User SL)</w:t>
            </w:r>
          </w:p>
        </w:tc>
        <w:tc>
          <w:tcPr/>
          <w:p w:rsidR="00A363CA" w:rsidP="00A363CA">
            <w:pPr>
              <w:pStyle w:val="ProductList-TableBody"/>
            </w:pPr>
            <w:r>
              <w:t>Additional Product School,Education Platform Product</w:t>
            </w:r>
          </w:p>
        </w:tc>
      </w:tr>
      <w:tr w:rsidTr="00610FDE">
        <w:tblPrEx>
          <w:tblW w:w="0" w:type="auto"/>
          <w:tblLook w:val="04A0"/>
        </w:tblPrEx>
        <w:tc>
          <w:tcPr/>
          <w:p w:rsidR="00A363CA" w:rsidP="00A363CA">
            <w:pPr>
              <w:pStyle w:val="ProductList-TableBody"/>
            </w:pPr>
            <w:r>
              <w:t>Office 365 A1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Office 365 A5 Add-on (User SL)</w:t>
            </w:r>
          </w:p>
        </w:tc>
        <w:tc>
          <w:tcPr/>
          <w:p w:rsidR="00A363CA" w:rsidP="00A363CA">
            <w:pPr>
              <w:pStyle w:val="ProductList-TableBody"/>
            </w:pPr>
            <w:r>
              <w:t>Additional Product Organization Wide,Enterprise Online Service,Student Offering,Additional Product School</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608"/>
        <w:gridCol w:w="27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10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 xml:space="preserve">The following applies to customers in the </w:t>
      </w:r>
      <w:hyperlink w:anchor="_Toc22" w:tooltip="Open Value Subscription - Education Solutions" w:history="1">
        <w:r>
          <w:rPr>
            <w:rStyle w:val="Hyperlink"/>
            <w:color w:val="505050"/>
          </w:rPr>
          <w:t>OVS-ES</w:t>
        </w:r>
      </w:hyperlink>
      <w:r>
        <w:t xml:space="preserve"> and/or </w:t>
      </w:r>
      <w:hyperlink w:anchor="_Toc22" w:tooltip="Enrollment for Education Solutions" w:history="1">
        <w:r>
          <w:rPr>
            <w:rStyle w:val="Hyperlink"/>
            <w:color w:val="505050"/>
          </w:rPr>
          <w:t>EES</w:t>
        </w:r>
      </w:hyperlink>
      <w:r>
        <w:t xml:space="preserv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Office Professional Plus</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assigned an Office 365 A3/A5 User SL may install one local copy of Office Professional Plus for the sole use of the </w:t>
      </w:r>
      <w:hyperlink w:anchor="_Toc22" w:tooltip="Licensed User means the single person to whom a License is assigned." w:history="1">
        <w:r>
          <w:rPr>
            <w:rStyle w:val="Hyperlink"/>
            <w:color w:val="505050"/>
          </w:rPr>
          <w:t>Licensed User</w:t>
        </w:r>
      </w:hyperlink>
      <w:r>
        <w:t xml:space="preserve"> for the duration of the subscription. This provision does not apply to User SLs acquired through the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Apps for Enterprise for Shared Device Use in EES</w:t>
      </w:r>
    </w:p>
    <w:p>
      <w:pPr>
        <w:pStyle w:val="NormalWeb"/>
        <w:spacing w:after="150"/>
      </w:pPr>
      <w:r>
        <w:t xml:space="preserve">Institutions with Office 365 A3/A5 User SLs assigned to all faculty and staff,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in </w:t>
      </w:r>
      <w:hyperlink w:anchor="_Toc22" w:tooltip="Enrollment for Education Solutions" w:history="1">
        <w:r>
          <w:rPr>
            <w:rStyle w:val="Hyperlink"/>
            <w:color w:val="505050"/>
          </w:rPr>
          <w:t>EES</w:t>
        </w:r>
      </w:hyperlink>
      <w:r>
        <w:t xml:space="preserve"> may acquire Microsoft 365 Apps for enterprise Device SLs up to the number of Office 365 A3/A5 User SLs licensed by the Institution for use on any device within the Institution’s Organization, including any open access lab or library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Professional Plus for Lab and Library Use</w:t>
      </w:r>
    </w:p>
    <w:p>
      <w:pPr>
        <w:pStyle w:val="NormalWeb"/>
        <w:spacing w:after="150"/>
      </w:pPr>
      <w:r>
        <w:t xml:space="preserve">Institutions with Office 365 A3/A5 User SLs assigned to all faculty and staff,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may install Office Professional Plus software on any open access lab or library within the Institution’s Organization. Use of the software is otherwise subject to the License terms for </w:t>
      </w:r>
      <w:hyperlink r:id="rId120" w:history="1">
        <w:r>
          <w:rPr>
            <w:rStyle w:val="Hyperlink"/>
            <w:color w:val="505050"/>
          </w:rPr>
          <w:t>Office Professional Plus</w:t>
        </w:r>
      </w:hyperlink>
      <w:r>
        <w:t>.</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2Heading"/>
        <w:outlineLvl w:val="2"/>
      </w:pPr>
      <w:r>
        <w:t>Office for the web</w:t>
      </w:r>
      <w:r>
        <w:fldChar w:fldCharType="begin"/>
      </w:r>
      <w:r>
        <w:instrText xml:space="preserve"> TC </w:instrText>
      </w:r>
      <w:bookmarkStart w:id="63" w:name="_Toc256000051"/>
      <w:r>
        <w:instrText>"</w:instrText>
      </w:r>
      <w:r>
        <w:instrText>Office for the web</w:instrText>
      </w:r>
      <w:r>
        <w:instrText>"</w:instrText>
      </w:r>
      <w:bookmarkEnd w:id="63"/>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Project</w:t>
      </w:r>
      <w:r>
        <w:fldChar w:fldCharType="begin"/>
      </w:r>
      <w:r>
        <w:instrText xml:space="preserve"> TC </w:instrText>
      </w:r>
      <w:bookmarkStart w:id="64" w:name="_Toc256000052"/>
      <w:r>
        <w:instrText>"</w:instrText>
      </w:r>
      <w:r>
        <w:instrText>Project</w:instrText>
      </w:r>
      <w:r>
        <w:instrText>"</w:instrText>
      </w:r>
      <w:bookmarkEnd w:id="6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Planner and Project Plan 5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Planner and Project Plan 3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Project Essentials (User SL)</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77"/>
        <w:gridCol w:w="20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69"/>
        <w:gridCol w:w="22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10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10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40"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2Heading"/>
        <w:outlineLvl w:val="2"/>
      </w:pPr>
      <w:r>
        <w:t>SharePoint Online</w:t>
      </w:r>
      <w:r>
        <w:fldChar w:fldCharType="begin"/>
      </w:r>
      <w:r>
        <w:instrText xml:space="preserve"> TC </w:instrText>
      </w:r>
      <w:bookmarkStart w:id="65" w:name="_Toc256000053"/>
      <w:r>
        <w:instrText>"</w:instrText>
      </w:r>
      <w:r>
        <w:instrText>SharePoint Online</w:instrText>
      </w:r>
      <w:r>
        <w:instrText>"</w:instrText>
      </w:r>
      <w:bookmarkEnd w:id="6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Syntex</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365 Extra File Storage 1 GB (Add-on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SharePoint Embedded</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685"/>
        <w:gridCol w:w="16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Extra File Storage 1 GB (Add-on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25"/>
        <w:gridCol w:w="240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1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66" w:name="_Toc256000054"/>
      <w:r>
        <w:instrText>"</w:instrText>
      </w:r>
      <w:r>
        <w:instrText>Visio Online</w:instrText>
      </w:r>
      <w:r>
        <w:instrText>"</w:instrText>
      </w:r>
      <w:bookmarkEnd w:id="6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Online Plan 2</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Visio Online Plan 1</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89"/>
        <w:gridCol w:w="22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7"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69"/>
        <w:gridCol w:w="22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1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1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1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1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40"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1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2Heading"/>
        <w:outlineLvl w:val="2"/>
      </w:pPr>
      <w:r>
        <w:t>Workplace Analytics</w:t>
      </w:r>
      <w:r>
        <w:fldChar w:fldCharType="begin"/>
      </w:r>
      <w:r>
        <w:instrText xml:space="preserve"> TC </w:instrText>
      </w:r>
      <w:bookmarkStart w:id="67" w:name="_Toc256000055"/>
      <w:r>
        <w:instrText>"</w:instrText>
      </w:r>
      <w:r>
        <w:instrText>Workplace Analytics</w:instrText>
      </w:r>
      <w:r>
        <w:instrText>"</w:instrText>
      </w:r>
      <w:bookmarkEnd w:id="6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Workplace Analytics (User SL)*</w:t>
            </w:r>
          </w:p>
        </w:tc>
        <w:tc>
          <w:tcPr/>
          <w:p w:rsidR="00A363CA" w:rsidP="00A363CA">
            <w:pPr>
              <w:pStyle w:val="ProductList-TableBody"/>
            </w:pPr>
            <w:r>
              <w:t>Additional Product,Additional Product Faculty</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069"/>
        <w:gridCol w:w="22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489"/>
        <w:gridCol w:w="7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Premium/E3/E5/A3/A5; Office 365 E1/E3/E5/A3/A5; Exchange Online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4"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GroupHeading"/>
        <w:outlineLvl w:val="1"/>
      </w:pPr>
      <w:r>
        <w:t>Other Online Services</w:t>
      </w:r>
      <w:r>
        <w:fldChar w:fldCharType="begin"/>
      </w:r>
      <w:r>
        <w:instrText xml:space="preserve"> TC </w:instrText>
      </w:r>
      <w:bookmarkStart w:id="68" w:name="_Toc256000056"/>
      <w:r>
        <w:instrText>"</w:instrText>
      </w:r>
      <w:bookmarkStart w:id="69" w:name="_Toc20"/>
      <w:r>
        <w:instrText>Other Online Services</w:instrText>
      </w:r>
      <w:bookmarkEnd w:id="69"/>
      <w:r>
        <w:instrText>"</w:instrText>
      </w:r>
      <w:bookmarkEnd w:id="68"/>
      <w:r>
        <w:instrText xml:space="preserve"> \l 2</w:instrText>
      </w:r>
      <w:r>
        <w:fldChar w:fldCharType="end"/>
      </w:r>
    </w:p>
    <w:p w:rsidR="00ED5159" w:rsidP="00ED5159">
      <w:pPr>
        <w:pStyle w:val="ProductList-Offering2Heading"/>
        <w:outlineLvl w:val="2"/>
      </w:pPr>
      <w:r>
        <w:t>GitHub Offerings</w:t>
      </w:r>
      <w:r>
        <w:fldChar w:fldCharType="begin"/>
      </w:r>
      <w:r>
        <w:instrText xml:space="preserve"> TC </w:instrText>
      </w:r>
      <w:bookmarkStart w:id="70" w:name="_Toc256000057"/>
      <w:r>
        <w:instrText>"</w:instrText>
      </w:r>
      <w:r>
        <w:instrText>GitHub Offerings</w:instrText>
      </w:r>
      <w:r>
        <w:instrText>"</w:instrText>
      </w:r>
      <w:bookmarkEnd w:id="7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GitHub Actions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Packages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Copilot Business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Large File Storage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Advanced Security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Enterprise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Copilot Enterprise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Codespaces</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GitHub Core Online Services</w:t>
      </w:r>
    </w:p>
    <w:p>
      <w:pPr>
        <w:pStyle w:val="NormalWeb"/>
        <w:spacing w:after="150"/>
      </w:pPr>
      <w:r>
        <w:t>The term "GitHub Core Online Services" applies only to the services in the table below, excluding any Previews.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(with data residency enabled)</w:t>
            </w:r>
          </w:p>
        </w:tc>
      </w:tr>
    </w:tbl>
    <w:p/>
    <w:p>
      <w:pPr>
        <w:pStyle w:val="Heading3"/>
        <w:spacing w:before="150" w:beforeAutospacing="0"/>
        <w:rPr>
          <w:rFonts w:eastAsia="Times New Roman"/>
          <w:color w:val="0078D4"/>
          <w:sz w:val="26"/>
          <w:szCs w:val="26"/>
        </w:rPr>
      </w:pPr>
      <w:r>
        <w:rPr>
          <w:rFonts w:eastAsia="Times New Roman"/>
          <w:color w:val="0078D4"/>
          <w:sz w:val="26"/>
          <w:szCs w:val="26"/>
        </w:rPr>
        <w:t>Security Practices and Policies for GitHub Core Online Services</w:t>
      </w:r>
    </w:p>
    <w:p>
      <w:pPr>
        <w:pStyle w:val="NormalWeb"/>
        <w:spacing w:after="150"/>
      </w:pPr>
      <w:r>
        <w:t xml:space="preserve">In addition to the security practices and policies for Online Services in the GitHub DPA, each GitHub Core Online Service also complies with the control standards and frameworks shown in the table below and implements and maintains the security measures set forth in Attachment 2 of the GitHub DPA for the protection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01"/>
        <w:gridCol w:w="2415"/>
        <w:gridCol w:w="24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Business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(with data residency enabled)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bl>
    <w:p/>
    <w:p>
      <w:pPr>
        <w:pStyle w:val="Heading3"/>
        <w:spacing w:before="150" w:beforeAutospacing="0"/>
        <w:rPr>
          <w:rFonts w:eastAsia="Times New Roman"/>
          <w:color w:val="0078D4"/>
          <w:sz w:val="26"/>
          <w:szCs w:val="26"/>
        </w:rPr>
      </w:pPr>
      <w:r>
        <w:rPr>
          <w:rFonts w:eastAsia="Times New Roman"/>
          <w:color w:val="0078D4"/>
          <w:sz w:val="26"/>
          <w:szCs w:val="26"/>
        </w:rPr>
        <w:t>GitHub Enterprise</w:t>
      </w:r>
    </w:p>
    <w:p>
      <w:pPr>
        <w:pStyle w:val="NormalWeb"/>
        <w:spacing w:after="150"/>
      </w:pPr>
      <w:r>
        <w:t>Customer's Licensed Users may access and use both the GitHub Enterprise Cloud online service (formerly known as Business Cloud) and GitHub Enterprise Server on-premises software (formerly known as GitHub Enterprise or GHE), as included in GitHub Enterprise.</w:t>
      </w:r>
    </w:p>
    <w:p>
      <w:pPr>
        <w:pStyle w:val="Heading3"/>
        <w:spacing w:before="150" w:beforeAutospacing="0"/>
        <w:rPr>
          <w:rFonts w:eastAsia="Times New Roman"/>
          <w:color w:val="0078D4"/>
          <w:sz w:val="26"/>
          <w:szCs w:val="26"/>
        </w:rPr>
      </w:pPr>
      <w:r>
        <w:rPr>
          <w:rFonts w:eastAsia="Times New Roman"/>
          <w:color w:val="0078D4"/>
          <w:sz w:val="26"/>
          <w:szCs w:val="26"/>
        </w:rPr>
        <w:t>GitHub Enterprise Licensed via EES</w:t>
      </w:r>
    </w:p>
    <w:p>
      <w:pPr>
        <w:pStyle w:val="NormalWeb"/>
        <w:spacing w:after="150"/>
      </w:pPr>
      <w:r>
        <w:t xml:space="preserve">Customer must acquire one GitHub Enterprise Service SL for the organization. For purposes of GitHub Enterprise License Terms, all of Customer’s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and </w:t>
      </w:r>
      <w:hyperlink w:anchor="_Toc22" w:tooltip="Student means any individual enrolled in any educational institution that is part of Institution's Organization whether on a full-time or part-time basis." w:history="1">
        <w:r>
          <w:rPr>
            <w:rStyle w:val="Hyperlink"/>
            <w:color w:val="505050"/>
          </w:rPr>
          <w:t>Students</w:t>
        </w:r>
      </w:hyperlink>
      <w:r>
        <w:t xml:space="preserve"> are deemed to be Licensed Users during the term of its Service SL.</w:t>
      </w:r>
    </w:p>
    <w:p>
      <w:pPr>
        <w:pStyle w:val="Heading3"/>
        <w:spacing w:before="150" w:beforeAutospacing="0"/>
        <w:rPr>
          <w:rFonts w:eastAsia="Times New Roman"/>
          <w:color w:val="0078D4"/>
          <w:sz w:val="26"/>
          <w:szCs w:val="26"/>
        </w:rPr>
      </w:pPr>
      <w:r>
        <w:rPr>
          <w:rFonts w:eastAsia="Times New Roman"/>
          <w:color w:val="0078D4"/>
          <w:sz w:val="26"/>
          <w:szCs w:val="26"/>
        </w:rPr>
        <w:t>Training and Evaluation</w:t>
      </w:r>
    </w:p>
    <w:p>
      <w:pPr>
        <w:pStyle w:val="NormalWeb"/>
        <w:spacing w:after="150"/>
      </w:pPr>
      <w:r>
        <w:t xml:space="preserve">Notwithstanding any terms to the contrary in Customer's volume licensing agreement, access to GitHub Enterprise software or other GitHub Offerings for preview, demonstration, trial, training, or evaluation purposes, as well as access to pre-release versions, is governed by the terms at </w:t>
      </w:r>
      <w:hyperlink r:id="rId188" w:tgtFrame="_blank" w:history="1">
        <w:r>
          <w:rPr>
            <w:rStyle w:val="Hyperlink"/>
            <w:color w:val="505050"/>
          </w:rPr>
          <w:t>https://aka.ms/github_preview</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62"/>
        <w:gridCol w:w="306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Advanced Security for Azure DevOps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Actions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Advanced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Codespaces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Large File Storage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Packages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For more information, please refer to </w:t>
      </w:r>
      <w:hyperlink r:id="rId189" w:tgtFrame="_blank" w:history="1">
        <w:r>
          <w:rPr>
            <w:rStyle w:val="Hyperlink"/>
            <w:color w:val="505050"/>
          </w:rPr>
          <w:t>https://github.com/customer-terms/github-online-services-sla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Advanced Security</w:t>
      </w:r>
    </w:p>
    <w:p>
      <w:pPr>
        <w:pStyle w:val="NormalWeb"/>
        <w:spacing w:after="150"/>
      </w:pPr>
      <w:r>
        <w:t xml:space="preserve">In addition to User SLs permitting access to GitHub Enterprise, Customer must acquire GitHub Advanced Security User SLs for each of its </w:t>
      </w:r>
      <w:hyperlink w:anchor="_Toc22"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Engineering Direct</w:t>
      </w:r>
    </w:p>
    <w:p>
      <w:pPr>
        <w:pStyle w:val="NormalWeb"/>
        <w:spacing w:after="150"/>
      </w:pPr>
      <w:r>
        <w:t>GitHub Engineering Direct is premium technical support provided by GitHub, Inc. for customers who have Microsoft Premier or Unified Support.  By using GitHub technical support, Customer agrees to be bound by the GitHub terms available at</w:t>
      </w:r>
      <w:r>
        <w:rPr>
          <w:rStyle w:val="Strong"/>
        </w:rPr>
        <w:t xml:space="preserve"> </w:t>
      </w:r>
      <w:hyperlink r:id="rId190" w:history="1">
        <w:r>
          <w:rPr>
            <w:rStyle w:val="Hyperlink"/>
            <w:color w:val="505050"/>
          </w:rPr>
          <w:t>https://aka.ms/githubsupport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Enterprise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 </w:t>
      </w:r>
    </w:p>
    <w:p>
      <w:pPr>
        <w:pStyle w:val="NormalWeb"/>
        <w:spacing w:after="150"/>
      </w:pPr>
      <w:r>
        <w:t xml:space="preserve">Customer must update on-premises software at least once per year. Releases can be found at </w:t>
      </w:r>
      <w:hyperlink r:id="rId191" w:tgtFrame="_blank" w:history="1">
        <w:r>
          <w:rPr>
            <w:rStyle w:val="Hyperlink"/>
            <w:color w:val="505050"/>
          </w:rPr>
          <w:t>https://enterprise.github.com/releases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Enterprise Cloud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Grant</w:t>
      </w:r>
    </w:p>
    <w:p>
      <w:pPr>
        <w:pStyle w:val="NormalWeb"/>
        <w:spacing w:after="150"/>
      </w:pPr>
      <w:r>
        <w:t xml:space="preserve">Customer grants Microsoft a nonexclusive, worldwide license to use </w:t>
      </w:r>
      <w:hyperlink w:anchor="_Toc22"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the right to make incidental copies as necessary to provide the Online Services or support, or for security reasons.  Customer can terminate this license by removing such content from the service or generally by closing Customer's account, except (a) to the extent Customer shared it with others as part of the service and they copied re-shared or stored it and (b) for the reasonable time it takes to remove from backup and other systems. Customer will fully comply with any third-party license terms that apply to such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Contributions Under Repository License</w:t>
      </w:r>
    </w:p>
    <w:p>
      <w:pPr>
        <w:pStyle w:val="NormalWeb"/>
        <w:spacing w:after="150"/>
      </w:pPr>
      <w:r>
        <w:t>Unless otherwise specifically agreed (for example in a contributor license agreement), upon adding content to a repository, Customer grants a license to third parties under the same terms as the repository. </w:t>
      </w:r>
    </w:p>
    <w:p>
      <w:pPr>
        <w:pStyle w:val="Heading3"/>
        <w:spacing w:before="150" w:beforeAutospacing="0"/>
        <w:rPr>
          <w:rFonts w:eastAsia="Times New Roman"/>
          <w:color w:val="0078D4"/>
          <w:sz w:val="26"/>
          <w:szCs w:val="26"/>
        </w:rPr>
      </w:pPr>
      <w:r>
        <w:rPr>
          <w:rFonts w:eastAsia="Times New Roman"/>
          <w:color w:val="0078D4"/>
          <w:sz w:val="26"/>
          <w:szCs w:val="26"/>
        </w:rPr>
        <w:t>GitHub Copilot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w:t>
      </w:r>
    </w:p>
    <w:p>
      <w:pPr>
        <w:pStyle w:val="NormalWeb"/>
        <w:spacing w:after="150"/>
      </w:pPr>
      <w:r>
        <w:t>Prompts are the collection of code and supporting contextual information sent to GitHub to generate suggestions, including data you submit through a chat interface. Suggestions are the code, functions, and other output returned to Customers by GitHub Copilot.</w:t>
      </w:r>
    </w:p>
    <w:p>
      <w:pPr>
        <w:pStyle w:val="NormalWeb"/>
        <w:spacing w:before="150"/>
      </w:pPr>
      <w:r>
        <w:rPr>
          <w:rStyle w:val="Strong"/>
        </w:rPr>
        <w:t>A. Copilot Data Generally.</w:t>
      </w:r>
      <w:r>
        <w:t xml:space="preserve"> GitHub Copilot sends an encrypted prompt from Customer to GitHub to provide suggestions. Except as detailed below, Prompts are transmitted only to generate these suggestions in real-time, are deleted once the suggestions are generated, and are not used for any other purpose.  Prompts are encrypted during transit and are not stored at rest without your permission.</w:t>
      </w:r>
    </w:p>
    <w:p>
      <w:pPr>
        <w:pStyle w:val="NormalWeb"/>
        <w:spacing w:before="150"/>
      </w:pPr>
      <w:r>
        <w:rPr>
          <w:rStyle w:val="Strong"/>
        </w:rPr>
        <w:t>B. When Prompts are Retained.</w:t>
      </w:r>
      <w:r>
        <w:t xml:space="preserve"> Your Prompts are retained by GitHub in the following circumstances:</w:t>
      </w:r>
    </w:p>
    <w:p>
      <w:pPr>
        <w:numPr>
          <w:ilvl w:val="0"/>
          <w:numId w:val="113"/>
        </w:numPr>
        <w:spacing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CLI and Other Tools.</w:t>
      </w:r>
      <w:r>
        <w:rPr>
          <w:rFonts w:ascii="Segoe UI" w:eastAsia="Times New Roman" w:hAnsi="Segoe UI" w:cs="Segoe UI"/>
          <w:color w:val="505050"/>
          <w:sz w:val="18"/>
          <w:szCs w:val="18"/>
        </w:rPr>
        <w:t xml:space="preserve"> If you use GitHub Copilot tools that operate outside of your code editor, such as Copilot for the Command Line Interface, GitHub Copilot retains your Prompts to those tools to provide the service.</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Private Language Models.</w:t>
      </w:r>
      <w:r>
        <w:rPr>
          <w:rFonts w:ascii="Segoe UI" w:eastAsia="Times New Roman" w:hAnsi="Segoe UI" w:cs="Segoe UI"/>
          <w:color w:val="505050"/>
          <w:sz w:val="18"/>
          <w:szCs w:val="18"/>
        </w:rPr>
        <w:t xml:space="preserve"> If you have requested a customized private language model, GitHub Copilot retains your Prompts to fine-tune your private model.</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Custom Settings.</w:t>
      </w:r>
      <w:r>
        <w:rPr>
          <w:rFonts w:ascii="Segoe UI" w:eastAsia="Times New Roman" w:hAnsi="Segoe UI" w:cs="Segoe UI"/>
          <w:color w:val="505050"/>
          <w:sz w:val="18"/>
          <w:szCs w:val="18"/>
        </w:rPr>
        <w:t xml:space="preserve"> If you have configured GitHub Copilot to use alternative data handling, such as enabling interaction with third party extensions, GitHub Copilot will retain your Prompts based on that configuration.</w:t>
      </w:r>
    </w:p>
    <w:p>
      <w:pPr>
        <w:pStyle w:val="NormalWeb"/>
        <w:spacing w:before="150"/>
      </w:pPr>
      <w:r>
        <w:rPr>
          <w:rStyle w:val="Strong"/>
        </w:rPr>
        <w:t>C. More Information</w:t>
      </w:r>
      <w:r>
        <w:t xml:space="preserve">. More detailed information on how data is processed by GitHub Copilot is in the GitHub Privacy Statement available at </w:t>
      </w:r>
      <w:hyperlink r:id="rId192" w:tgtFrame="_blank" w:history="1">
        <w:r>
          <w:rPr>
            <w:rStyle w:val="Hyperlink"/>
            <w:color w:val="505050"/>
          </w:rPr>
          <w:t>https://gh.io/privacy</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Notices to GitHub may be submitted via email to </w:t>
      </w:r>
      <w:hyperlink r:id="rId193" w:tgtFrame="_blank" w:history="1">
        <w:r>
          <w:rPr>
            <w:rStyle w:val="Hyperlink"/>
            <w:color w:val="505050"/>
          </w:rPr>
          <w:t>legal-support@github.com</w:t>
        </w:r>
      </w:hyperlink>
      <w:r>
        <w:t>. If Customer wishes to formally service notice on GitHub, it must be made through GitHub's registered agent:</w:t>
      </w:r>
    </w:p>
    <w:p>
      <w:pPr>
        <w:pStyle w:val="NormalWeb"/>
        <w:spacing w:before="150"/>
      </w:pPr>
      <w:r>
        <w:t>GitHub, Inc.</w:t>
      </w:r>
    </w:p>
    <w:p>
      <w:pPr>
        <w:pStyle w:val="NormalWeb"/>
        <w:spacing w:before="150"/>
      </w:pPr>
      <w:r>
        <w:t>c/o Corporation Service Company</w:t>
      </w:r>
    </w:p>
    <w:p>
      <w:pPr>
        <w:pStyle w:val="NormalWeb"/>
        <w:spacing w:before="150"/>
      </w:pPr>
      <w:r>
        <w:t>2710 Gateway Oaks Drive, Suite 150N</w:t>
      </w:r>
    </w:p>
    <w:p>
      <w:pPr>
        <w:pStyle w:val="NormalWeb"/>
        <w:spacing w:before="150"/>
      </w:pPr>
      <w:r>
        <w:t>Sacramento, CA 95833-3505</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2"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2"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rsidR="00ED5159" w:rsidP="00ED5159">
      <w:pPr>
        <w:pStyle w:val="ProductList-Offering2Heading"/>
        <w:outlineLvl w:val="2"/>
      </w:pPr>
      <w:r>
        <w:t>Microsoft Cloud for Healthcare Add-On</w:t>
      </w:r>
      <w:r>
        <w:fldChar w:fldCharType="begin"/>
      </w:r>
      <w:r>
        <w:instrText xml:space="preserve"> TC </w:instrText>
      </w:r>
      <w:bookmarkStart w:id="71" w:name="_Toc256000058"/>
      <w:r>
        <w:instrText>"</w:instrText>
      </w:r>
      <w:r>
        <w:instrText>Microsoft Cloud for Healthcare Add-On</w:instrText>
      </w:r>
      <w:r>
        <w:instrText>"</w:instrText>
      </w:r>
      <w:bookmarkEnd w:id="7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Cloud for Healthcare Add-on</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588"/>
        <w:gridCol w:w="274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Add-ons</w:t>
      </w:r>
    </w:p>
    <w:p>
      <w:pPr>
        <w:pStyle w:val="NormalWeb"/>
        <w:spacing w:after="150"/>
      </w:pPr>
      <w:r>
        <w:t>Customer may acquire Microsoft Cloud for Healthcare Add-ons subject to the following conditions:</w:t>
      </w:r>
    </w:p>
    <w:p>
      <w:pPr>
        <w:numPr>
          <w:ilvl w:val="0"/>
          <w:numId w:val="11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 license for the corresponding Qualifying Licenses.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one Add-on SL for each Qualifying License(s), unless provided otherwise in these terms.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Add-on SLs between true-up dates in advance of the acquisition of the Qualifying Licenses.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Healthcare Add-on features are dependent upon purchase of the following Qualifying Licenses and/or combination of the following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F3/E1/E3/A3</w:t>
            </w:r>
            <w:r>
              <w:rPr>
                <w:rStyle w:val="Strong"/>
                <w:rFonts w:ascii="Segoe UI" w:eastAsia="Times New Roman" w:hAnsi="Segoe UI" w:cs="Segoe UI"/>
                <w:sz w:val="16"/>
                <w:szCs w:val="16"/>
              </w:rPr>
              <w:t>*</w:t>
            </w:r>
            <w:r>
              <w:rPr>
                <w:rFonts w:ascii="Segoe UI" w:eastAsia="Times New Roman" w:hAnsi="Segoe UI" w:cs="Segoe UI"/>
                <w:sz w:val="16"/>
                <w:szCs w:val="16"/>
              </w:rPr>
              <w:t>, Microsoft 365 F1/F3/E3/E5</w:t>
            </w:r>
            <w:r>
              <w:rPr>
                <w:rStyle w:val="Strong"/>
                <w:rFonts w:ascii="Segoe UI" w:eastAsia="Times New Roman" w:hAnsi="Segoe UI" w:cs="Segoe UI"/>
                <w:sz w:val="16"/>
                <w:szCs w:val="16"/>
              </w:rPr>
              <w:t>*</w:t>
            </w:r>
            <w:r>
              <w:rPr>
                <w:rFonts w:ascii="Segoe UI" w:eastAsia="Times New Roman" w:hAnsi="Segoe UI" w:cs="Segoe UI"/>
                <w:sz w:val="16"/>
                <w:szCs w:val="16"/>
              </w:rPr>
              <w:t>, or Power Apps, or Power Automate, or PowerBI, or Dynamics 365 Customer Service Enterprise, or Dynamics 365 Digital Messaging, or Dynamics 365 Customer Insights, or Dynamics 365 Insights, or Dynamics 365 Field Service, or Microsoft Azure API for FHIR, or Microsoft Healthcare Bot Service.</w:t>
            </w:r>
          </w:p>
        </w:tc>
      </w:tr>
    </w:tbl>
    <w:p>
      <w:pPr>
        <w:pStyle w:val="NormalWeb"/>
      </w:pPr>
      <w:r>
        <w:rPr>
          <w:rStyle w:val="Strong"/>
        </w:rPr>
        <w:t>*</w:t>
      </w:r>
      <w:r>
        <w:rPr>
          <w:i/>
          <w:iCs/>
        </w:rPr>
        <w:t>Or any component of the suite that contains Microsoft Teams.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Compliance Disclaimer</w:t>
      </w:r>
    </w:p>
    <w:p>
      <w:pPr>
        <w:pStyle w:val="NormalWeb"/>
        <w:spacing w:after="150"/>
      </w:pPr>
      <w:r>
        <w:t xml:space="preserve">The Microsoft Cloud for Healthcare Add-on Service Specific Terms explains your and Microsoft's rights and obligations with respect to regulatory compliance standards for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Non-Microsoft Product data solely in connection with your use of the Microsoft Healthcare Add-on.</w:t>
      </w:r>
    </w:p>
    <w:p>
      <w:pPr>
        <w:pStyle w:val="NormalWeb"/>
        <w:spacing w:before="150"/>
      </w:pPr>
      <w:r>
        <w:t>The regulatory compliance standards that are applicable to the Microsoft Cloud for Healthcare Add-on features can be found on the compliance dashboard (</w:t>
      </w:r>
      <w:hyperlink r:id="rId194" w:tgtFrame="_blank" w:history="1">
        <w:r>
          <w:rPr>
            <w:rStyle w:val="Hyperlink"/>
            <w:color w:val="505050"/>
          </w:rPr>
          <w:t>https://docs.microsoft.com/microsoft-365/compliance/offering-hipaa-hitech?view=o365-worldwide</w:t>
        </w:r>
      </w:hyperlink>
      <w:r>
        <w:t>).</w:t>
      </w:r>
    </w:p>
    <w:p>
      <w:pPr>
        <w:pStyle w:val="NormalWeb"/>
        <w:spacing w:before="150"/>
      </w:pPr>
      <w:r>
        <w:t xml:space="preserve">You can learn more about Microsoft's commitments to compliance, data protection, and privacy for the Microsoft Cloud for Healthcare Add-on at </w:t>
      </w:r>
      <w:hyperlink r:id="rId195" w:tgtFrame="_blank" w:history="1">
        <w:r>
          <w:rPr>
            <w:rStyle w:val="Hyperlink"/>
            <w:color w:val="505050"/>
          </w:rPr>
          <w:t>https://aka.ms/MicrosoftCloudforHealthcareCompliance</w:t>
        </w:r>
      </w:hyperlink>
      <w:r>
        <w:t>.</w:t>
      </w:r>
    </w:p>
    <w:p w:rsidR="00ED5159" w:rsidP="00ED5159">
      <w:pPr>
        <w:pStyle w:val="ProductList-Offering2Heading"/>
        <w:outlineLvl w:val="2"/>
      </w:pPr>
      <w:r>
        <w:t>Microsoft Cloud for Nonprofit Add-On</w:t>
      </w:r>
      <w:r>
        <w:fldChar w:fldCharType="begin"/>
      </w:r>
      <w:r>
        <w:instrText xml:space="preserve"> TC </w:instrText>
      </w:r>
      <w:bookmarkStart w:id="72" w:name="_Toc256000059"/>
      <w:r>
        <w:instrText>"</w:instrText>
      </w:r>
      <w:r>
        <w:instrText>Microsoft Cloud for Nonprofit Add-On</w:instrText>
      </w:r>
      <w:r>
        <w:instrText>"</w:instrText>
      </w:r>
      <w:bookmarkEnd w:id="7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Cloud for Nonprofit Basic</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Cloud for Nonprofit: Plan 1 and Plan 2</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w:t>
      </w:r>
    </w:p>
    <w:p>
      <w:pPr>
        <w:pStyle w:val="NormalWeb"/>
        <w:spacing w:after="150"/>
      </w:pPr>
      <w:r>
        <w:t>Purchases of the following products allow Customers with a total count of employees, regardless of how many employees access Microsoft Cloud for Nonprofit, to purchase the Licenses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07"/>
        <w:gridCol w:w="41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Total Employee 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Cloud for Nonprofit: Plan 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Less than or equal to 250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Cloud for Nonprofit: 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Greater than or equal to 251</w:t>
            </w:r>
          </w:p>
        </w:tc>
      </w:tr>
    </w:tbl>
    <w:p/>
    <w:p>
      <w:pPr>
        <w:pStyle w:val="Heading3"/>
        <w:spacing w:before="150" w:beforeAutospacing="0"/>
        <w:rPr>
          <w:rFonts w:eastAsia="Times New Roman"/>
          <w:color w:val="0078D4"/>
          <w:sz w:val="26"/>
          <w:szCs w:val="26"/>
        </w:rPr>
      </w:pPr>
      <w:r>
        <w:rPr>
          <w:rFonts w:eastAsia="Times New Roman"/>
          <w:color w:val="0078D4"/>
          <w:sz w:val="26"/>
          <w:szCs w:val="26"/>
        </w:rPr>
        <w:t>Add-ons</w:t>
      </w:r>
    </w:p>
    <w:p>
      <w:pPr>
        <w:pStyle w:val="NormalWeb"/>
        <w:spacing w:after="150"/>
      </w:pPr>
      <w:r>
        <w:t>Customer may acquire Microsoft Cloud for Nonprofit Add-ons subject to the following conditions:</w:t>
      </w:r>
    </w:p>
    <w:p>
      <w:pPr>
        <w:numPr>
          <w:ilvl w:val="0"/>
          <w:numId w:val="11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 license for the corresponding Qualifying Licenses.</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one Add-on SL for each Qualifying License(s), unless provided otherwise in these terms.</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Add-on SLs between true-up dates in advance of the acquisition of the Qualifying Licenses.</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Cloud for Nonprofit Add-on features are dependent upon purchase of the following Qualifying Licenses and/or combination of the following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Qualifying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or Office 365 A5/E5, or Microsoft 365 A3/E3 or Microsoft 365 A5/E5, or LinkedIn Sales Navigator, or Power Apps, or Power Automate, or Power BI, or Dynamics 365 Sales Enterprise, or Dynamics 365 Customer Insights, or Azure App Service</w:t>
            </w:r>
          </w:p>
        </w:tc>
      </w:tr>
    </w:tbl>
    <w:p>
      <w:pPr>
        <w:rPr>
          <w:rFonts w:ascii="Segoe UI" w:eastAsia="Times New Roman" w:hAnsi="Segoe UI" w:cs="Segoe UI"/>
          <w:color w:val="505050"/>
          <w:sz w:val="18"/>
          <w:szCs w:val="18"/>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Compliance Terms </w:t>
      </w:r>
    </w:p>
    <w:p>
      <w:pPr>
        <w:pStyle w:val="NormalWeb"/>
        <w:spacing w:after="150"/>
      </w:pPr>
      <w:r>
        <w:t xml:space="preserve">You can learn more about Microsoft's commitments to compliance, data protection, and privacy for the Microsoft Cloud for Retail Add-on at </w:t>
      </w:r>
      <w:hyperlink r:id="rId196" w:tgtFrame="_blank" w:history="1">
        <w:r>
          <w:rPr>
            <w:rStyle w:val="Hyperlink"/>
            <w:color w:val="505050"/>
          </w:rPr>
          <w:t>https://aka.ms/MicrosoftCloudforNon-Profit</w:t>
        </w:r>
      </w:hyperlink>
      <w:r>
        <w:t>.</w:t>
      </w:r>
    </w:p>
    <w:p w:rsidR="00ED5159" w:rsidP="00ED5159">
      <w:pPr>
        <w:pStyle w:val="ProductList-Offering2Heading"/>
        <w:outlineLvl w:val="2"/>
      </w:pPr>
      <w:r>
        <w:t>Microsoft Defender Experts</w:t>
      </w:r>
      <w:r>
        <w:fldChar w:fldCharType="begin"/>
      </w:r>
      <w:r>
        <w:instrText xml:space="preserve"> TC </w:instrText>
      </w:r>
      <w:bookmarkStart w:id="73" w:name="_Toc256000060"/>
      <w:r>
        <w:instrText>"</w:instrText>
      </w:r>
      <w:r>
        <w:instrText>Microsoft Defender Experts</w:instrText>
      </w:r>
      <w:r>
        <w:instrText>"</w:instrText>
      </w:r>
      <w:bookmarkEnd w:id="7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Experts for XDR (User SL)*</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7" w:tgtFrame="_blank" w:history="1">
              <w:r>
                <w:rPr>
                  <w:rStyle w:val="Hyperlink"/>
                  <w:rFonts w:ascii="Segoe UI" w:eastAsia="Times New Roman" w:hAnsi="Segoe UI" w:cs="Segoe UI"/>
                  <w:sz w:val="16"/>
                  <w:szCs w:val="16"/>
                </w:rPr>
                <w:t>Defender Expert Suite</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04"/>
        <w:gridCol w:w="72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Hunting - XDR</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Plan 2; Microsoft 365 E5/A5; Microsoft Defender Suite/Edu; Microsoft Defender + Purview Suite FLW; Microsoft Defender Suite FLW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XDR</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Servers </w:t>
            </w:r>
            <w:hyperlink w:anchor="_Toc22" w:tgtFrame="_blank"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rFonts w:ascii="Segoe UI" w:eastAsia="Times New Roman" w:hAnsi="Segoe UI" w:cs="Segoe UI"/>
                  <w:sz w:val="16"/>
                  <w:szCs w:val="16"/>
                </w:rPr>
                <w:t>First-Party Consumption Services</w:t>
              </w:r>
            </w:hyperlink>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Defender for Endpoint Plan 2; Microsoft 365 E5/A5; Microsoft Defender Suite/Edu; Microsoft Defender + Purview Suite FLW; Microsoft Defender Suite FLW </w:t>
            </w:r>
            <w:r>
              <w:rPr>
                <w:rStyle w:val="Strong"/>
                <w:rFonts w:ascii="Segoe UI" w:eastAsia="Times New Roman" w:hAnsi="Segoe UI" w:cs="Segoe UI"/>
                <w:sz w:val="16"/>
                <w:szCs w:val="16"/>
              </w:rPr>
              <w:t>AND</w:t>
            </w:r>
            <w:r>
              <w:rPr>
                <w:rFonts w:ascii="Segoe UI" w:eastAsia="Times New Roman" w:hAnsi="Segoe UI" w:cs="Segoe UI"/>
                <w:sz w:val="16"/>
                <w:szCs w:val="16"/>
              </w:rPr>
              <w:t xml:space="preserve"> Microsoft Defender Experts for Hunting - XDR </w:t>
            </w:r>
            <w:r>
              <w:rPr>
                <w:rStyle w:val="Strong"/>
                <w:rFonts w:ascii="Segoe UI" w:eastAsia="Times New Roman" w:hAnsi="Segoe UI" w:cs="Segoe UI"/>
                <w:sz w:val="16"/>
                <w:szCs w:val="16"/>
              </w:rPr>
              <w:t>AND</w:t>
            </w:r>
            <w:r>
              <w:rPr>
                <w:rFonts w:ascii="Segoe UI" w:eastAsia="Times New Roman" w:hAnsi="Segoe UI" w:cs="Segoe UI"/>
                <w:sz w:val="16"/>
                <w:szCs w:val="16"/>
              </w:rPr>
              <w:t xml:space="preserve"> Microsoft Defender for Cloud Defender for Servers Plan 1 and/or Plan 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Hunting - Servers </w:t>
            </w:r>
            <w:hyperlink w:anchor="_Toc22" w:tgtFrame="_blank"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rFonts w:ascii="Segoe UI" w:eastAsia="Times New Roman" w:hAnsi="Segoe UI" w:cs="Segoe UI"/>
                  <w:sz w:val="16"/>
                  <w:szCs w:val="16"/>
                </w:rPr>
                <w:t>First-Party Consumption Services</w:t>
              </w:r>
            </w:hyperlink>
          </w:p>
        </w:tc>
        <w:tc>
          <w:tcPr>
            <w:vMerge/>
            <w:tcBorders>
              <w:top w:val="single" w:sz="6" w:space="0" w:color="505050"/>
              <w:left w:val="single" w:sz="6" w:space="0" w:color="505050"/>
              <w:bottom w:val="single" w:sz="6" w:space="0" w:color="505050"/>
              <w:right w:val="single" w:sz="6" w:space="0" w:color="505050"/>
            </w:tcBorders>
            <w:vAlign w:val="center"/>
            <w:hideMark/>
          </w:tcPr>
          <w:p>
            <w:pPr>
              <w:rPr>
                <w:rStyle w:val="Hyperlink"/>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Microsoft Defender + Purview Suite FLW; Microsoft Defender Suite; Microsoft Defender Suite FLW</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Purchasing Minimums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80"/>
        <w:gridCol w:w="3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Quantity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1,500</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Managed Service</w:t>
      </w:r>
    </w:p>
    <w:p>
      <w:pPr>
        <w:pStyle w:val="NormalWeb"/>
        <w:spacing w:after="150"/>
      </w:pPr>
      <w:r>
        <w:t xml:space="preserve">Microsoft Defender Experts includes a Core Online Service component and a </w:t>
      </w:r>
      <w:hyperlink r:id="rId48" w:tgtFrame="_blank" w:history="1">
        <w:r>
          <w:rPr>
            <w:rStyle w:val="Hyperlink"/>
            <w:color w:val="505050"/>
          </w:rPr>
          <w:t>Professional Service</w:t>
        </w:r>
      </w:hyperlink>
      <w:r>
        <w:t xml:space="preserve"> component. Its Core Online Service component consists of the cloud service portion of Microsoft Defender Experts. Its </w:t>
      </w:r>
      <w:hyperlink r:id="rId48" w:tgtFrame="_blank" w:history="1">
        <w:r>
          <w:rPr>
            <w:rStyle w:val="Hyperlink"/>
            <w:color w:val="505050"/>
          </w:rPr>
          <w:t>Professional Service</w:t>
        </w:r>
      </w:hyperlink>
      <w:r>
        <w:t xml:space="preserve"> component consists of commercial technical support services provided to Customers. By purchasing Microsoft Defender Experts, Customers consent to Microsoft accessing their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2" w:tgtFrame="_blank"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to provide the services.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Experts for XDR</w:t>
      </w:r>
    </w:p>
    <w:p>
      <w:pPr>
        <w:pStyle w:val="NormalWeb"/>
        <w:spacing w:after="150"/>
      </w:pPr>
      <w:r>
        <w:t>A separate Microsoft Entra ID Plan 1 or 2 license is required for each tenant.</w:t>
      </w:r>
    </w:p>
    <w:p w:rsidR="00ED5159" w:rsidP="00ED5159">
      <w:pPr>
        <w:pStyle w:val="ProductList-Offering2Heading"/>
        <w:outlineLvl w:val="2"/>
      </w:pPr>
      <w:r>
        <w:t>Microsoft Defender for Cloud Apps</w:t>
      </w:r>
      <w:r>
        <w:fldChar w:fldCharType="begin"/>
      </w:r>
      <w:r>
        <w:instrText xml:space="preserve"> TC </w:instrText>
      </w:r>
      <w:bookmarkStart w:id="74" w:name="_Toc256000061"/>
      <w:r>
        <w:instrText>"</w:instrText>
      </w:r>
      <w:r>
        <w:instrText>Microsoft Defender for Cloud Apps</w:instrText>
      </w:r>
      <w:r>
        <w:instrText>"</w:instrText>
      </w:r>
      <w:bookmarkEnd w:id="7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Cloud Apps (User SL)</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579"/>
        <w:gridCol w:w="175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430"/>
        <w:gridCol w:w="59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F1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33" w:tgtFrame="_blank" w:history="1">
              <w:r>
                <w:rPr>
                  <w:rFonts w:ascii="Segoe UI" w:eastAsia="Times New Roman" w:hAnsi="Segoe UI" w:cs="Segoe UI"/>
                  <w:sz w:val="16"/>
                  <w:szCs w:val="16"/>
                  <w:u w:val="single"/>
                </w:rPr>
                <w:t>Student Use Benefits and Academic Programs</w:t>
              </w:r>
            </w:hyperlink>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 Allowance</w:t>
      </w:r>
    </w:p>
    <w:p>
      <w:pPr>
        <w:pStyle w:val="NormalWeb"/>
        <w:spacing w:after="150"/>
      </w:pPr>
      <w:r>
        <w:t>In addition to access by its Licensed Users, Customer may permit External Users to access the service in connection with access to Customer's resources using SharePoint Online, OneDrive, Teams and other Microsoft hosted services.</w:t>
      </w:r>
    </w:p>
    <w:p w:rsidR="00ED5159" w:rsidP="00ED5159">
      <w:pPr>
        <w:pStyle w:val="ProductList-Offering2Heading"/>
        <w:outlineLvl w:val="2"/>
      </w:pPr>
      <w:r>
        <w:t>Microsoft Defender for Endpoint</w:t>
      </w:r>
      <w:r>
        <w:fldChar w:fldCharType="begin"/>
      </w:r>
      <w:r>
        <w:instrText xml:space="preserve"> TC </w:instrText>
      </w:r>
      <w:bookmarkStart w:id="75" w:name="_Toc256000062"/>
      <w:r>
        <w:instrText>"</w:instrText>
      </w:r>
      <w:r>
        <w:instrText>Microsoft Defender for Endpoint</w:instrText>
      </w:r>
      <w:r>
        <w:instrText>"</w:instrText>
      </w:r>
      <w:bookmarkEnd w:id="7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Endpoint P2 for Student</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Defender for Endpoint P2 Step-up from P1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Defender for Endpoint P2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Defender for Endpoint P1 (User SL)</w:t>
            </w:r>
          </w:p>
        </w:tc>
        <w:tc>
          <w:tcPr/>
          <w:p w:rsidR="00A363CA" w:rsidP="00A363CA">
            <w:pPr>
              <w:pStyle w:val="ProductList-TableBody"/>
            </w:pPr>
            <w:r>
              <w:t>Additional Product,Student Offering</w:t>
            </w:r>
          </w:p>
        </w:tc>
      </w:tr>
    </w:tbl>
    <w:p>
      <w:pPr>
        <w:pStyle w:val="NormalWeb"/>
      </w:pPr>
      <w:r>
        <w:t xml:space="preserve">Additional Product Terms available under </w:t>
      </w:r>
      <w:hyperlink r:id="rId198" w:tgtFrame="_blank" w:history="1">
        <w:r>
          <w:rPr>
            <w:rStyle w:val="Hyperlink"/>
            <w:color w:val="505050"/>
          </w:rPr>
          <w:t>Microsoft Defender for Endpoint for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95"/>
        <w:gridCol w:w="61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F1; Defender for Endpoint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33"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63"/>
        <w:gridCol w:w="35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for Student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A5</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Data Retention</w:t>
      </w:r>
    </w:p>
    <w:p>
      <w:pPr>
        <w:pStyle w:val="NormalWeb"/>
        <w:spacing w:after="150"/>
      </w:pPr>
      <w:r>
        <w:t xml:space="preserve">Microsoft Defender for Endpoint does not contain extractable Customer Data therefore the Customer Data extraction terms in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 xml:space="preserve">Eligible </w:t>
      </w:r>
      <w:hyperlink w:anchor="_Toc22" w:tooltip="Licensed User means the single person to whom a License is assigned." w:history="1">
        <w:r>
          <w:rPr>
            <w:rStyle w:val="Hyperlink"/>
            <w:color w:val="505050"/>
          </w:rPr>
          <w:t>Licensed Users</w:t>
        </w:r>
      </w:hyperlink>
      <w:r>
        <w:t xml:space="preserve"> may use Microsoft Defender for Endpoint on up to five concurrent devices. Customer may not use a Microsoft Defender for Endpoint User SL with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on Devices Managed by Third-Parties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Endpoint with user desktops running on Microsoft Azure, its own devices, or devices under the day-to-day management and control of third parties.</w:t>
      </w:r>
    </w:p>
    <w:p w:rsidR="00ED5159" w:rsidP="00ED5159">
      <w:pPr>
        <w:pStyle w:val="ProductList-Offering2Heading"/>
        <w:outlineLvl w:val="2"/>
      </w:pPr>
      <w:r>
        <w:t>Microsoft Defender for Endpoint for servers</w:t>
      </w:r>
      <w:r>
        <w:fldChar w:fldCharType="begin"/>
      </w:r>
      <w:r>
        <w:instrText xml:space="preserve"> TC </w:instrText>
      </w:r>
      <w:bookmarkStart w:id="76" w:name="_Toc256000063"/>
      <w:r>
        <w:instrText>"</w:instrText>
      </w:r>
      <w:r>
        <w:instrText>Microsoft Defender for Endpoint for servers</w:instrText>
      </w:r>
      <w:r>
        <w:instrText>"</w:instrText>
      </w:r>
      <w:bookmarkEnd w:id="7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Endpoint for servers</w:t>
            </w:r>
          </w:p>
        </w:tc>
        <w:tc>
          <w:tcPr/>
          <w:p w:rsidR="00A363CA" w:rsidP="00A363CA">
            <w:pPr>
              <w:pStyle w:val="ProductList-TableBody"/>
            </w:pPr>
            <w:r>
              <w:t>Additional Product,Student Offering</w:t>
            </w:r>
          </w:p>
        </w:tc>
      </w:tr>
    </w:tbl>
    <w:p>
      <w:pPr>
        <w:pStyle w:val="NormalWeb"/>
      </w:pPr>
      <w:r>
        <w:t xml:space="preserve">Additional Product Terms available under </w:t>
      </w:r>
      <w:hyperlink r:id="rId199" w:tgtFrame="_blank" w:history="1">
        <w:r>
          <w:rPr>
            <w:rStyle w:val="Hyperlink"/>
            <w:color w:val="505050"/>
          </w:rPr>
          <w:t>Microsoft Defender for Endpoint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Eligibility to acquire Microsoft Defender for Endpoint for servers</w:t>
      </w:r>
    </w:p>
    <w:p>
      <w:pPr>
        <w:pStyle w:val="NormalWeb"/>
        <w:spacing w:after="150"/>
      </w:pPr>
      <w:r>
        <w:t xml:space="preserve">A separate license is required for each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Migration to Microsoft Defender for Cloud</w:t>
      </w:r>
    </w:p>
    <w:p>
      <w:pPr>
        <w:pStyle w:val="NormalWeb"/>
        <w:spacing w:after="150"/>
      </w:pPr>
      <w:r>
        <w:t>Customers who acquire Microsoft Defender for Endpoint for servers licenses, and later during the term of their coverage choose to cover the same servers with Microsoft Defender for Cloud, will be eligible for a credit toward Microsoft Defender for Cloud.</w:t>
      </w:r>
    </w:p>
    <w:p w:rsidR="00ED5159" w:rsidP="00ED5159">
      <w:pPr>
        <w:pStyle w:val="ProductList-Offering2Heading"/>
        <w:outlineLvl w:val="2"/>
      </w:pPr>
      <w:r>
        <w:t>Microsoft Dragon Copilot</w:t>
      </w:r>
      <w:r>
        <w:fldChar w:fldCharType="begin"/>
      </w:r>
      <w:r>
        <w:instrText xml:space="preserve"> TC </w:instrText>
      </w:r>
      <w:bookmarkStart w:id="77" w:name="_Toc256000064"/>
      <w:r>
        <w:instrText>"</w:instrText>
      </w:r>
      <w:r>
        <w:instrText>Microsoft Dragon Copilot</w:instrText>
      </w:r>
      <w:r>
        <w:instrText>"</w:instrText>
      </w:r>
      <w:bookmarkEnd w:id="7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Dragon Copilot Flex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Dragon Copilot Per User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Dragon Copilot Nursing Per User (User SL)</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552"/>
        <w:gridCol w:w="217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Pr>
        <w:rPr>
          <w:rFonts w:eastAsia="Times New Roman"/>
        </w:rPr>
      </w:pP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515"/>
        <w:gridCol w:w="38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Dragon Copilot </w:t>
            </w:r>
            <w:hyperlink w:anchor="_Toc22"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rFonts w:ascii="Segoe UI" w:eastAsia="Times New Roman" w:hAnsi="Segoe UI" w:cs="Segoe UI"/>
                  <w:sz w:val="16"/>
                  <w:szCs w:val="16"/>
                </w:rPr>
                <w:t>First-Party Consumption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 Flex (User SL)</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Use of Dragon Copilot</w:t>
      </w:r>
    </w:p>
    <w:p>
      <w:pPr>
        <w:pStyle w:val="NormalWeb"/>
        <w:spacing w:after="150"/>
      </w:pPr>
      <w:r>
        <w:t xml:space="preserve">Customer must only use Dragon Copilot in furtherance of the </w:t>
      </w:r>
      <w:hyperlink w:anchor="_Toc22"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NormalWeb"/>
        <w:spacing w:before="150"/>
      </w:pPr>
      <w:r>
        <w:t>Customer must ensure that Dragon Copilot is only used by a qualified member of an individual's care team working on Customer's behalf as an employee, independent contractor, or medical staff member. Customer must ensure that all such users are qualified in the clinical practice of health care with the ability to take into account individual circumstances of each patient's case, trained on the use of Dragon Copilot, and meet any relevant certification or eligibility requirements to provide healthcare services under applicable law (for example, eligibility to bill to Medicare/Medicaid where so required).</w:t>
      </w:r>
    </w:p>
    <w:p>
      <w:pPr>
        <w:pStyle w:val="NormalWeb"/>
        <w:spacing w:before="150"/>
      </w:pPr>
      <w:r>
        <w:t xml:space="preserve">Customer's use of Dragon Copilot in accordance with the </w:t>
      </w:r>
      <w:hyperlink w:anchor="_Toc22" w:tooltip="Healthcare Intended Uses means use of Dragon Copilot in connection with healthcare encounters (as further described in https://aka.ms/DragonIntendedUse)." w:history="1">
        <w:r>
          <w:rPr>
            <w:rStyle w:val="Hyperlink"/>
            <w:color w:val="505050"/>
          </w:rPr>
          <w:t>Healthcare Intended Uses</w:t>
        </w:r>
      </w:hyperlink>
      <w:r>
        <w:t xml:space="preserve"> will not be considered a "High-Risk Use" (as defined in the </w:t>
      </w:r>
      <w:hyperlink r:id="rId46" w:tgtFrame="_blank" w:history="1">
        <w:r>
          <w:rPr>
            <w:rStyle w:val="Hyperlink"/>
            <w:color w:val="505050"/>
          </w:rPr>
          <w:t>Universal License Terms for Online Services</w:t>
        </w:r>
      </w:hyperlink>
      <w:r>
        <w:t>).</w:t>
      </w:r>
    </w:p>
    <w:p>
      <w:pPr>
        <w:pStyle w:val="NormalWeb"/>
        <w:spacing w:before="150"/>
      </w:pPr>
      <w:r>
        <w:t xml:space="preserve">Customer must ensure that the care team "provider of record" to the patient for the purpose of signing an </w:t>
      </w:r>
      <w:hyperlink w:anchor="_Toc22" w:tooltip="EHR means Electronic Health Record." w:history="1">
        <w:r>
          <w:rPr>
            <w:rStyle w:val="Hyperlink"/>
            <w:color w:val="505050"/>
          </w:rPr>
          <w:t>EHR</w:t>
        </w:r>
      </w:hyperlink>
      <w:r>
        <w:t xml:space="preserve"> medical record or other licensed healthcare professionals legally and internally authorized to file information to the patient's </w:t>
      </w:r>
      <w:hyperlink w:anchor="_Toc22" w:tgtFrame="_blank" w:tooltip="EHR means Electronic Health Record." w:history="1">
        <w:r>
          <w:rPr>
            <w:rStyle w:val="Hyperlink"/>
            <w:color w:val="505050"/>
          </w:rPr>
          <w:t>EHR</w:t>
        </w:r>
      </w:hyperlink>
      <w:r>
        <w:t xml:space="preserve"> medical record: 1) review all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and </w:t>
      </w:r>
      <w:hyperlink w:anchor="_Toc22"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for accuracy and completeness prior to the use of such content in a healthcare setting; 2) takes clinical responsibility for such </w:t>
      </w:r>
      <w:hyperlink w:anchor="_Toc22"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including by finalizing and signing </w:t>
      </w:r>
      <w:hyperlink w:anchor="_Toc22"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 their own name; and 3) Ensure that staff without such authority (e.g. unlicensed personnel) do not directly file documentation to the </w:t>
      </w:r>
      <w:hyperlink w:anchor="_Toc22" w:tgtFrame="_blank" w:tooltip="EHR means Electronic Health Record." w:history="1">
        <w:r>
          <w:rPr>
            <w:rStyle w:val="Hyperlink"/>
            <w:color w:val="505050"/>
          </w:rPr>
          <w:t>EHR</w:t>
        </w:r>
      </w:hyperlink>
      <w:r>
        <w:t xml:space="preserve"> and all draft content generated by such staff is reviewed and approved by an authorized clinician. </w:t>
      </w:r>
    </w:p>
    <w:p>
      <w:pPr>
        <w:pStyle w:val="Heading3"/>
        <w:spacing w:before="150" w:beforeAutospacing="0"/>
        <w:rPr>
          <w:rFonts w:eastAsia="Times New Roman"/>
          <w:color w:val="0078D4"/>
          <w:sz w:val="26"/>
          <w:szCs w:val="26"/>
        </w:rPr>
      </w:pPr>
      <w:r>
        <w:rPr>
          <w:rFonts w:eastAsia="Times New Roman"/>
          <w:color w:val="0078D4"/>
          <w:sz w:val="26"/>
          <w:szCs w:val="26"/>
        </w:rPr>
        <w:t>Healthcare Required Authorizations</w:t>
      </w:r>
    </w:p>
    <w:p>
      <w:pPr>
        <w:pStyle w:val="NormalWeb"/>
        <w:spacing w:after="150"/>
      </w:pPr>
      <w:r>
        <w:t xml:space="preserve">Customer is solely responsible for: 1) displaying appropriate notices, disclaimers, and acknowledgements; and 2) obtaining and renewing any relevant consents or </w:t>
      </w:r>
      <w:hyperlink w:anchor="_Toc22" w:tooltip="See Glossary for definition." w:history="1">
        <w:r>
          <w:rPr>
            <w:rStyle w:val="Hyperlink"/>
            <w:color w:val="505050"/>
          </w:rPr>
          <w:t>Healthcare Required Authorizations</w:t>
        </w:r>
      </w:hyperlink>
      <w:r>
        <w:t xml:space="preserve">, in each case prior to submitting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or </w:t>
      </w:r>
      <w:hyperlink w:anchor="_Toc22" w:tooltip="Personal Data means any information relating to an identified or identifiable natural person." w:history="1">
        <w:r>
          <w:rPr>
            <w:rStyle w:val="Hyperlink"/>
            <w:color w:val="505050"/>
          </w:rPr>
          <w:t>Personal Data</w:t>
        </w:r>
      </w:hyperlink>
      <w:r>
        <w:t xml:space="preserve"> to Dragon Copilot.</w:t>
      </w:r>
    </w:p>
    <w:p>
      <w:pPr>
        <w:pStyle w:val="NormalWeb"/>
        <w:spacing w:before="150"/>
      </w:pPr>
      <w:r>
        <w:t xml:space="preserve">Customer must secure, maintain, and, upon written request, provide to Microsoft, evidence of any such notice, disclaimer, consent, or </w:t>
      </w:r>
      <w:hyperlink w:anchor="_Toc22" w:tooltip="See Glossary for definition." w:history="1">
        <w:r>
          <w:rPr>
            <w:rStyle w:val="Hyperlink"/>
            <w:color w:val="505050"/>
          </w:rPr>
          <w:t>Healthcare Required Authorization</w:t>
        </w:r>
      </w:hyperlink>
      <w:r>
        <w:t xml:space="preserve">, which may include copies of a requested signed authorization-to-record form or other document for each individual whose </w:t>
      </w:r>
      <w:hyperlink w:anchor="_Toc22" w:tooltip="Personal Data means any information relating to an identified or identifiable natural person." w:history="1">
        <w:r>
          <w:rPr>
            <w:rStyle w:val="Hyperlink"/>
            <w:color w:val="505050"/>
          </w:rPr>
          <w:t>Personal Data</w:t>
        </w:r>
      </w:hyperlink>
      <w:r>
        <w:t xml:space="preserve"> or voice is present on a </w:t>
      </w:r>
      <w:hyperlink w:anchor="_Toc22" w:tooltip="Healthcare Recording means all audio recorded or created during, or in connection with, a healthcare encounter captured by Dragon Copilot." w:history="1">
        <w:r>
          <w:rPr>
            <w:rStyle w:val="Hyperlink"/>
            <w:color w:val="505050"/>
          </w:rPr>
          <w:t>Healthcare Recording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Restriction on the use of Dragon Copilot to build competing services</w:t>
      </w:r>
    </w:p>
    <w:p>
      <w:pPr>
        <w:pStyle w:val="NormalWeb"/>
        <w:spacing w:after="150"/>
      </w:pPr>
      <w:r>
        <w:t>Customer will not use (and will not allow third parties to use) Dragon Copilot or data from Dragon Copilot to create, train, or improve (directly or indirectly) a competing product or service. </w:t>
      </w:r>
    </w:p>
    <w:p>
      <w:pPr>
        <w:pStyle w:val="Heading3"/>
        <w:spacing w:before="150" w:beforeAutospacing="0"/>
        <w:rPr>
          <w:rFonts w:eastAsia="Times New Roman"/>
          <w:color w:val="0078D4"/>
          <w:sz w:val="26"/>
          <w:szCs w:val="26"/>
        </w:rPr>
      </w:pPr>
      <w:r>
        <w:rPr>
          <w:rFonts w:eastAsia="Times New Roman"/>
          <w:color w:val="0078D4"/>
          <w:sz w:val="26"/>
          <w:szCs w:val="26"/>
        </w:rPr>
        <w:t>Microsoft Enterprise AI Services Code of Conduct</w:t>
      </w:r>
    </w:p>
    <w:p>
      <w:pPr>
        <w:pStyle w:val="NormalWeb"/>
        <w:spacing w:after="150"/>
      </w:pPr>
      <w:r>
        <w:t xml:space="preserve">The "Exploitation and abuse" and "Violent content and conduct" provisions in the Content Requirements of the </w:t>
      </w:r>
      <w:hyperlink r:id="rId53" w:tgtFrame="_blank" w:history="1">
        <w:r>
          <w:rPr>
            <w:rStyle w:val="Hyperlink"/>
            <w:color w:val="505050"/>
          </w:rPr>
          <w:t>Microsoft Enterprise AI Services Code of Conduct</w:t>
        </w:r>
      </w:hyperlink>
      <w:r>
        <w:t xml:space="preserve"> do not apply to content that is provided as an input to Dragon Copilot or generated as an output from Dragon Copilot in accordance with the </w:t>
      </w:r>
      <w:hyperlink w:anchor="_Toc22"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Third-party Electronic Health Record applications</w:t>
      </w:r>
    </w:p>
    <w:p>
      <w:pPr>
        <w:pStyle w:val="NormalWeb"/>
        <w:spacing w:after="150"/>
      </w:pPr>
      <w:r>
        <w:t xml:space="preserve">Customer may access Dragon Copilot via an integration within a third-party </w:t>
      </w:r>
      <w:hyperlink w:anchor="_Toc22" w:tooltip="EHR means Electronic Health Record." w:history="1">
        <w:r>
          <w:rPr>
            <w:rStyle w:val="Hyperlink"/>
            <w:color w:val="505050"/>
          </w:rPr>
          <w:t>EHR</w:t>
        </w:r>
      </w:hyperlink>
      <w:r>
        <w:t xml:space="preserve"> application (e.g., an Epic application). In such cases, the following terms apply to Customer's use of Dragon Copilot (in addition to all terms set forth under Customer's volume licensing agreement): Customer is responsible for maintaining a valid license to use the applicable third-party </w:t>
      </w:r>
      <w:hyperlink w:anchor="_Toc22" w:tooltip="EHR means Electronic Health Record." w:history="1">
        <w:r>
          <w:rPr>
            <w:rStyle w:val="Hyperlink"/>
            <w:color w:val="505050"/>
          </w:rPr>
          <w:t>EHR</w:t>
        </w:r>
      </w:hyperlink>
      <w:r>
        <w:t xml:space="preserve"> application. Microsoft does not sell, license, or support the applicable third-party </w:t>
      </w:r>
      <w:hyperlink w:anchor="_Toc22" w:tooltip="EHR means Electronic Health Record." w:history="1">
        <w:r>
          <w:rPr>
            <w:rStyle w:val="Hyperlink"/>
            <w:color w:val="505050"/>
          </w:rPr>
          <w:t>EHR</w:t>
        </w:r>
      </w:hyperlink>
      <w:r>
        <w:t xml:space="preserve"> application.</w:t>
      </w:r>
    </w:p>
    <w:p w:rsidR="00ED5159" w:rsidP="00ED5159">
      <w:pPr>
        <w:pStyle w:val="ProductList-Offering2Heading"/>
        <w:outlineLvl w:val="2"/>
      </w:pPr>
      <w:r>
        <w:t>Microsoft Intune</w:t>
      </w:r>
      <w:r>
        <w:fldChar w:fldCharType="begin"/>
      </w:r>
      <w:r>
        <w:instrText xml:space="preserve"> TC </w:instrText>
      </w:r>
      <w:bookmarkStart w:id="78" w:name="_Toc256000065"/>
      <w:r>
        <w:instrText>"</w:instrText>
      </w:r>
      <w:r>
        <w:instrText>Microsoft Intune</w:instrText>
      </w:r>
      <w:r>
        <w:instrText>"</w:instrText>
      </w:r>
      <w:bookmarkEnd w:id="7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Intune Plan 2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Intune Endpoint Privilege Management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Intune Enterprise Application Management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Intune Suite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Intune Plan 1 Add-on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Intune Plan 1 for EDU Add-on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Intune Advanced Analytics (User SL)</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Intune Plan 1 for EDU (User SL)</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774"/>
        <w:gridCol w:w="155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User SL Add-on Extra Storage 1 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Microsoft Intune Endpoint Privilege Management Frontline Worke; Microsoft Intune Advance Analytics Frontline Worker; Microsoft Intune Enterprise Application Management Frontline Worker; Microsoft Intune Cloud PKI Frontline Worker; Microsoft Intune Remote Help Frontline Worker</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4"/>
        <w:gridCol w:w="663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Microsoft Intune Plan 1 for EDU (Device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33" w:history="1">
              <w:r>
                <w:rPr>
                  <w:rFonts w:ascii="Segoe UI" w:eastAsia="Times New Roman" w:hAnsi="Segoe UI" w:cs="Segoe UI"/>
                  <w:sz w:val="16"/>
                  <w:szCs w:val="16"/>
                  <w:u w:val="single"/>
                </w:rPr>
                <w:t>Student Use Benefits and Academic Programs</w:t>
              </w:r>
            </w:hyperlink>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Any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Manage Devices and Applications</w:t>
      </w:r>
    </w:p>
    <w:p>
      <w:pPr>
        <w:pStyle w:val="NormalWeb"/>
        <w:spacing w:after="150"/>
      </w:pPr>
      <w:r>
        <w:t>Each User to whom Customer assigns a User SL may access and use the Online Services and related software (including System Center software) to manage applications and up to fifteen devices. Management of a device accessed by more than one user requires a User SL for each user.</w:t>
      </w:r>
    </w:p>
    <w:p>
      <w:pPr>
        <w:pStyle w:val="Heading3"/>
        <w:spacing w:before="150" w:beforeAutospacing="0"/>
        <w:rPr>
          <w:rFonts w:eastAsia="Times New Roman"/>
          <w:color w:val="0078D4"/>
          <w:sz w:val="26"/>
          <w:szCs w:val="26"/>
        </w:rPr>
      </w:pPr>
      <w:r>
        <w:rPr>
          <w:rFonts w:eastAsia="Times New Roman"/>
          <w:color w:val="0078D4"/>
          <w:sz w:val="26"/>
          <w:szCs w:val="26"/>
        </w:rPr>
        <w:t>Microsoft Intune for Devices</w:t>
      </w:r>
    </w:p>
    <w:p>
      <w:pPr>
        <w:pStyle w:val="NormalWeb"/>
        <w:spacing w:after="150"/>
      </w:pPr>
      <w:r>
        <w:t>Microsoft Intune for Devices may only be linked to devices that are not affiliated with specific users. Product features with user affinity, including but not limited to Conditional Access, App Protection, and optional app installation, cannot be used under Microsoft Intune for Devices SLs. Applications that are typically mapped to specific users, such as Outlook and OneDrive, may not be used under this service.</w:t>
      </w:r>
    </w:p>
    <w:p>
      <w:pPr>
        <w:pStyle w:val="Heading3"/>
        <w:spacing w:before="150" w:beforeAutospacing="0"/>
        <w:rPr>
          <w:rFonts w:eastAsia="Times New Roman"/>
          <w:color w:val="0078D4"/>
          <w:sz w:val="26"/>
          <w:szCs w:val="26"/>
        </w:rPr>
      </w:pPr>
      <w:r>
        <w:rPr>
          <w:rFonts w:eastAsia="Times New Roman"/>
          <w:color w:val="0078D4"/>
          <w:sz w:val="26"/>
          <w:szCs w:val="26"/>
        </w:rPr>
        <w:t>Storage Add-on SL</w:t>
      </w:r>
    </w:p>
    <w:p>
      <w:pPr>
        <w:pStyle w:val="NormalWeb"/>
        <w:spacing w:after="150"/>
      </w:pPr>
      <w:r>
        <w:t>A Storage Add-on SL is required for each gigabyte of storage in excess of the storage provided with the base subscription.</w:t>
      </w:r>
    </w:p>
    <w:p>
      <w:pPr>
        <w:pStyle w:val="Heading3"/>
        <w:spacing w:before="150" w:beforeAutospacing="0"/>
        <w:rPr>
          <w:rFonts w:eastAsia="Times New Roman"/>
          <w:color w:val="0078D4"/>
          <w:sz w:val="26"/>
          <w:szCs w:val="26"/>
        </w:rPr>
      </w:pPr>
      <w:r>
        <w:rPr>
          <w:rFonts w:eastAsia="Times New Roman"/>
          <w:color w:val="0078D4"/>
          <w:sz w:val="26"/>
          <w:szCs w:val="26"/>
        </w:rPr>
        <w:t>Windows Software Components in System Center Software</w:t>
      </w:r>
    </w:p>
    <w:p>
      <w:pPr>
        <w:pStyle w:val="NormalWeb"/>
        <w:spacing w:after="150"/>
      </w:pPr>
      <w:r>
        <w:t xml:space="preserve">The System Center software includes one or more of the following Windows Software Components: Microsoft .NET Framework, Microsoft Data Access Components, PowerShell software and certain .dlls related to Microsoft Build, Windows Identity Foundation, Windows Library for JavaScript, Debghelp.dll, and Web Deploy technologies. The license terms governing use of the Windows Software Components are in the Windows 8.1 Pro and Enterprise section of the Product Terms. The Product Terms is located at </w:t>
      </w:r>
      <w:hyperlink r:id="rId119" w:tgtFrame="_blank" w:history="1">
        <w:r>
          <w:rPr>
            <w:rStyle w:val="Hyperlink"/>
            <w:color w:val="505050"/>
          </w:rPr>
          <w:t>http://go.microsoft.com/?linkid=9839206</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Technology and Benchmarking</w:t>
      </w:r>
    </w:p>
    <w:p>
      <w:pPr>
        <w:pStyle w:val="NormalWeb"/>
        <w:spacing w:after="150"/>
      </w:pPr>
      <w:r>
        <w:t>The Software included with the Online Service includes SQL Server-branded components other than a SQL Server Database. Those components are licensed to Customer under the terms of their respective licenses, which can be found in the installation directory or unified installer of the software. Customer must obtain Microsoft's prior written approval to disclose to a third party the results of any benchmark test of these components or the software that includes them.</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1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Intune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5"/>
        <w:gridCol w:w="50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for EDU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Microsoft Learning</w:t>
      </w:r>
      <w:r>
        <w:fldChar w:fldCharType="begin"/>
      </w:r>
      <w:r>
        <w:instrText xml:space="preserve"> TC </w:instrText>
      </w:r>
      <w:bookmarkStart w:id="79" w:name="_Toc256000066"/>
      <w:r>
        <w:instrText>"</w:instrText>
      </w:r>
      <w:r>
        <w:instrText>Microsoft Learning</w:instrText>
      </w:r>
      <w:r>
        <w:instrText>"</w:instrText>
      </w:r>
      <w:bookmarkEnd w:id="7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Learning MCP 1 Exam Vouchers (Services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MOS/MTA/MCE Certification 500 Exam Site License (Services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MCP 30 Exam Vouchers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MTA/MCA Certification 125 Exam Site License (Services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Learning MOS/MCE Certification 125 Exam Site License (Services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265"/>
        <w:gridCol w:w="10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MCP 1 Exam Vouchers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MCP 30 Exam Vouchers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MTA/MCA Certification 125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MOS/MCE Certification 125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MOS/MTA/MCE Certification 500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437"/>
        <w:gridCol w:w="289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Vouchers</w:t>
      </w:r>
    </w:p>
    <w:p>
      <w:pPr>
        <w:pStyle w:val="NormalWeb"/>
        <w:spacing w:after="150"/>
      </w:pPr>
      <w:r>
        <w:t>Vouchers are provided upon purchase and expire 12 months from date of purchase.</w:t>
      </w:r>
    </w:p>
    <w:p>
      <w:pPr>
        <w:pStyle w:val="Heading3"/>
        <w:spacing w:before="150" w:beforeAutospacing="0"/>
        <w:rPr>
          <w:rFonts w:eastAsia="Times New Roman"/>
          <w:color w:val="0078D4"/>
          <w:sz w:val="26"/>
          <w:szCs w:val="26"/>
        </w:rPr>
      </w:pPr>
      <w:r>
        <w:rPr>
          <w:rFonts w:eastAsia="Times New Roman"/>
          <w:color w:val="0078D4"/>
          <w:sz w:val="26"/>
          <w:szCs w:val="26"/>
        </w:rPr>
        <w:t>Microsoft Office Specialist (MOS) Microsoft Technology Associate (MTA) and Microsoft Certification Educator (MCE) Exam Site License</w:t>
      </w:r>
    </w:p>
    <w:p>
      <w:pPr>
        <w:pStyle w:val="NormalWeb"/>
        <w:spacing w:after="150"/>
      </w:pPr>
      <w:r>
        <w:t xml:space="preserve">Customer must be a Certiport/Pearson VUE test center authorized to deliver MOS or MTA exams under a site </w:t>
      </w:r>
      <w:hyperlink w:anchor="_Toc22" w:tooltip="License means the right to download, install, access and use a Product." w:history="1">
        <w:r>
          <w:rPr>
            <w:rStyle w:val="Hyperlink"/>
            <w:color w:val="505050"/>
          </w:rPr>
          <w:t>License</w:t>
        </w:r>
      </w:hyperlink>
      <w:r>
        <w:t xml:space="preserve">. The site </w:t>
      </w:r>
      <w:hyperlink w:anchor="_Toc22" w:tooltip="License means the right to download, install, access and use a Product." w:history="1">
        <w:r>
          <w:rPr>
            <w:rStyle w:val="Hyperlink"/>
            <w:color w:val="505050"/>
          </w:rPr>
          <w:t>License</w:t>
        </w:r>
      </w:hyperlink>
      <w:r>
        <w:t xml:space="preserve"> will expire 12 months from the date of purchase. Any undelivered exams at the end of the term are forfeited. Academic Customers may only deliver site license exams to their faculty members and registered students.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Learning E-Reference Library</w:t>
      </w:r>
    </w:p>
    <w:p>
      <w:pPr>
        <w:pStyle w:val="NormalWeb"/>
        <w:spacing w:after="150"/>
      </w:pPr>
      <w:r>
        <w:t>Any person that has valid access to Customer's computer or internal network may copy and use the documentation for Customer's internal reference purposes. Documentation does not include electronic books.</w:t>
      </w:r>
    </w:p>
    <w:p w:rsidR="00ED5159" w:rsidP="00ED5159">
      <w:pPr>
        <w:pStyle w:val="ProductList-Offering2Heading"/>
        <w:outlineLvl w:val="2"/>
      </w:pPr>
      <w:r>
        <w:t>Microsoft Search in Bing</w:t>
      </w:r>
      <w:r>
        <w:fldChar w:fldCharType="begin"/>
      </w:r>
      <w:r>
        <w:instrText xml:space="preserve"> TC </w:instrText>
      </w:r>
      <w:bookmarkStart w:id="80" w:name="_Toc256000067"/>
      <w:r>
        <w:instrText>"</w:instrText>
      </w:r>
      <w:r>
        <w:instrText>Microsoft Search in Bing</w:instrText>
      </w:r>
      <w:r>
        <w:instrText>"</w:instrText>
      </w:r>
      <w:bookmarkEnd w:id="80"/>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84"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Minecraft: Education Edition</w:t>
      </w:r>
      <w:r>
        <w:fldChar w:fldCharType="begin"/>
      </w:r>
      <w:r>
        <w:instrText xml:space="preserve"> TC </w:instrText>
      </w:r>
      <w:bookmarkStart w:id="81" w:name="_Toc256000068"/>
      <w:r>
        <w:instrText>"</w:instrText>
      </w:r>
      <w:r>
        <w:instrText>Minecraft: Education Edition</w:instrText>
      </w:r>
      <w:r>
        <w:instrText>"</w:instrText>
      </w:r>
      <w:bookmarkEnd w:id="8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Minecraft: Education Edition</w:t>
            </w:r>
          </w:p>
        </w:tc>
        <w:tc>
          <w:tcPr/>
          <w:p w:rsidR="00A363CA" w:rsidP="00A363CA">
            <w:pPr>
              <w:pStyle w:val="ProductList-TableBody"/>
            </w:pPr>
            <w:r>
              <w:t>Additional Product Organization Wide,Student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2"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33"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 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31"/>
        <w:gridCol w:w="23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rsidR="00ED5159" w:rsidP="00ED5159">
      <w:pPr>
        <w:pStyle w:val="ProductList-Offering2Heading"/>
        <w:outlineLvl w:val="2"/>
      </w:pPr>
      <w:r>
        <w:t>Office 365 Developer</w:t>
      </w:r>
      <w:r>
        <w:fldChar w:fldCharType="begin"/>
      </w:r>
      <w:r>
        <w:instrText xml:space="preserve"> TC </w:instrText>
      </w:r>
      <w:bookmarkStart w:id="82" w:name="_Toc256000069"/>
      <w:r>
        <w:instrText>"</w:instrText>
      </w:r>
      <w:r>
        <w:instrText>Office 365 Developer</w:instrText>
      </w:r>
      <w:r>
        <w:instrText>"</w:instrText>
      </w:r>
      <w:bookmarkEnd w:id="82"/>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2Heading"/>
        <w:outlineLvl w:val="2"/>
      </w:pPr>
      <w:r>
        <w:t>Windows Autopatch</w:t>
      </w:r>
      <w:r>
        <w:fldChar w:fldCharType="begin"/>
      </w:r>
      <w:r>
        <w:instrText xml:space="preserve"> TC </w:instrText>
      </w:r>
      <w:bookmarkStart w:id="83" w:name="_Toc256000070"/>
      <w:r>
        <w:instrText>"</w:instrText>
      </w:r>
      <w:r>
        <w:instrText>Windows Autopatch</w:instrText>
      </w:r>
      <w:r>
        <w:instrText>"</w:instrText>
      </w:r>
      <w:bookmarkEnd w:id="83"/>
      <w:r>
        <w:instrText xml:space="preserve"> \l 2</w:instrText>
      </w:r>
      <w:r>
        <w:fldChar w:fldCharType="end"/>
      </w:r>
    </w:p>
    <w:p>
      <w:pPr>
        <w:pStyle w:val="NormalWeb"/>
      </w:pPr>
      <w:r>
        <w:t>Windows Autopatch is available with Windows 10/11 Enterprise E3 subscription (or higher).</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Managed Service</w:t>
      </w:r>
    </w:p>
    <w:p>
      <w:pPr>
        <w:pStyle w:val="NormalWeb"/>
        <w:spacing w:after="150"/>
      </w:pPr>
      <w:r>
        <w:t xml:space="preserve">Windows Autopatch includes an Online Service component and Professional Service Component which is subject to the Professional Services terms (refer to </w:t>
      </w:r>
      <w:hyperlink r:id="rId48"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Handling</w:t>
      </w:r>
    </w:p>
    <w:p>
      <w:pPr>
        <w:pStyle w:val="NormalWeb"/>
        <w:spacing w:after="150"/>
      </w:pPr>
      <w:r>
        <w:t xml:space="preserve">Windows Autopatch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Office, and other Online Services as configured by Customer, if any (collectively for purposes of this provision the "Autopatch Integrated Services").  Once data is transferred within the Autopatch Integrated Services, that data is governed by the Product Terms applicable to the Product in which it resides.</w:t>
      </w:r>
    </w:p>
    <w:p w:rsidR="00ED5159" w:rsidP="00ED5159">
      <w:pPr>
        <w:pStyle w:val="ProductList-OfferingGroupHeading"/>
        <w:outlineLvl w:val="1"/>
      </w:pPr>
      <w:r>
        <w:t>Windows 365</w:t>
      </w:r>
      <w:r>
        <w:fldChar w:fldCharType="begin"/>
      </w:r>
      <w:r>
        <w:instrText xml:space="preserve"> TC </w:instrText>
      </w:r>
      <w:bookmarkStart w:id="84" w:name="_Toc256000071"/>
      <w:r>
        <w:instrText>"</w:instrText>
      </w:r>
      <w:r>
        <w:instrText>Windows 365</w:instrText>
      </w:r>
      <w:r>
        <w:instrText>"</w:instrText>
      </w:r>
      <w:bookmarkEnd w:id="8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365 Cross Region Disaster Recovery (DR) Add-On</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Windows 365 Enterprise</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Windows 365 Frontline</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Windows 365 Disaster Recovery (DR) Plus Add-On</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Windows 365 Reserve</w:t>
            </w:r>
          </w:p>
        </w:tc>
        <w:tc>
          <w:tcPr/>
          <w:p w:rsidR="00A363CA" w:rsidP="00A363CA">
            <w:pPr>
              <w:pStyle w:val="ProductList-TableBody"/>
            </w:pPr>
            <w:r>
              <w:t>Additional Product,Student Offering</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00" w:tgtFrame="_blank" w:history="1">
              <w:r>
                <w:rPr>
                  <w:rStyle w:val="Hyperlink"/>
                  <w:rFonts w:ascii="Segoe UI" w:eastAsia="Times New Roman" w:hAnsi="Segoe UI" w:cs="Segoe UI"/>
                  <w:sz w:val="16"/>
                  <w:szCs w:val="16"/>
                </w:rPr>
                <w:t>Universal License Terms for Online Services</w:t>
              </w:r>
            </w:hyperlink>
            <w:r>
              <w:rPr>
                <w:rFonts w:ascii="Segoe UI" w:eastAsia="Times New Roman" w:hAnsi="Segoe UI" w:cs="Segoe UI"/>
                <w:sz w:val="16"/>
                <w:szCs w:val="16"/>
              </w:rPr>
              <w:t xml:space="preserve"> (Windows 365 Windows operating system is governed by the </w:t>
            </w:r>
            <w:hyperlink r:id="rId168" w:tgtFrame="_blank"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and includes specific terms in the </w:t>
            </w:r>
            <w:hyperlink r:id="rId70" w:tgtFrame="_blank" w:history="1">
              <w:r>
                <w:rPr>
                  <w:rStyle w:val="Hyperlink"/>
                  <w:rFonts w:ascii="Segoe UI" w:eastAsia="Times New Roman" w:hAnsi="Segoe UI" w:cs="Segoe UI"/>
                  <w:sz w:val="16"/>
                  <w:szCs w:val="16"/>
                </w:rPr>
                <w:t>Windows Desktop Operating System</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Note: Windows 365 Frontline is not subject to the Eligibility to Assign Frontline Worker Licenses terms in the Universal License Terms for all Online Services.</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797"/>
        <w:gridCol w:w="253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Reduction Eligible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Student Use Benefit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 </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Enterprise License Assignment Eligibility </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xml:space="preserve">, </w:t>
      </w:r>
      <w:hyperlink w:anchor="_Toc22" w:tooltip="Licensed User means the single person to whom a License is assigned." w:history="1">
        <w:r>
          <w:rPr>
            <w:rStyle w:val="Hyperlink"/>
            <w:color w:val="505050"/>
          </w:rPr>
          <w:t>Licensed Users</w:t>
        </w:r>
      </w:hyperlink>
      <w:r>
        <w:t xml:space="preserve"> with Windows CPC OS devices may access Windows 365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Cross Region Disaster Recovery (DR) Add-On License Assignment Eligibility </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licensed with Windows 365 Enterprise or licensed to access and use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License Reassignment  </w:t>
      </w:r>
    </w:p>
    <w:p>
      <w:pPr>
        <w:pStyle w:val="NormalWeb"/>
        <w:spacing w:after="150"/>
      </w:pPr>
      <w:r>
        <w:t>Replacing a user’s Windows 365 Business/Enterprise license with another Windows 365 Business/Enterprise license does not count as “reassignment” and Customer may make such replacements at any time. </w:t>
      </w:r>
    </w:p>
    <w:p w:rsidR="00ED5159" w:rsidP="00ED5159">
      <w:pPr>
        <w:pStyle w:val="ProductList-Offering1SubSection"/>
      </w:pPr>
      <w:r>
        <w:t>Service Specific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Windows 365 Frontline</w:t>
      </w:r>
    </w:p>
    <w:p>
      <w:pPr>
        <w:pStyle w:val="NormalWeb"/>
        <w:spacing w:after="150"/>
      </w:pPr>
      <w:r>
        <w:t>Any user who accesses Windows 365 Frontline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pPr>
        <w:pStyle w:val="NormalWeb"/>
        <w:spacing w:before="150"/>
      </w:pPr>
      <w:r>
        <w:rPr>
          <w:rStyle w:val="Strong"/>
        </w:rPr>
        <w:t>Dedicated mode</w:t>
      </w:r>
      <w:r>
        <w:t>: Up to 3 cloud PCs may be provisioned per license. Only 1 cloud PC can be used per license.</w:t>
      </w:r>
    </w:p>
    <w:p>
      <w:pPr>
        <w:pStyle w:val="NormalWeb"/>
        <w:spacing w:before="150"/>
      </w:pPr>
      <w:r>
        <w:rPr>
          <w:rStyle w:val="Strong"/>
        </w:rPr>
        <w:t>Shared mode</w:t>
      </w:r>
      <w:r>
        <w:t>: Only 1 cloud PC may be provisioned per license. Any number of users may access the cloud PC. However, only one user may access and use the cloud PC at a time.</w:t>
      </w:r>
    </w:p>
    <w:p>
      <w:pPr>
        <w:pStyle w:val="Heading3"/>
        <w:spacing w:before="150" w:beforeAutospacing="0"/>
        <w:rPr>
          <w:rFonts w:eastAsia="Times New Roman"/>
          <w:color w:val="0078D4"/>
          <w:sz w:val="26"/>
          <w:szCs w:val="26"/>
        </w:rPr>
      </w:pPr>
      <w:r>
        <w:rPr>
          <w:rFonts w:eastAsia="Times New Roman"/>
          <w:color w:val="0078D4"/>
          <w:sz w:val="26"/>
          <w:szCs w:val="26"/>
        </w:rPr>
        <w:t>Windows 365 Reserve</w:t>
      </w:r>
    </w:p>
    <w:p>
      <w:pPr>
        <w:pStyle w:val="NormalWeb"/>
        <w:spacing w:after="150"/>
      </w:pPr>
      <w:r>
        <w:t>Any user who accesses Windows 365 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rsidR="00ED5159" w:rsidP="00ED5159">
      <w:pPr>
        <w:pStyle w:val="ProductList-OfferingGroupHeading"/>
        <w:outlineLvl w:val="1"/>
      </w:pPr>
      <w:r>
        <w:t>Glossary</w:t>
      </w:r>
      <w:r>
        <w:fldChar w:fldCharType="begin"/>
      </w:r>
      <w:r>
        <w:instrText xml:space="preserve"> TC </w:instrText>
      </w:r>
      <w:bookmarkStart w:id="85" w:name="_Toc256000072"/>
      <w:r>
        <w:instrText>"</w:instrText>
      </w:r>
      <w:r>
        <w:instrText>Glossary</w:instrText>
      </w:r>
      <w:r>
        <w:instrText>"</w:instrText>
      </w:r>
      <w:bookmarkEnd w:id="85"/>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201"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202"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203"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204"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22" w:tooltip="EHR means Electronic Health Record." w:history="1">
        <w:r>
          <w:rPr>
            <w:rStyle w:val="Hyperlink"/>
            <w:color w:val="505050"/>
          </w:rPr>
          <w:t>EHR</w:t>
        </w:r>
      </w:hyperlink>
      <w:r>
        <w:t xml:space="preserve"> records system and generated as a result from the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205"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22"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22"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22"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206"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207"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208" w:tgtFrame="_blank" w:history="1">
        <w:r>
          <w:rPr>
            <w:rStyle w:val="Hyperlink"/>
            <w:color w:val="505050"/>
          </w:rPr>
          <w:t>http://aka.ms/listedproviders</w:t>
        </w:r>
      </w:hyperlink>
      <w:r>
        <w:t xml:space="preserve">. Microsoft may identify additional Listed Providers at </w:t>
      </w:r>
      <w:hyperlink r:id="rId208"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09"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209"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22"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22"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11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210"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06"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86" w:name="_Toc256000073"/>
      <w:r>
        <w:instrText>"</w:instrText>
      </w:r>
      <w:bookmarkStart w:id="87" w:name="_Toc23"/>
      <w:r>
        <w:instrText>Other Legal Terms</w:instrText>
      </w:r>
      <w:bookmarkEnd w:id="87"/>
      <w:r>
        <w:instrText>"</w:instrText>
      </w:r>
      <w:bookmarkEnd w:id="86"/>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88" w:name="_Toc256000074"/>
      <w:r>
        <w:instrText>"</w:instrText>
      </w:r>
      <w:r>
        <w:instrText>CAL and ML Equivalency Licenses</w:instrText>
      </w:r>
      <w:r>
        <w:instrText>"</w:instrText>
      </w:r>
      <w:bookmarkEnd w:id="88"/>
      <w:r>
        <w:instrText xml:space="preserve"> \l 2</w:instrText>
      </w:r>
      <w:r>
        <w:fldChar w:fldCharType="end"/>
      </w:r>
    </w:p>
    <w:p>
      <w:pPr>
        <w:pStyle w:val="NormalWeb"/>
      </w:pPr>
      <w:r>
        <w:t xml:space="preserve">Rights to access server software running on Customer’s </w:t>
      </w:r>
      <w:hyperlink w:anchor="_Toc22" w:tooltip="Licensed Server means a single Server to which a License is assigned.  See Glossary for full definition." w:history="1">
        <w:r>
          <w:rPr>
            <w:rStyle w:val="Hyperlink"/>
            <w:color w:val="505050"/>
          </w:rPr>
          <w:t>Licensed Servers</w:t>
        </w:r>
      </w:hyperlink>
      <w:r>
        <w:t xml:space="preserve"> or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22"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22"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22" w:tooltip="CAL means client access license, which may be assigned by user or device, as appropriate. Refer to glossary for full definition." w:history="1">
        <w:r>
          <w:rPr>
            <w:rStyle w:val="Hyperlink"/>
            <w:color w:val="505050"/>
          </w:rPr>
          <w:t>CAL</w:t>
        </w:r>
      </w:hyperlink>
      <w:r>
        <w:t xml:space="preserve"> suite or </w:t>
      </w:r>
      <w:hyperlink w:anchor="_Toc22" w:tooltip="SL means subscription License that allows access to software or a hosted service for a defined period of time." w:history="1">
        <w:r>
          <w:rPr>
            <w:rStyle w:val="Hyperlink"/>
            <w:color w:val="505050"/>
          </w:rPr>
          <w:t>SL</w:t>
        </w:r>
      </w:hyperlink>
      <w:r>
        <w:t xml:space="preserve"> that satisfies the </w:t>
      </w:r>
      <w:hyperlink w:anchor="_Toc22"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22"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22"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 Education</w:t>
      </w:r>
    </w:p>
    <w:p>
      <w:pPr>
        <w:pStyle w:val="NormalWeb"/>
        <w:spacing w:after="150"/>
      </w:pPr>
      <w:r>
        <w:rPr>
          <w:rStyle w:val="Strong"/>
          <w:i/>
          <w:iCs/>
        </w:rPr>
        <w:t>Note:</w:t>
      </w:r>
      <w:r>
        <w:rPr>
          <w:i/>
          <w:iCs/>
        </w:rPr>
        <w:t xml:space="preserve"> Office 365 A1 does not satisfy the License requirement for access to (or management of) the Products in this table.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90"/>
        <w:gridCol w:w="2070"/>
        <w:gridCol w:w="20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2"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 Education</w:t>
      </w:r>
    </w:p>
    <w:p>
      <w:pPr>
        <w:pStyle w:val="NormalWeb"/>
        <w:spacing w:after="150"/>
      </w:pPr>
      <w:r>
        <w:rPr>
          <w:rStyle w:val="Strong"/>
          <w:i/>
          <w:iCs/>
        </w:rPr>
        <w:t>Note</w:t>
      </w:r>
      <w:r>
        <w:rPr>
          <w:i/>
          <w:iCs/>
        </w:rPr>
        <w:t>: Microsoft 365 A1 does not satisfy the License requirement for access to (or management of) the Products in this table. With the exception of Advanced Threat Analytics 2016 and Microsoft Endpoint Configuration Manager,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74"/>
        <w:gridCol w:w="2076"/>
        <w:gridCol w:w="990"/>
        <w:gridCol w:w="9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 with Core CAL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2"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2016 Premium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rsidR="00ED5159" w:rsidP="00ED5159">
      <w:pPr>
        <w:pStyle w:val="ProductList-Offering2Heading"/>
        <w:outlineLvl w:val="2"/>
      </w:pPr>
      <w:r>
        <w:t>Notices</w:t>
      </w:r>
      <w:r>
        <w:fldChar w:fldCharType="begin"/>
      </w:r>
      <w:r>
        <w:instrText xml:space="preserve"> TC </w:instrText>
      </w:r>
      <w:bookmarkStart w:id="89" w:name="_Toc256000075"/>
      <w:r>
        <w:instrText>"</w:instrText>
      </w:r>
      <w:r>
        <w:instrText>Notices</w:instrText>
      </w:r>
      <w:r>
        <w:instrText>"</w:instrText>
      </w:r>
      <w:bookmarkEnd w:id="89"/>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211"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22"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22"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22"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22"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22"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22"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7"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75"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212"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90" w:name="_Toc256000076"/>
      <w:r>
        <w:instrText>"</w:instrText>
      </w:r>
      <w:r>
        <w:instrText>Professional Services</w:instrText>
      </w:r>
      <w:r>
        <w:instrText>"</w:instrText>
      </w:r>
      <w:bookmarkEnd w:id="90"/>
      <w:r>
        <w:instrText xml:space="preserve"> \l 2</w:instrText>
      </w:r>
      <w:r>
        <w:fldChar w:fldCharType="end"/>
      </w:r>
    </w:p>
    <w:p>
      <w:pPr>
        <w:pStyle w:val="NormalWeb"/>
      </w:pPr>
      <w:r>
        <w:t xml:space="preserve">Customer's right to use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22"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11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22"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11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213"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11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214"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215" w:tgtFrame="_blank" w:history="1">
        <w:r>
          <w:rPr>
            <w:rStyle w:val="Hyperlink"/>
            <w:color w:val="505050"/>
          </w:rPr>
          <w:t>https://www.microsoft.com/en-us/microsoftservices/description-of-services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Digital Advisory Services Offerings</w:t>
      </w:r>
    </w:p>
    <w:p>
      <w:pPr>
        <w:pStyle w:val="NormalWeb"/>
        <w:spacing w:after="150"/>
      </w:pPr>
      <w:r>
        <w:t>The Digital Advisory Service offerings are only available for US Federal customers. The Digital Advisory Services offerings contain the following components which will be provided for each year of the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06"/>
        <w:gridCol w:w="2598"/>
        <w:gridCol w:w="2598"/>
        <w:gridCol w:w="2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Area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Digital Advisory Connect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Digital Advisory Foundation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Digital Advisory Portfolio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SKU Product Family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9TH-xxxx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BA3-xxxx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9RO-xxxx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Service Delivery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Up to 400 hours in aggregate of a Microsoft Digital Advisor and the Enterprise Service Delivery Team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Up to 800 hours in aggregate of a Microsoft Digital Advisor and the Enterprise Service Delivery Team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Up to 1600 hours in aggregate of a Microsoft Digital Advisor and the Enterprise Service Delivery Team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Services Delivery Plan (SDP)</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Specific services provided may change over time.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Digital Advisory Network</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Specific services provided may change over time.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Digital Advisory Services Library</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Specific services provided may change over time.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Digital Advisory Capacity (SKU Product Family: 9RS-xxxx)</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 hours of Digital Advisor (can be added to any engagement)</w:t>
            </w:r>
          </w:p>
        </w:tc>
      </w:tr>
    </w:tbl>
    <w:p>
      <w:pPr>
        <w:pStyle w:val="Heading5"/>
        <w:rPr>
          <w:rFonts w:eastAsia="Times New Roman"/>
        </w:rPr>
      </w:pPr>
      <w:r>
        <w:rPr>
          <w:rFonts w:eastAsia="Times New Roman"/>
        </w:rPr>
        <w:t>Digital Advisory Service Modules</w:t>
      </w:r>
    </w:p>
    <w:p>
      <w:pPr>
        <w:pStyle w:val="NormalWeb"/>
      </w:pPr>
      <w:r>
        <w:t>The Digital Advisory engagement includes one or more Digital Advisory service modules, as documented in the Service Delivery Plan.</w:t>
      </w:r>
    </w:p>
    <w:p>
      <w:pPr>
        <w:pStyle w:val="Heading5"/>
        <w:rPr>
          <w:rFonts w:eastAsia="Times New Roman"/>
        </w:rPr>
      </w:pPr>
      <w:r>
        <w:rPr>
          <w:rFonts w:eastAsia="Times New Roman"/>
        </w:rPr>
        <w:t>Services Out of Scope</w:t>
      </w:r>
    </w:p>
    <w:p>
      <w:pPr>
        <w:pStyle w:val="NormalWeb"/>
      </w:pPr>
      <w:r>
        <w:t>The Professional Services in a Digital Advisory engagement do not include problem resolution or break fix support, review of non-Microsoft source code, or technical or architectural consultation beyond the deliverables as described in a Services Delivery Plan. For any non-Microsoft source code, Microsoft's Professional Services will be limited to analysis of binary data only, such as a process dump or network monitor trace.</w:t>
      </w:r>
    </w:p>
    <w:p>
      <w:pPr>
        <w:pStyle w:val="Heading5"/>
        <w:rPr>
          <w:rFonts w:eastAsia="Times New Roman"/>
        </w:rPr>
      </w:pPr>
      <w:r>
        <w:rPr>
          <w:rFonts w:eastAsia="Times New Roman"/>
        </w:rPr>
        <w:t>Customer Responsibilities</w:t>
      </w:r>
    </w:p>
    <w:p>
      <w:pPr>
        <w:pStyle w:val="NormalWeb"/>
      </w:pPr>
      <w:r>
        <w:t>Customer agrees to cooperate with Microsoft as part of the Digital Advisory engagement, including but not limited to making Customer's representatives, IT staff, and resources available to Microsoft, providing accurate and complete information, and timely completing responsibilities assigned to Customer by Microsoft. Onsite visits of Microsoft resources must be mutually agreed, and Customer is responsible for reasonable travel and living expenses, as determined by the Digital Advisor.</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216"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91" w:name="_Toc256000077"/>
      <w:r>
        <w:instrText>"</w:instrText>
      </w:r>
      <w:r>
        <w:instrText>Program Agreement Supplemental Terms</w:instrText>
      </w:r>
      <w:r>
        <w:instrText>"</w:instrText>
      </w:r>
      <w:bookmarkEnd w:id="91"/>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1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rsidR="00ED5159" w:rsidP="00ED5159">
      <w:pPr>
        <w:pStyle w:val="ProductList-Offering2Heading"/>
        <w:outlineLvl w:val="2"/>
      </w:pPr>
      <w:r>
        <w:t>Promotions</w:t>
      </w:r>
      <w:r>
        <w:fldChar w:fldCharType="begin"/>
      </w:r>
      <w:r>
        <w:instrText xml:space="preserve"> TC </w:instrText>
      </w:r>
      <w:bookmarkStart w:id="92" w:name="_Toc256000078"/>
      <w:r>
        <w:instrText>"</w:instrText>
      </w:r>
      <w:r>
        <w:instrText>Promotions</w:instrText>
      </w:r>
      <w:r>
        <w:instrText>"</w:instrText>
      </w:r>
      <w:bookmarkEnd w:id="92"/>
      <w:r>
        <w:instrText xml:space="preserve"> \l 2</w:instrText>
      </w:r>
      <w:r>
        <w:fldChar w:fldCharType="end"/>
      </w:r>
    </w:p>
    <w:p>
      <w:pPr>
        <w:pStyle w:val="NormalWeb"/>
      </w:pPr>
      <w:r>
        <w:t>There are no active Promotions.</w:t>
      </w:r>
    </w:p>
    <w:p w:rsidR="00ED5159" w:rsidP="00ED5159">
      <w:pPr>
        <w:pStyle w:val="ProductList-Offering2Heading"/>
        <w:outlineLvl w:val="2"/>
      </w:pPr>
      <w:r>
        <w:t>Software Assurance Benefits</w:t>
      </w:r>
      <w:r>
        <w:fldChar w:fldCharType="begin"/>
      </w:r>
      <w:r>
        <w:instrText xml:space="preserve"> TC </w:instrText>
      </w:r>
      <w:bookmarkStart w:id="93" w:name="_Toc256000079"/>
      <w:r>
        <w:instrText>"</w:instrText>
      </w:r>
      <w:r>
        <w:instrText>Software Assurance Benefits</w:instrText>
      </w:r>
      <w:r>
        <w:instrText>"</w:instrText>
      </w:r>
      <w:bookmarkEnd w:id="93"/>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&amp; Renewing Software Assurance</w:t>
      </w:r>
    </w:p>
    <w:p>
      <w:pPr>
        <w:pStyle w:val="NormalWeb"/>
        <w:spacing w:after="150"/>
      </w:pPr>
      <w:r>
        <w:t>For information about purchasing and renewing Software Assurance, see "</w:t>
      </w:r>
      <w:hyperlink r:id="rId217" w:tgtFrame="_blank" w:history="1">
        <w:r>
          <w:rPr>
            <w:rStyle w:val="Hyperlink"/>
            <w:color w:val="505050"/>
          </w:rPr>
          <w:t>Purchasing &amp; Renewing Software Assurance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Software Assurance Benefits</w:t>
      </w:r>
    </w:p>
    <w:p>
      <w:pPr>
        <w:pStyle w:val="NormalWeb"/>
        <w:spacing w:after="150"/>
      </w:pPr>
      <w:r>
        <w:t>Most SA Benefits are available across each Product Pool, as described in the table below. Active SA for any qualifying Product qualifies Customer for the benefits shown in the table below. Some benefits are awarded based on Customer's SA spend on a given set of qualifying products within a pool. For these purposes, "SA spend" is not literally Customer's actual dollars spent, but is an approximation of what Customer has spent on SA coverage for those Products under its Select or Enterprise Enrollment, Select Plus registration or Open agreement (For example, SA only purchases and the SA component of L&amp;SA purchases). For customers under subscription programs, it is an approximation of the total dollars Customer has spent licensing those Products under its enrollment or agreement. Software Assurance Membership ("SAM") is required for some benefits. Customer's access and rights to use their SA benefits, generally expires upon expiration of their SA coverage, unless otherwise noted below or in the Product Entries. The benefits are subject to change and may be discontinued at any time without notice. Availability of benefits varies by program, region, fulfillment options and language.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5"/>
        <w:gridCol w:w="1647"/>
        <w:gridCol w:w="1322"/>
        <w:gridCol w:w="11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Benefits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Applications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Systems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New Version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the web, Office Online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Source Licensing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Sideloading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Desktop Optimization Pack (MDOP)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Virtual Desktop Access (VDA)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Discount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CustomerSource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Step-Up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Disaster Recovery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Mobility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Self Hosted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SA per User Add-on Purchase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Virtualization Rights for Windows and Windows Embedded Desktops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New Version Rights</w:t>
      </w:r>
    </w:p>
    <w:p>
      <w:pPr>
        <w:pStyle w:val="NormalWeb"/>
        <w:spacing w:after="150"/>
      </w:pPr>
      <w:r>
        <w:t>Customer may upgrade to the latest version of an available Product. If Customer acquires perpetual Licenses through SA, it may deploy new version upgrades for those Licenses after SA coverage has expired, but only to versions released during the active SA coverage. Use of the new version is subject to the License Terms for that version.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for the web services and Office Online Server</w:t>
      </w:r>
    </w:p>
    <w:p>
      <w:pPr>
        <w:pStyle w:val="NormalWeb"/>
        <w:spacing w:after="150"/>
      </w:pPr>
      <w:r>
        <w:t>Users of a device licensed with the qualifying applications may access Office for the web services and Office Online Server for editing documents from the Licensed Device. The Primary User of the Licensed Device may access Office for the web services and Office Online Server for editing documents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91"/>
        <w:gridCol w:w="38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 </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Online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Office for the web</w:t>
            </w:r>
          </w:p>
          <w:p>
            <w:pPr>
              <w:pStyle w:val="NormalWeb"/>
              <w:spacing w:before="150"/>
            </w:pPr>
            <w:r>
              <w:t>Office Online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Standard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Users must also be licensed for SharePoint Online or OneDrive to access Office for the web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Planning Services</w:t>
      </w:r>
    </w:p>
    <w:p>
      <w:pPr>
        <w:pStyle w:val="NormalWeb"/>
        <w:spacing w:after="150"/>
      </w:pPr>
      <w:r>
        <w:t>Planning Services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Enterprise Source Licensing Program</w:t>
      </w:r>
    </w:p>
    <w:p>
      <w:pPr>
        <w:pStyle w:val="NormalWeb"/>
        <w:spacing w:after="150"/>
      </w:pPr>
      <w:r>
        <w:t>Customers with 10,000 or more licensed desktops with SA coverage in the systems pool may be eligible to access to Microsoft Windows source code for internal development and support. Academic programs are eligible for the Microsoft Research Source Licensing Program.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Training Vouchers</w:t>
      </w:r>
    </w:p>
    <w:p>
      <w:pPr>
        <w:pStyle w:val="NormalWeb"/>
        <w:spacing w:after="150"/>
      </w:pPr>
      <w:r>
        <w:t>Training Vouchers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Workplace Discount Program</w:t>
      </w:r>
    </w:p>
    <w:p>
      <w:pPr>
        <w:pStyle w:val="NormalWeb"/>
        <w:spacing w:after="150"/>
      </w:pPr>
      <w:r>
        <w:t>The Microsoft Workplace Discount Program provides Customer's employees the right to acquire Microsoft products or services made available through the Microsoft Workplace Discount Program website(s). Customer's employees may choose to purchase from either the Online Services or Software option.</w:t>
      </w:r>
    </w:p>
    <w:p>
      <w:pPr>
        <w:pStyle w:val="Heading5"/>
        <w:rPr>
          <w:rFonts w:eastAsia="Times New Roman"/>
        </w:rPr>
      </w:pPr>
      <w:r>
        <w:rPr>
          <w:rStyle w:val="Strong"/>
          <w:rFonts w:eastAsia="Times New Roman"/>
        </w:rPr>
        <w:t>Online Services</w:t>
      </w:r>
    </w:p>
    <w:p>
      <w:pPr>
        <w:pStyle w:val="NormalWeb"/>
      </w:pPr>
      <w:r>
        <w:t>The threshold requirement for participation in the Microsoft Workplace Discount Program, for purchase of Online Services, is waived for Customers with SAM coverage for the Application pool. Customer's employees may acquire a single subscription of either Microsoft 365 Family or Microsoft 365 Personal through the Workplace Discount Program website.</w:t>
      </w:r>
    </w:p>
    <w:p>
      <w:pPr>
        <w:pStyle w:val="NormalWeb"/>
        <w:spacing w:before="150"/>
      </w:pPr>
      <w:r>
        <w:t>Microsoft 365 Family or Microsoft 365 Personal subscriptions acquired through the Microsoft Workplace Discount Program website may currently be renewed at the then current Microsoft Workplace Discount Program price regardless of employment or Customer's SAM coverage status.</w:t>
      </w:r>
    </w:p>
    <w:p>
      <w:pPr>
        <w:pStyle w:val="Heading5"/>
        <w:rPr>
          <w:rFonts w:eastAsia="Times New Roman"/>
        </w:rPr>
      </w:pPr>
      <w:r>
        <w:rPr>
          <w:rStyle w:val="Strong"/>
          <w:rFonts w:eastAsia="Times New Roman"/>
        </w:rPr>
        <w:t>Software</w:t>
      </w:r>
    </w:p>
    <w:p>
      <w:pPr>
        <w:pStyle w:val="NormalWeb"/>
      </w:pPr>
      <w:r>
        <w:t>Customer's employees, who are users of the licensed qualifying desktop applications identified in the table below may acquire a single License for the corresponding Workplace Discount Program software, to be installed on one device (either a PC or a Mac, specific to the software that is purchased). Academic Select (without SAM), Academic Select Plus (without SAM), and Academic Open programs are not eligible for this benefit.</w:t>
      </w:r>
    </w:p>
    <w:p>
      <w:pPr>
        <w:pStyle w:val="NormalWeb"/>
        <w:spacing w:before="150"/>
      </w:pPr>
      <w:r>
        <w:t>Workplace Discount Program Licenses expire with termination of employment, termination or expiration of SA coverage for the copy of the corresponding qualifying desktop application that employee uses at work, if the employee is no longer a user of the licensed copy of the qualifying desktop application, or upon the employee's installation and use of any prior or later version of that qualifying desktop application pursuant to a Workplace Discount Program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76"/>
        <w:gridCol w:w="55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Corresponding Workplace Discount Program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The terms of use for products and services acquired through the Workplace Discount Program software are between Microsoft and Customer's employee and are accessed through the Microsoft Workplace Discount Program website(s).</w:t>
      </w:r>
    </w:p>
    <w:p>
      <w:pPr>
        <w:pStyle w:val="NormalWeb"/>
        <w:spacing w:before="150"/>
      </w:pPr>
      <w:r>
        <w:t>Microsoft assumes no responsibility for compliance with any employment-benefit, tax or reporting obligation that either Customer or its employees may have.</w:t>
      </w:r>
    </w:p>
    <w:p>
      <w:pPr>
        <w:pStyle w:val="NormalWeb"/>
        <w:spacing w:before="150"/>
      </w:pPr>
      <w:r>
        <w:t>Microsoft may terminate a customer's participation in the Microsoft Workplace Discount Program, immediately and without notice, in connection with unauthorized access to or licensing through the Microsoft Workplace Discount Program website in connection with that customer's program code.</w:t>
      </w:r>
    </w:p>
    <w:p>
      <w:pPr>
        <w:pStyle w:val="NormalWeb"/>
        <w:spacing w:before="150"/>
      </w:pPr>
      <w:r>
        <w:t xml:space="preserve">For more information on the Microsoft Workplace Discount Program, refer to </w:t>
      </w:r>
      <w:hyperlink r:id="rId218" w:tgtFrame="_blank" w:history="1">
        <w:r>
          <w:rPr>
            <w:rStyle w:val="Hyperlink"/>
            <w:color w:val="505050"/>
          </w:rPr>
          <w:t>http://www.microsoft.com/licensing</w:t>
        </w:r>
      </w:hyperlink>
      <w:r>
        <w:t xml:space="preserve"> or </w:t>
      </w:r>
      <w:hyperlink r:id="rId219" w:tgtFrame="_blank" w:history="1">
        <w:r>
          <w:rPr>
            <w:rStyle w:val="Hyperlink"/>
            <w:color w:val="505050"/>
          </w:rPr>
          <w:t>https://aka.ms/workplacediscountprogram.</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Step-Up License Availability</w:t>
      </w:r>
    </w:p>
    <w:p>
      <w:pPr>
        <w:pStyle w:val="NormalWeb"/>
        <w:spacing w:after="150"/>
      </w:pPr>
      <w:r>
        <w:t>The Step-Up License must be acquired, and is valid only when acquired, under the same volume licensing agreement and enrollment (if any), under which SA coverage for the qualifying product was acquired. Customer’s right to the use of software under a Step-Up License is conditioned on their having and retaining a License for the qualifying product. Customers’ perpetual rights under the Step-Up License supersede and replace the underlying License for the qualifying product. For more details, refer to the Licensing Brief: Microsoft Step-Up Licenses (</w:t>
      </w:r>
      <w:hyperlink r:id="rId220" w:tgtFrame="_blank" w:history="1">
        <w:r>
          <w:rPr>
            <w:rStyle w:val="Hyperlink"/>
            <w:color w:val="505050"/>
          </w:rPr>
          <w:t>https://aka.ms/licensingbrief-stepups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65"/>
        <w:gridCol w:w="4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From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To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Sales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Customer Service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Desktop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Disaster Recovery Rights</w:t>
      </w:r>
    </w:p>
    <w:p>
      <w:pPr>
        <w:pStyle w:val="NormalWeb"/>
        <w:spacing w:after="150"/>
      </w:pPr>
      <w:r>
        <w:t xml:space="preserve">For each Instance of eligible server software Customer runs in a Physical OSE or Virtual OSE on a Licensed Server, it may temporarily run a backup Instance in a Physical OSE or Virtual OSE on either, another one of its Servers dedicated to disaster recovery, or, for Instances of eligible software other than Windows Server, on Microsoft Azure Services, provided the backup Instance is managed by Azure Site Recovery to Azure. The License Terms for the software and the following limitations apply to Customer’s use of the backup Instance. Any dedicated Server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w:t>
      </w:r>
    </w:p>
    <w:p>
      <w:pPr>
        <w:pStyle w:val="Heading5"/>
        <w:rPr>
          <w:rFonts w:eastAsia="Times New Roman"/>
        </w:rPr>
      </w:pPr>
      <w:r>
        <w:rPr>
          <w:rStyle w:val="Strong"/>
          <w:rFonts w:eastAsia="Times New Roman"/>
        </w:rPr>
        <w:t>Permitted Use of Backup Instances</w:t>
      </w:r>
    </w:p>
    <w:p>
      <w:pPr>
        <w:pStyle w:val="NormalWeb"/>
      </w:pPr>
      <w:r>
        <w:t>The backup Instance can run only during the following exception periods:</w:t>
      </w:r>
    </w:p>
    <w:p>
      <w:pPr>
        <w:numPr>
          <w:ilvl w:val="0"/>
          <w:numId w:val="1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brief periods of disaster recovery testing within one week every 90 days;</w:t>
      </w:r>
    </w:p>
    <w:p>
      <w:pPr>
        <w:numPr>
          <w:ilvl w:val="0"/>
          <w:numId w:val="1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During a disaster, while the production Server being recovered is down; and</w:t>
      </w:r>
    </w:p>
    <w:p>
      <w:pPr>
        <w:numPr>
          <w:ilvl w:val="0"/>
          <w:numId w:val="1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Around the time of a disaster, for a brief period, to assist in the transfer between the primary production server and the disaster recovery Server.</w:t>
      </w:r>
    </w:p>
    <w:p>
      <w:pPr>
        <w:pStyle w:val="Heading5"/>
        <w:rPr>
          <w:rFonts w:eastAsia="Times New Roman"/>
        </w:rPr>
      </w:pPr>
      <w:r>
        <w:rPr>
          <w:rStyle w:val="Strong"/>
          <w:rFonts w:eastAsia="Times New Roman"/>
        </w:rPr>
        <w:t>Using the Azure Hybrid Benefit for Disaster Recovery</w:t>
      </w:r>
    </w:p>
    <w:p>
      <w:pPr>
        <w:pStyle w:val="NormalWeb"/>
      </w:pPr>
      <w:r>
        <w:t>Customer optionally may use Windows Server under the Azure Hybrid Benefit for backup Instances run and managed on Microsoft Azure Services using Azure Site Recovery. In this case, notwithstanding anything to the contrary in the Microsoft Azure License Terms governing Azure Hybrid Benefit, Customer will be permitted to concurrently deploy the same Windows Server Standard Licenses on Microsoft Azure Services under Azure Hybrid Benefit for purposes of testing and during recovery (as described in “Permitted Use of Backup Instances” above) and on the Licensed Servers running the corresponding production workloads. Furthermore, Customer may resume running the same production workloads on the Licensed Servers as contemplated in this Disaster Recovery Rights provision, notwithstanding any limitations on License reassignment. </w:t>
      </w:r>
    </w:p>
    <w:p>
      <w:pPr>
        <w:pStyle w:val="Heading5"/>
        <w:rPr>
          <w:rFonts w:eastAsia="Times New Roman"/>
        </w:rPr>
      </w:pPr>
      <w:r>
        <w:rPr>
          <w:rStyle w:val="Strong"/>
          <w:rFonts w:eastAsia="Times New Roman"/>
        </w:rPr>
        <w:t>Requirements for Disaster Recovery Use</w:t>
      </w:r>
    </w:p>
    <w:p>
      <w:pPr>
        <w:pStyle w:val="NormalWeb"/>
      </w:pPr>
      <w:r>
        <w:t>In order to use the software under disaster recovery rights, Customer must comply with the following terms: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must not be running at any other times except as above.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may not be in the same cluster as the production Server.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of the software backup Instance should comply with the License Terms for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disaster recovery process is complete and the production Server is recovered, the backup Instance must not be running at any other times except those times allowed here.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Maintain SA coverage for all CALs, External Connector licenses and Server Management Licenses under which it accesses the backup instance and manage the OSEs in which that software runs.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right to run the backup Instances ends when Customer’s Software Assurance coverage ends.</w:t>
      </w:r>
    </w:p>
    <w:p>
      <w:pPr>
        <w:pStyle w:val="Heading5"/>
        <w:rPr>
          <w:rFonts w:eastAsia="Times New Roman"/>
        </w:rPr>
      </w:pPr>
      <w:r>
        <w:rPr>
          <w:rStyle w:val="Strong"/>
          <w:rFonts w:eastAsia="Times New Roman"/>
        </w:rPr>
        <w:t>Additional Permitted Use of Windows Server</w:t>
      </w:r>
    </w:p>
    <w:p>
      <w:pPr>
        <w:pStyle w:val="NormalWeb"/>
      </w:pPr>
      <w:r>
        <w:t>Other than backup instances run on Microsoft Azure Services, Windows Server License is not required for the disaster recovery Server if the following conditions are met: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Hyper-V role within Windows Server is used to replicate Virtual OSEs from the production Server at a primary site to a disaster recovery Server.</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be used only to:</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such as Hyper-V, provide hardware virtualization services,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software agents to manage the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serve as a destination for replication, receive replicated Virtual OSEs, test failover, await failover of the Virtual OSEs, and</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disaster recovery workloads as described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not be used as a production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Mobility</w:t>
      </w:r>
    </w:p>
    <w:p>
      <w:pPr>
        <w:pStyle w:val="Heading5"/>
        <w:rPr>
          <w:rFonts w:eastAsia="Times New Roman"/>
        </w:rPr>
      </w:pPr>
      <w:r>
        <w:rPr>
          <w:rStyle w:val="Strong"/>
          <w:rFonts w:eastAsia="Times New Roman"/>
        </w:rPr>
        <w:t>License Mobility Across Server Farms</w:t>
      </w:r>
    </w:p>
    <w:p>
      <w:pPr>
        <w:pStyle w:val="NormalWeb"/>
      </w:pPr>
      <w:r>
        <w:t>Under License Mobility Across Server Farms, Customer may reassign any of its Licenses which are designated as having License Mobility and for which it has SA to any of its Licensed Servers located within the same Server Farm as often as needed. Customer may also reassign these Licenses from one Server Farm to another, but not on a short-term basis (i.e., not within 90 days of the last assignment). Products used for Self-Hosting may be used at the same time under License Mobility Across Server Farms rights.</w:t>
      </w:r>
    </w:p>
    <w:p>
      <w:pPr>
        <w:pStyle w:val="Heading5"/>
        <w:rPr>
          <w:rFonts w:eastAsia="Times New Roman"/>
        </w:rPr>
      </w:pPr>
      <w:r>
        <w:rPr>
          <w:rStyle w:val="Strong"/>
          <w:rFonts w:eastAsia="Times New Roman"/>
        </w:rPr>
        <w:t>License Mobility through Software Assurance</w:t>
      </w:r>
    </w:p>
    <w:p>
      <w:pPr>
        <w:pStyle w:val="NormalWeb"/>
      </w:pPr>
      <w:r>
        <w:t>Under License Mobility Through Software Assurance (SA), Customer may move its licensed software to shared servers under any of its Licenses which are designated as having License Mobility for which it has SA, subject to the requirements below. Products used for Self-Hosting may be used at the same time under License Mobility through SA rights, subject to the limitations of the Self-Hosting License Terms.</w:t>
      </w:r>
    </w:p>
    <w:p>
      <w:pPr>
        <w:pStyle w:val="Heading5"/>
        <w:rPr>
          <w:rFonts w:eastAsia="Times New Roman"/>
        </w:rPr>
      </w:pPr>
      <w:r>
        <w:rPr>
          <w:rStyle w:val="Strong"/>
          <w:rFonts w:eastAsia="Times New Roman"/>
        </w:rPr>
        <w:t>Permitted Use:</w:t>
      </w:r>
    </w:p>
    <w:p>
      <w:pPr>
        <w:pStyle w:val="NormalWeb"/>
      </w:pPr>
      <w:r>
        <w:t>With License Mobility through SA, Customer may:</w:t>
      </w:r>
    </w:p>
    <w:p>
      <w:pPr>
        <w:numPr>
          <w:ilvl w:val="0"/>
          <w:numId w:val="1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on shared servers;</w:t>
      </w:r>
    </w:p>
    <w:p>
      <w:pPr>
        <w:numPr>
          <w:ilvl w:val="0"/>
          <w:numId w:val="1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that software under access licenses and for which it has SA, and under its User and Device SLs that permit access to the Products;</w:t>
      </w:r>
    </w:p>
    <w:p>
      <w:pPr>
        <w:numPr>
          <w:ilvl w:val="0"/>
          <w:numId w:val="1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shared servers; and/or</w:t>
      </w:r>
    </w:p>
    <w:p>
      <w:pPr>
        <w:numPr>
          <w:ilvl w:val="0"/>
          <w:numId w:val="1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its servers using software that it runs on shared servers.</w:t>
      </w:r>
    </w:p>
    <w:p>
      <w:pPr>
        <w:pStyle w:val="Heading5"/>
        <w:rPr>
          <w:rFonts w:eastAsia="Times New Roman"/>
        </w:rPr>
      </w:pPr>
      <w:r>
        <w:rPr>
          <w:rStyle w:val="Strong"/>
          <w:rFonts w:eastAsia="Times New Roman"/>
        </w:rPr>
        <w:t>Requirements:</w:t>
      </w:r>
    </w:p>
    <w:p>
      <w:pPr>
        <w:pStyle w:val="NormalWeb"/>
      </w:pPr>
      <w:r>
        <w:t>To use License Mobility through SA,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and manage its OSEs on shared servers under the terms of its volume licensing agreement;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 its Licenses only with Microsoft Azure Services or qualified License Mobility through Software Assurance Partner;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Complete and submit the License Mobility verification form with each License Mobility through Software Assurance Partner who will run its licensed software on their shared servers.</w:t>
      </w:r>
    </w:p>
    <w:p>
      <w:pPr>
        <w:pStyle w:val="NormalWeb"/>
        <w:spacing w:before="150"/>
      </w:pPr>
      <w:r>
        <w:t>Customer may move its licensed software from shared servers back to its Licensed Servers or to another party's shared servers, but not on a short term basis (not within 90 days of the last assignment). Customer may also move Instances run or OSEs managed under a particular License from shared servers in one Server Farm to its shared servers in another Server Farm, but not on a short-term basis (not within 90 days of the last assignment). OSEs managed under the same License must be in the same Server Farm. Customer agrees that it will be responsible for third parties' actions with regard to software deployed and managed on its behalf. Except as provided below, the License Terms applicable to the Product together with the License Mobility through SA terms govern its use. The License Mobility through SA terms supersede any conflicting License terms for a Product when License Mobility through SA is used. License Mobility through SA rights also apply to Listed Providers' Servers that are dedicated to Customer's use, subject to these same terms and conditions. Some Products, as outlined below, have different use rights for shared servers under License Mobility through SA: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1"/>
        <w:gridCol w:w="1590"/>
        <w:gridCol w:w="2238"/>
        <w:gridCol w:w="42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Model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Product/Product Type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Number of:  OSEs or Cores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External Connector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Server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eligible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Core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 virtual core (subject to the product use rights including the requirement of a minimum of 4 cores per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Fail-over Rights</w:t>
      </w:r>
    </w:p>
    <w:p>
      <w:pPr>
        <w:pStyle w:val="NormalWeb"/>
        <w:spacing w:after="150"/>
      </w:pPr>
      <w:r>
        <w:t>For SQL Server Instances run under License Mobility through SA rights, Customer may run passive fail-over Instances in one OSE on the qualifying shared servers in anticipation of a fail-over event. The number of licenses that otherwise would be required to run the passive fail-over Instances must not exceed the number of licenses required to run the corresponding production Instances on the same partner's shared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Self Hosted Applications</w:t>
      </w:r>
    </w:p>
    <w:p>
      <w:pPr>
        <w:pStyle w:val="NormalWeb"/>
        <w:spacing w:after="150"/>
      </w:pPr>
      <w:r>
        <w:t>Self-Hosted Applications means those Products for which Self-Hosted rights apply.</w:t>
      </w:r>
    </w:p>
    <w:p>
      <w:pPr>
        <w:pStyle w:val="NormalWeb"/>
        <w:spacing w:before="150"/>
      </w:pPr>
      <w:r>
        <w:t>Despite any terms to the contrary in Customer's volume licensing agreement including the Product Terms, Customer may run licensed copies of Self-Hosted Applications that interact directly or indirectly with its software to create a unified solution ("Unified Solution") and permit third parties to use it, subject to the terms below.</w:t>
      </w:r>
    </w:p>
    <w:p>
      <w:pPr>
        <w:pStyle w:val="Heading5"/>
        <w:rPr>
          <w:rFonts w:eastAsia="Times New Roman"/>
        </w:rPr>
      </w:pPr>
      <w:r>
        <w:rPr>
          <w:rStyle w:val="Strong"/>
          <w:rFonts w:eastAsia="Times New Roman"/>
        </w:rPr>
        <w:t>Requirements</w:t>
      </w:r>
    </w:p>
    <w:p>
      <w:pPr>
        <w:pStyle w:val="NormalWeb"/>
      </w:pPr>
      <w:r>
        <w:t>Customer must have the required Microsoft Licenses and SA for:</w:t>
      </w:r>
    </w:p>
    <w:p>
      <w:pPr>
        <w:numPr>
          <w:ilvl w:val="0"/>
          <w:numId w:val="1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Self-Hosted Applications run as part of the Unified Solution; and</w:t>
      </w:r>
    </w:p>
    <w:p>
      <w:pPr>
        <w:numPr>
          <w:ilvl w:val="0"/>
          <w:numId w:val="1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access Licenses used to make the Unified Solution available to External Users.</w:t>
      </w:r>
    </w:p>
    <w:p>
      <w:pPr>
        <w:pStyle w:val="NormalWeb"/>
        <w:spacing w:before="150"/>
      </w:pPr>
      <w:r>
        <w:t>All Microsoft software used to create and deliver the Unified Solution must be: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through a Volume Licensing program;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eligible for Self Hosting under these License Terms.</w:t>
      </w:r>
    </w:p>
    <w:p>
      <w:pPr>
        <w:pStyle w:val="NormalWeb"/>
        <w:spacing w:before="150"/>
      </w:pPr>
      <w:r>
        <w:t xml:space="preserve">Any </w:t>
      </w:r>
      <w:hyperlink w:anchor="_Toc22" w:tooltip="Server means a physical hardware system capable of running server software." w:history="1">
        <w:r>
          <w:rPr>
            <w:rStyle w:val="Hyperlink"/>
            <w:color w:val="505050"/>
          </w:rPr>
          <w:t>Server</w:t>
        </w:r>
      </w:hyperlink>
      <w:r>
        <w:t xml:space="preserve">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Customer may also use License Mobility in conjunction with Self Hosted Applications.</w:t>
      </w:r>
    </w:p>
    <w:p>
      <w:pPr>
        <w:pStyle w:val="NormalWeb"/>
        <w:spacing w:before="150"/>
      </w:pPr>
      <w:r>
        <w:t>Customer's software must: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add significant and primary functionality to the Self-Hosted Applications that are part of the Unified Solution (dashboards, HTML editors, utilities, and similar technologies alone are not a primary service and/or application of a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the principal service and/or application of the Unified Solution, and must not allow direct access to the Self-Hosted Applications by any end user of the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delivered to end users over the Internet, a telephone network, or a private network from servers under the day to day control of Customer or a third party other than the end user of the Unified Solution (the Unified Solution may not be loaded onto the end user's device);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owned, not licensed, by it, except that its software may include non-substantive third party software that is embedded in, or operates in support of, its software.</w:t>
      </w:r>
    </w:p>
    <w:p>
      <w:pPr>
        <w:pStyle w:val="NormalWeb"/>
        <w:spacing w:before="150"/>
      </w:pPr>
      <w:r>
        <w:t>All use of the Self-Hosted Applications remains governed by the License Terms for those products. Customer may not transfer Licenses acquired under its volume licensing agreement except as permitted in that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Security Updates</w:t>
      </w:r>
    </w:p>
    <w:p>
      <w:pPr>
        <w:pStyle w:val="NormalWeb"/>
        <w:spacing w:after="150"/>
      </w:pPr>
      <w:r>
        <w:t xml:space="preserve">Customer may purchase Extended Security Updates ("ESU") coverage for </w:t>
      </w:r>
      <w:hyperlink w:anchor="_Toc22" w:tooltip="License means the right to download, install, access and use a Product." w:history="1">
        <w:r>
          <w:rPr>
            <w:rStyle w:val="Hyperlink"/>
            <w:color w:val="505050"/>
          </w:rPr>
          <w:t>Licenses</w:t>
        </w:r>
      </w:hyperlink>
      <w:r>
        <w:t xml:space="preserve"> with SA coverage and equivalent Subscription Licenses.</w:t>
      </w:r>
    </w:p>
    <w:p>
      <w:pPr>
        <w:pStyle w:val="Heading5"/>
        <w:rPr>
          <w:rFonts w:eastAsia="Times New Roman"/>
        </w:rPr>
      </w:pPr>
      <w:r>
        <w:rPr>
          <w:rStyle w:val="Strong"/>
          <w:rFonts w:eastAsia="Times New Roman"/>
        </w:rPr>
        <w:t>License Requirements</w:t>
      </w:r>
    </w:p>
    <w:p>
      <w:pPr>
        <w:pStyle w:val="NormalWeb"/>
      </w:pPr>
      <w:r>
        <w:t xml:space="preserve">ESU Coverage is required for each core or server </w:t>
      </w:r>
      <w:hyperlink w:anchor="_Toc22" w:tooltip="License means the right to download, install, access and use a Product." w:history="1">
        <w:r>
          <w:rPr>
            <w:rStyle w:val="Hyperlink"/>
            <w:color w:val="505050"/>
          </w:rPr>
          <w:t>License</w:t>
        </w:r>
      </w:hyperlink>
      <w:r>
        <w:t xml:space="preserve"> assigned to the </w:t>
      </w:r>
      <w:hyperlink w:anchor="_Toc22" w:tooltip="Licensed Server means a single Server to which a License is assigned. See Glossary for full definition." w:history="1">
        <w:r>
          <w:rPr>
            <w:rStyle w:val="Hyperlink"/>
            <w:color w:val="505050"/>
          </w:rPr>
          <w:t>Licensed Server</w:t>
        </w:r>
      </w:hyperlink>
      <w:r>
        <w:t xml:space="preserve"> or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if using License Mobility, subject to the same license minimums. ESU coverage is not required (nor available) for CALs or External Connector Licenses; however, Customer must have active SA (or equivalent Subscription Licenses) for CALs and External Connector Licenses permitting access to Servers with active ESU coverage.</w:t>
      </w:r>
    </w:p>
    <w:p>
      <w:pPr>
        <w:pStyle w:val="Heading5"/>
        <w:rPr>
          <w:rFonts w:eastAsia="Times New Roman"/>
        </w:rPr>
      </w:pPr>
      <w:r>
        <w:rPr>
          <w:rStyle w:val="Strong"/>
          <w:rFonts w:eastAsia="Times New Roman"/>
        </w:rPr>
        <w:t>Coverage Eligibility</w:t>
      </w:r>
    </w:p>
    <w:p>
      <w:pPr>
        <w:pStyle w:val="NormalWeb"/>
      </w:pPr>
      <w:r>
        <w:t xml:space="preserve">For any given </w:t>
      </w:r>
      <w:hyperlink w:anchor="_Toc22" w:tooltip="Server means a physical hardware system capable of running server software." w:history="1">
        <w:r>
          <w:rPr>
            <w:rStyle w:val="Hyperlink"/>
            <w:color w:val="505050"/>
          </w:rPr>
          <w:t>Server</w:t>
        </w:r>
      </w:hyperlink>
      <w:r>
        <w:t>, Customer may acquire ESU coverage for years two and three of the offering only if Customer also acquired coverage for the preceding year. ESU coverage is not required to be co-terminus with SA coverage or SA equivalent Subscription Licenses; however, Customer must have a minimum of one month of qualifying SA coverage or Subscription License term remaining at the beginning of the actual coverage period for each year of ESU coverage purchased (i.e., during year one, year two or year three).</w:t>
      </w:r>
    </w:p>
    <w:p>
      <w:pPr>
        <w:pStyle w:val="Heading5"/>
        <w:rPr>
          <w:rFonts w:eastAsia="Times New Roman"/>
        </w:rPr>
      </w:pPr>
      <w:r>
        <w:rPr>
          <w:rStyle w:val="Strong"/>
          <w:rFonts w:eastAsia="Times New Roman"/>
        </w:rPr>
        <w:t>Use of Updated Software</w:t>
      </w:r>
    </w:p>
    <w:p>
      <w:pPr>
        <w:pStyle w:val="NormalWeb"/>
      </w:pPr>
      <w:r>
        <w:t>Except as follows, server software that is updated through ESU coverage may be used only under licenses that have ESU coverage.</w:t>
      </w:r>
    </w:p>
    <w:p>
      <w:pPr>
        <w:numPr>
          <w:ilvl w:val="0"/>
          <w:numId w:val="12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continue to use updated software after coverage expires, but only under licenses to which coverage applied.</w:t>
      </w:r>
    </w:p>
    <w:p>
      <w:pPr>
        <w:numPr>
          <w:ilvl w:val="0"/>
          <w:numId w:val="12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apply updates provided under their ESU coverage to software Customer licenses and uses solely for development, test and related purposes under corresponding Developer edition licenses or Visual Studio subscriptions.</w:t>
      </w:r>
    </w:p>
    <w:p>
      <w:pPr>
        <w:numPr>
          <w:ilvl w:val="0"/>
          <w:numId w:val="12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updated software under licensed SQL Server, Windows Server, and Windows 7 workloads running on Azure Stack.</w:t>
      </w:r>
    </w:p>
    <w:p>
      <w:pPr>
        <w:pStyle w:val="Heading5"/>
        <w:rPr>
          <w:rFonts w:eastAsia="Times New Roman"/>
        </w:rPr>
      </w:pPr>
      <w:r>
        <w:rPr>
          <w:rStyle w:val="Strong"/>
          <w:rFonts w:eastAsia="Times New Roman"/>
        </w:rPr>
        <w:t>Covering Hosted Workloads</w:t>
      </w:r>
    </w:p>
    <w:p>
      <w:pPr>
        <w:pStyle w:val="NormalWeb"/>
      </w:pPr>
      <w:r>
        <w:t xml:space="preserve">Customer may also purchase ESU coverage for workloads running on Authorized Services Providers' servers under License Included offerings. "Authorized Services Providers" means services providers listed at </w:t>
      </w:r>
      <w:hyperlink r:id="rId221" w:tgtFrame="_blank" w:history="1">
        <w:r>
          <w:rPr>
            <w:u w:val="single"/>
          </w:rPr>
          <w:t>http://www.microsoft.com/licensing/software-assurance/license-mobility.aspx</w:t>
        </w:r>
      </w:hyperlink>
      <w:r>
        <w:t>. "License Included" means Customer is licensing Windows Server or SQL Server through the Authorized Services Provider, and is not redeploying its licenses. Customer must acquire ESU licenses for all of the Virtual Cores in a Virtual OSE subject to a minimum of 8 (eight) for Windows Server and 4 (four) for SQL Server.</w:t>
      </w:r>
    </w:p>
    <w:p>
      <w:pPr>
        <w:pStyle w:val="Heading5"/>
        <w:rPr>
          <w:rFonts w:eastAsia="Times New Roman"/>
        </w:rPr>
      </w:pPr>
      <w:r>
        <w:rPr>
          <w:rStyle w:val="Strong"/>
          <w:rFonts w:eastAsia="Times New Roman"/>
        </w:rPr>
        <w:t>Azure Stack Workloads</w:t>
      </w:r>
    </w:p>
    <w:p>
      <w:pPr>
        <w:pStyle w:val="NormalWeb"/>
      </w:pPr>
      <w:r>
        <w:t>Customer may have access to ESUs for its licensed SQL Server, Windows Server, and Window 7 workloads running on Azure Stack. The requirements to purchase ESU coverage and to access updated server workloads only under CALs with SA coverage are waived solely with respect to SQL Server, Windows Server, and Windows 7 Instances Customer is running on Azure Stack.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rsidR="00ED5159" w:rsidP="00ED5159">
      <w:pPr>
        <w:pStyle w:val="ProductList-Offering2Heading"/>
        <w:outlineLvl w:val="2"/>
      </w:pPr>
      <w:r>
        <w:t>Azure Hardware Terms</w:t>
      </w:r>
      <w:r>
        <w:fldChar w:fldCharType="begin"/>
      </w:r>
      <w:r>
        <w:instrText xml:space="preserve"> TC </w:instrText>
      </w:r>
      <w:bookmarkStart w:id="94" w:name="_Toc256000080"/>
      <w:r>
        <w:instrText>"</w:instrText>
      </w:r>
      <w:r>
        <w:instrText>Azure Hardware Terms</w:instrText>
      </w:r>
      <w:r>
        <w:instrText>"</w:instrText>
      </w:r>
      <w:bookmarkEnd w:id="94"/>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222"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223"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224"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225"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223"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125"/>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12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12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12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226"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227"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228"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126"/>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12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12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12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229"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230"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22"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8"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231" w:tgtFrame="_blank" w:history="1">
        <w:r>
          <w:rPr>
            <w:rStyle w:val="Hyperlink"/>
            <w:color w:val="505050"/>
          </w:rPr>
          <w:t>Universal Terms for Online Services</w:t>
        </w:r>
      </w:hyperlink>
      <w:r>
        <w:t xml:space="preserve">, Customer may reassign a </w:t>
      </w:r>
      <w:hyperlink w:anchor="_Toc22"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95" w:name="_Toc256000081"/>
      <w:r>
        <w:instrText>"</w:instrText>
      </w:r>
      <w:r>
        <w:instrText>Amazon Workspaces Deployments</w:instrText>
      </w:r>
      <w:r>
        <w:instrText>"</w:instrText>
      </w:r>
      <w:bookmarkEnd w:id="95"/>
      <w:r>
        <w:instrText xml:space="preserve"> \l 2</w:instrText>
      </w:r>
      <w:r>
        <w:fldChar w:fldCharType="end"/>
      </w:r>
    </w:p>
    <w:p>
      <w:pPr>
        <w:pStyle w:val="NormalWeb"/>
      </w:pPr>
      <w:r>
        <w:t xml:space="preserve">Notwithstanding anything in the </w:t>
      </w:r>
      <w:hyperlink r:id="rId118"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1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1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Student Use Benefits and Academic Programs</w:t>
      </w:r>
      <w:r>
        <w:fldChar w:fldCharType="begin"/>
      </w:r>
      <w:r>
        <w:instrText xml:space="preserve"> TC </w:instrText>
      </w:r>
      <w:bookmarkStart w:id="96" w:name="_Toc256000082"/>
      <w:r>
        <w:instrText>"</w:instrText>
      </w:r>
      <w:r>
        <w:instrText>Student Use Benefits and Academic Programs</w:instrText>
      </w:r>
      <w:r>
        <w:instrText>"</w:instrText>
      </w:r>
      <w:bookmarkEnd w:id="96"/>
      <w:r>
        <w:instrText xml:space="preserve"> \l 2</w:instrText>
      </w:r>
      <w:r>
        <w:fldChar w:fldCharType="end"/>
      </w:r>
    </w:p>
    <w:p>
      <w:pPr>
        <w:pStyle w:val="NormalWeb"/>
      </w:pPr>
      <w:r>
        <w:t>This section highlights the specific benefits provided to Students in Open Value Subscription for Education Solutions, School Agreement, Enrollment for Education Solutions, and Cloud Solution Provider programs.</w:t>
      </w:r>
    </w:p>
    <w:p>
      <w:pPr>
        <w:pStyle w:val="Heading3"/>
        <w:spacing w:before="150" w:beforeAutospacing="0"/>
        <w:rPr>
          <w:rFonts w:eastAsia="Times New Roman"/>
          <w:color w:val="0078D4"/>
          <w:sz w:val="26"/>
          <w:szCs w:val="26"/>
        </w:rPr>
      </w:pPr>
      <w:r>
        <w:rPr>
          <w:rFonts w:eastAsia="Times New Roman"/>
          <w:color w:val="0078D4"/>
          <w:sz w:val="26"/>
          <w:szCs w:val="26"/>
        </w:rPr>
        <w:t>Product Key and Software Distribution of Academic Program Benefits  </w:t>
      </w:r>
    </w:p>
    <w:p>
      <w:pPr>
        <w:pStyle w:val="NormalWeb"/>
        <w:spacing w:after="150"/>
      </w:pPr>
      <w:r>
        <w:t>Students and faculty may receive product keys or pins from non-Microsoft.com sites. If fraudulent behaviors are observed, Microsoft may, in its discretion, remove or block the distribution of the software, product keys, and pins until such fraudulent behavior has been mitigated or resolved.</w:t>
      </w:r>
    </w:p>
    <w:p>
      <w:pPr>
        <w:pStyle w:val="Heading3"/>
        <w:spacing w:before="150" w:beforeAutospacing="0"/>
        <w:rPr>
          <w:rFonts w:eastAsia="Times New Roman"/>
          <w:color w:val="0078D4"/>
          <w:sz w:val="26"/>
          <w:szCs w:val="26"/>
        </w:rPr>
      </w:pPr>
      <w:r>
        <w:rPr>
          <w:rFonts w:eastAsia="Times New Roman"/>
          <w:color w:val="0078D4"/>
          <w:sz w:val="26"/>
          <w:szCs w:val="26"/>
        </w:rPr>
        <w:t>Student Use Benefit Entitlements by Qualifying Program</w:t>
      </w:r>
    </w:p>
    <w:p>
      <w:pPr>
        <w:pStyle w:val="NormalWeb"/>
        <w:spacing w:after="150"/>
      </w:pPr>
      <w:r>
        <w:t xml:space="preserve">The following table defines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Benefits</w:t>
        </w:r>
      </w:hyperlink>
      <w:r>
        <w:t xml:space="preserve"> for specific products licensed through Academic programs. For each Product in the first column, the appropriate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 xml:space="preserve"> Product(s) are listed along with the number of licenses available for Students per paid Faculty/Staff,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w:t>
        </w:r>
      </w:hyperlink>
      <w:r>
        <w:t xml:space="preserve">, or </w:t>
      </w:r>
      <w:hyperlink w:anchor="_Toc22"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w:t>
        </w:r>
      </w:hyperlink>
      <w:r>
        <w:t xml:space="preserve">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20"/>
        <w:gridCol w:w="4681"/>
        <w:gridCol w:w="1176"/>
        <w:gridCol w:w="195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Student Use Benefit</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 Availability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Student Instances Provided per Faculty/Staff or Knowledge Worker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 and Windows Education Upgrade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(pre-2017)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A3/E3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Advanced Threat Analytics, Microsoft Intune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A5/E5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A3 Student Use Benefit, Microsoft Defender for Identity, Microsoft Entra ID P2, 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Student Use Benefit, Enterprise Mobility + Security A3 Student Use Benefit, Windows Education A3 Student Use Benefit</w:t>
            </w:r>
            <w:r>
              <w:rPr>
                <w:rFonts w:ascii="Segoe UI" w:eastAsia="Times New Roman" w:hAnsi="Segoe UI" w:cs="Segoe UI"/>
                <w:sz w:val="16"/>
                <w:szCs w:val="16"/>
                <w:vertAlign w:val="superscript"/>
              </w:rPr>
              <w:t>2</w:t>
            </w:r>
            <w:r>
              <w:rPr>
                <w:rFonts w:ascii="Segoe UI" w:eastAsia="Times New Roman" w:hAnsi="Segoe UI" w:cs="Segoe UI"/>
                <w:sz w:val="16"/>
                <w:szCs w:val="16"/>
              </w:rPr>
              <w:t>, 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Student Use Benefit, Enterprise Mobility + Security A5 Student Use Benefit, Windows Education A3 Student Use Benefit</w:t>
            </w:r>
            <w:r>
              <w:rPr>
                <w:rFonts w:ascii="Segoe UI" w:eastAsia="Times New Roman" w:hAnsi="Segoe UI" w:cs="Segoe UI"/>
                <w:sz w:val="16"/>
                <w:szCs w:val="16"/>
                <w:vertAlign w:val="superscript"/>
              </w:rPr>
              <w:t>2</w:t>
            </w:r>
            <w:r>
              <w:rPr>
                <w:rFonts w:ascii="Segoe UI" w:eastAsia="Times New Roman" w:hAnsi="Segoe UI" w:cs="Segoe UI"/>
                <w:sz w:val="16"/>
                <w:szCs w:val="16"/>
              </w:rPr>
              <w:t>, 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for Education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 or 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 Microsoft 365 Apps for enterprise, Office 365 Cloud App Security, Microsoft Bookings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Student Use Benefit, Microsoft Defender for Office 365 Plan 2, Microsoft Bookings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(pre-2017)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A5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E5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E5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Device)</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bl>
    <w:p>
      <w:pPr>
        <w:pStyle w:val="NormalWeb"/>
      </w:pPr>
      <w:r>
        <w:rPr>
          <w:i/>
          <w:iCs/>
          <w:vertAlign w:val="superscript"/>
        </w:rPr>
        <w:t>1</w:t>
      </w:r>
      <w:r>
        <w:rPr>
          <w:i/>
          <w:iCs/>
        </w:rPr>
        <w:t>Licenses acquired through the Student Use Benefit are not eligible for Software Assurance Benefits.</w:t>
      </w:r>
    </w:p>
    <w:p>
      <w:pPr>
        <w:pStyle w:val="NormalWeb"/>
        <w:spacing w:before="150"/>
      </w:pPr>
      <w:r>
        <w:rPr>
          <w:i/>
          <w:iCs/>
          <w:vertAlign w:val="superscript"/>
        </w:rPr>
        <w:t>2</w:t>
      </w:r>
      <w:r>
        <w:rPr>
          <w:i/>
          <w:iCs/>
        </w:rPr>
        <w:t>The Student Use Benefit includes rights to Windows E3/A3 only.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Desktop Operating System Limitations</w:t>
      </w:r>
    </w:p>
    <w:p>
      <w:pPr>
        <w:pStyle w:val="NormalWeb"/>
        <w:spacing w:after="150"/>
      </w:pPr>
      <w:r>
        <w:t xml:space="preserve">Licenses acquired through the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 xml:space="preserve"> include rights to access Azure Virtual Desktop virtual machines (refer to the Azure Virtual Desktop section of the </w:t>
      </w:r>
      <w:hyperlink r:id="rId27" w:history="1">
        <w:r>
          <w:rPr>
            <w:rStyle w:val="Hyperlink"/>
            <w:color w:val="505050"/>
          </w:rPr>
          <w:t>Microsoft Azure Services</w:t>
        </w:r>
      </w:hyperlink>
      <w:r>
        <w:t>), but do not include any further Windows virtualization rights.</w:t>
      </w:r>
    </w:p>
    <w:p>
      <w:pPr>
        <w:pStyle w:val="Heading3"/>
        <w:spacing w:before="150" w:beforeAutospacing="0"/>
        <w:rPr>
          <w:rFonts w:eastAsia="Times New Roman"/>
          <w:color w:val="0078D4"/>
          <w:sz w:val="26"/>
          <w:szCs w:val="26"/>
        </w:rPr>
      </w:pPr>
      <w:r>
        <w:rPr>
          <w:rFonts w:eastAsia="Times New Roman"/>
          <w:color w:val="0078D4"/>
          <w:sz w:val="26"/>
          <w:szCs w:val="26"/>
        </w:rPr>
        <w:t>Mixed Education Platform Product (EPP) Scenarios</w:t>
      </w:r>
    </w:p>
    <w:p>
      <w:pPr>
        <w:pStyle w:val="NormalWeb"/>
        <w:spacing w:after="150"/>
      </w:pPr>
      <w:r>
        <w:t xml:space="preserve">For Enrollment for Education Solutions (2018 version), a mix of Education Platform Products may be ordered to meet the organization-wide commitment as defined in the table below. The Qualifying Product for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Benefits</w:t>
        </w:r>
      </w:hyperlink>
      <w:r>
        <w:t xml:space="preserve"> entitlement will be determined based on the lower plan or edition of the EPPs ordered, as shown in the table below, and will be based on the total number of </w:t>
      </w:r>
      <w:hyperlink w:anchor="_Toc22"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covered.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67"/>
        <w:gridCol w:w="30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Mixed EPP Scenarios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Product for SUB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 and Microsoft 365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 and EMS 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and Windows Education 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 and Office 365 A3 and/or Office 365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and Office 365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w:t>
            </w:r>
          </w:p>
        </w:tc>
      </w:tr>
    </w:tbl>
    <w:p/>
    <w:p>
      <w:pPr>
        <w:pStyle w:val="Heading3"/>
        <w:spacing w:before="150" w:beforeAutospacing="0"/>
        <w:rPr>
          <w:rFonts w:eastAsia="Times New Roman"/>
          <w:color w:val="0078D4"/>
          <w:sz w:val="26"/>
          <w:szCs w:val="26"/>
        </w:rPr>
      </w:pPr>
      <w:r>
        <w:rPr>
          <w:rFonts w:eastAsia="Times New Roman"/>
          <w:color w:val="0078D4"/>
          <w:sz w:val="26"/>
          <w:szCs w:val="26"/>
        </w:rPr>
        <w:t>Enrollment for Education Solutions (Pre 2017 Version) Program Availability</w:t>
      </w:r>
    </w:p>
    <w:p>
      <w:pPr>
        <w:pStyle w:val="NormalWeb"/>
        <w:spacing w:after="150"/>
      </w:pPr>
      <w:r>
        <w:t>Qualifying products and requirements for the Enrollment for Education Solutions (pre 2017 versions) are defined in this section.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Qualification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760"/>
        <w:gridCol w:w="1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(Professional 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ducation Desktop" w:history="1">
              <w:r>
                <w:rPr>
                  <w:rStyle w:val="Hyperlink"/>
                  <w:rFonts w:ascii="Segoe UI" w:eastAsia="Times New Roman" w:hAnsi="Segoe UI" w:cs="Segoe UI"/>
                  <w:sz w:val="16"/>
                  <w:szCs w:val="16"/>
                </w:rPr>
                <w:t>ED</w:t>
              </w:r>
            </w:hyperlink>
            <w:r>
              <w:rPr>
                <w:rFonts w:ascii="Segoe UI" w:eastAsia="Times New Roman" w:hAnsi="Segoe UI" w:cs="Segoe UI"/>
                <w:sz w:val="16"/>
                <w:szCs w:val="16"/>
              </w:rPr>
              <w:t>,</w:t>
            </w:r>
            <w:hyperlink w:anchor="_Toc22" w:tooltip="Student Offering" w:history="1">
              <w:r>
                <w:rPr>
                  <w:rStyle w:val="Hyperlink"/>
                  <w:rFonts w:ascii="Segoe UI" w:eastAsia="Times New Roman" w:hAnsi="Segoe UI" w:cs="Segoe UI"/>
                  <w:sz w:val="16"/>
                  <w:szCs w:val="16"/>
                </w:rPr>
                <w:t>ST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ducation Desktop" w:history="1">
              <w:r>
                <w:rPr>
                  <w:rStyle w:val="Hyperlink"/>
                  <w:rFonts w:ascii="Segoe UI" w:eastAsia="Times New Roman" w:hAnsi="Segoe UI" w:cs="Segoe UI"/>
                  <w:sz w:val="16"/>
                  <w:szCs w:val="16"/>
                </w:rPr>
                <w:t>ED</w:t>
              </w:r>
            </w:hyperlink>
            <w:r>
              <w:rPr>
                <w:rFonts w:ascii="Segoe UI" w:eastAsia="Times New Roman" w:hAnsi="Segoe UI" w:cs="Segoe UI"/>
                <w:sz w:val="16"/>
                <w:szCs w:val="16"/>
              </w:rPr>
              <w:t>,</w:t>
            </w:r>
            <w:hyperlink w:anchor="_Toc22" w:tooltip="Student Offering" w:history="1">
              <w:r>
                <w:rPr>
                  <w:rStyle w:val="Hyperlink"/>
                  <w:rFonts w:ascii="Segoe UI" w:eastAsia="Times New Roman" w:hAnsi="Segoe UI" w:cs="Segoe UI"/>
                  <w:sz w:val="16"/>
                  <w:szCs w:val="16"/>
                </w:rPr>
                <w:t>ST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ducation Desktop" w:history="1">
              <w:r>
                <w:rPr>
                  <w:rStyle w:val="Hyperlink"/>
                  <w:rFonts w:ascii="Segoe UI" w:eastAsia="Times New Roman" w:hAnsi="Segoe UI" w:cs="Segoe UI"/>
                  <w:sz w:val="16"/>
                  <w:szCs w:val="16"/>
                </w:rPr>
                <w:t>ED</w:t>
              </w:r>
            </w:hyperlink>
            <w:r>
              <w:rPr>
                <w:rFonts w:ascii="Segoe UI" w:eastAsia="Times New Roman" w:hAnsi="Segoe UI" w:cs="Segoe UI"/>
                <w:sz w:val="16"/>
                <w:szCs w:val="16"/>
              </w:rPr>
              <w:t>,</w:t>
            </w:r>
            <w:hyperlink w:anchor="_Toc22" w:tooltip="Student Offering" w:history="1">
              <w:r>
                <w:rPr>
                  <w:rStyle w:val="Hyperlink"/>
                  <w:rFonts w:ascii="Segoe UI" w:eastAsia="Times New Roman" w:hAnsi="Segoe UI" w:cs="Segoe UI"/>
                  <w:sz w:val="16"/>
                  <w:szCs w:val="16"/>
                </w:rPr>
                <w:t>ST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 2016</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ducation Desktop" w:history="1">
              <w:r>
                <w:rPr>
                  <w:rStyle w:val="Hyperlink"/>
                  <w:rFonts w:ascii="Segoe UI" w:eastAsia="Times New Roman" w:hAnsi="Segoe UI" w:cs="Segoe UI"/>
                  <w:sz w:val="16"/>
                  <w:szCs w:val="16"/>
                </w:rPr>
                <w:t>ED</w:t>
              </w:r>
            </w:hyperlink>
            <w:r>
              <w:rPr>
                <w:rFonts w:ascii="Segoe UI" w:eastAsia="Times New Roman" w:hAnsi="Segoe UI" w:cs="Segoe UI"/>
                <w:sz w:val="16"/>
                <w:szCs w:val="16"/>
              </w:rPr>
              <w:t>,</w:t>
            </w:r>
            <w:hyperlink w:anchor="_Toc22" w:tooltip="Student Offering" w:history="1">
              <w:r>
                <w:rPr>
                  <w:rStyle w:val="Hyperlink"/>
                  <w:rFonts w:ascii="Segoe UI" w:eastAsia="Times New Roman" w:hAnsi="Segoe UI" w:cs="Segoe UI"/>
                  <w:sz w:val="16"/>
                  <w:szCs w:val="16"/>
                </w:rPr>
                <w:t>ST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Upgrade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ducation Desktop" w:history="1">
              <w:r>
                <w:rPr>
                  <w:rStyle w:val="Hyperlink"/>
                  <w:rFonts w:ascii="Segoe UI" w:eastAsia="Times New Roman" w:hAnsi="Segoe UI" w:cs="Segoe UI"/>
                  <w:sz w:val="16"/>
                  <w:szCs w:val="16"/>
                </w:rPr>
                <w:t>ED</w:t>
              </w:r>
            </w:hyperlink>
            <w:r>
              <w:rPr>
                <w:rFonts w:ascii="Segoe UI" w:eastAsia="Times New Roman" w:hAnsi="Segoe UI" w:cs="Segoe UI"/>
                <w:sz w:val="16"/>
                <w:szCs w:val="16"/>
              </w:rPr>
              <w:t>,</w:t>
            </w:r>
            <w:hyperlink w:anchor="_Toc22" w:tooltip="Student Offering" w:history="1">
              <w:r>
                <w:rPr>
                  <w:rStyle w:val="Hyperlink"/>
                  <w:rFonts w:ascii="Segoe UI" w:eastAsia="Times New Roman" w:hAnsi="Segoe UI" w:cs="Segoe UI"/>
                  <w:sz w:val="16"/>
                  <w:szCs w:val="16"/>
                </w:rPr>
                <w:t>ST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E5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ducation Desktop" w:history="1">
              <w:r>
                <w:rPr>
                  <w:rStyle w:val="Hyperlink"/>
                  <w:rFonts w:ascii="Segoe UI" w:eastAsia="Times New Roman" w:hAnsi="Segoe UI" w:cs="Segoe UI"/>
                  <w:sz w:val="16"/>
                  <w:szCs w:val="16"/>
                </w:rPr>
                <w:t>ED</w:t>
              </w:r>
            </w:hyperlink>
            <w:r>
              <w:rPr>
                <w:rFonts w:ascii="Segoe UI" w:eastAsia="Times New Roman" w:hAnsi="Segoe UI" w:cs="Segoe UI"/>
                <w:sz w:val="16"/>
                <w:szCs w:val="16"/>
              </w:rPr>
              <w:t>,</w:t>
            </w:r>
            <w:hyperlink w:anchor="_Toc22" w:tooltip="Student Offering" w:history="1">
              <w:r>
                <w:rPr>
                  <w:rStyle w:val="Hyperlink"/>
                  <w:rFonts w:ascii="Segoe UI" w:eastAsia="Times New Roman" w:hAnsi="Segoe UI" w:cs="Segoe UI"/>
                  <w:sz w:val="16"/>
                  <w:szCs w:val="16"/>
                </w:rPr>
                <w:t>ST</w:t>
              </w:r>
            </w:hyperlink>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Requirements</w:t>
      </w:r>
    </w:p>
    <w:p>
      <w:pPr>
        <w:numPr>
          <w:ilvl w:val="0"/>
          <w:numId w:val="1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Enrollment for Education Solutions (pre-2017 versions) Desktop Platform Products may be replaced by platform Online Services only at anniversary as described in the Qualifying Online Services Pre-Requisite table.</w:t>
      </w:r>
    </w:p>
    <w:p>
      <w:pPr>
        <w:numPr>
          <w:ilvl w:val="0"/>
          <w:numId w:val="1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Such platform Online Services licensed by Institution may not be less than the number of Desktop Platform Products being replaced.</w:t>
      </w:r>
    </w:p>
    <w:p>
      <w:pPr>
        <w:numPr>
          <w:ilvl w:val="0"/>
          <w:numId w:val="1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Platform Online Services may be added at any time during the enrollment term.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Online Services Pre-Requisite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6"/>
        <w:gridCol w:w="41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Platform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Office Professional Plus 2016, </w:t>
            </w:r>
            <w:r>
              <w:rPr>
                <w:rStyle w:val="Strong"/>
              </w:rPr>
              <w:t>and</w:t>
            </w:r>
          </w:p>
          <w:p>
            <w:pPr>
              <w:pStyle w:val="NormalWeb"/>
              <w:spacing w:before="150"/>
            </w:pPr>
            <w:r>
              <w:t xml:space="preserve">Desktop Core CAL or ECAL Suite (Device), </w:t>
            </w:r>
            <w:r>
              <w:rPr>
                <w:rStyle w:val="Strong"/>
              </w:rPr>
              <w:t>and</w:t>
            </w:r>
          </w:p>
          <w:p>
            <w:pPr>
              <w:pStyle w:val="NormalWeb"/>
              <w:spacing w:before="150"/>
            </w:pPr>
            <w:r>
              <w:t>Windows Education E5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A3/A5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Office Professional Plus 2016 </w:t>
            </w:r>
            <w:r>
              <w:rPr>
                <w:rStyle w:val="Strong"/>
              </w:rPr>
              <w:t>and</w:t>
            </w:r>
          </w:p>
          <w:p>
            <w:pPr>
              <w:pStyle w:val="NormalWeb"/>
              <w:spacing w:before="150"/>
            </w:pPr>
            <w:r>
              <w:t>Core CAL or ECAL Suite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Office 365 A3/A5 (User SL) </w:t>
            </w:r>
            <w:r>
              <w:rPr>
                <w:rStyle w:val="Strong"/>
              </w:rPr>
              <w:t>and</w:t>
            </w:r>
          </w:p>
          <w:p>
            <w:pPr>
              <w:pStyle w:val="NormalWeb"/>
              <w:spacing w:before="150"/>
            </w:pPr>
            <w:r>
              <w:t>EMS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or ECAL Suite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 2016</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r>
    </w:tbl>
    <w:p>
      <w:pPr>
        <w:rPr>
          <w:rFonts w:ascii="Segoe UI" w:eastAsia="Times New Roman" w:hAnsi="Segoe UI" w:cs="Segoe UI"/>
          <w:b w:val="0"/>
          <w:bCs w:val="0"/>
          <w:i/>
          <w:iCs/>
          <w:color w:val="0067C3"/>
          <w:sz w:val="20"/>
          <w:szCs w:val="20"/>
        </w:rPr>
      </w:pPr>
    </w:p>
    <w:p w:rsidR="00ED5159" w:rsidP="00ED5159">
      <w:pPr>
        <w:pStyle w:val="ProductList-Offering2Heading"/>
        <w:outlineLvl w:val="2"/>
      </w:pPr>
      <w:r>
        <w:t>Purchasing &amp; Renewing Software Assurance</w:t>
      </w:r>
      <w:r>
        <w:fldChar w:fldCharType="begin"/>
      </w:r>
      <w:r>
        <w:instrText xml:space="preserve"> TC </w:instrText>
      </w:r>
      <w:bookmarkStart w:id="97" w:name="_Toc256000083"/>
      <w:r>
        <w:instrText>"</w:instrText>
      </w:r>
      <w:r>
        <w:instrText>Purchasing &amp; Renewing Software Assurance</w:instrText>
      </w:r>
      <w:r>
        <w:instrText>"</w:instrText>
      </w:r>
      <w:bookmarkEnd w:id="97"/>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Software Assurance</w:t>
      </w:r>
    </w:p>
    <w:p>
      <w:pPr>
        <w:pStyle w:val="NormalWeb"/>
        <w:spacing w:after="150"/>
      </w:pPr>
      <w:r>
        <w:t>There are three different levels of commitment Customer may select when purchasing SA, which may vary by program. Customer can:  </w:t>
      </w:r>
    </w:p>
    <w:p>
      <w:pPr>
        <w:numPr>
          <w:ilvl w:val="0"/>
          <w:numId w:val="1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platform products.  </w:t>
      </w:r>
    </w:p>
    <w:p>
      <w:pPr>
        <w:numPr>
          <w:ilvl w:val="0"/>
          <w:numId w:val="1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purchases under a particular Product pool (Applications, Systems or Servers), referred to as Software Assurance Membership (SAM).  </w:t>
      </w:r>
    </w:p>
    <w:p>
      <w:pPr>
        <w:numPr>
          <w:ilvl w:val="0"/>
          <w:numId w:val="1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Purchase SA on individual Products without making any commitment to expanding SA to other Products.</w:t>
      </w:r>
    </w:p>
    <w:p>
      <w:pPr>
        <w:pStyle w:val="NormalWeb"/>
        <w:spacing w:before="150"/>
      </w:pPr>
      <w:r>
        <w:t>SA must be acquired at the time of acquiring the License or upon renewal of an existing SA term. Unless otherwise stated, only licenses for the latest version of a Product are eligible for SA. In the case of a transfer of perpetual Licenses, the transferee may acquire SA for such transferred Licenses within 30 days from the date of transfer and provided that the transferor maintained active SA for the Licenses up until the date of transfer.</w:t>
      </w:r>
    </w:p>
    <w:p>
      <w:pPr>
        <w:pStyle w:val="NormalWeb"/>
        <w:spacing w:before="150"/>
      </w:pPr>
      <w:r>
        <w:t>Customers may have the option to acquire SA for certain licenses purchased from the Retail channel (full packaged product) or from an Original Equipment Manufacturer (OEM), within 90 days from the date of purchase as described in the table below. Under Open Value, this option applies only to non-Organization–wide/ Company-wide products. Under Enterprise Agreements, it applies only to Additional Products. Customers who acquire SA for OEM or retail licenses have the option of installing and using the Volume Licensing software for the current version at any time.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31"/>
        <w:gridCol w:w="1051"/>
        <w:gridCol w:w="1005"/>
        <w:gridCol w:w="61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Full Packaged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OEM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only as outlined below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Applies to Open License, MPSA, Select, Select Plus and non Organization wide under Open Value and Additional Products under Enterprise Agreements. It does not apply to Enterprise Products under Open Value and Enterprise Agreements.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Customers who acquire Microsoft Office Professional 2016 or 2019 from an OEM may acquire SA for Microsoft Office Standard in the Open License programs, Select and Select Plus programs, and non Company-wide under Open Value within 90 days from the date of OEM purchase.</w:t>
      </w:r>
    </w:p>
    <w:p>
      <w:pPr>
        <w:pStyle w:val="NormalWeb"/>
        <w:spacing w:before="150"/>
      </w:pPr>
      <w:r>
        <w:t>Customers who acquire SQL Server 2017 from an OEM prior to March 31, 2020 may acquire Software Assurance for SQL Server within 90 days of the OEM purchase.</w:t>
      </w:r>
    </w:p>
    <w:p>
      <w:pPr>
        <w:pStyle w:val="NormalWeb"/>
        <w:spacing w:before="150"/>
      </w:pPr>
      <w:r>
        <w:t>Enterprise Agreement customers who transitioned to an Online Service or who purchased a From SA subscription License in lieu of renewing SA may reattach SA to a License at anniversary or renewal without purchasing a new License. SA must be ordered for that License for the remainder of the enrollment term. SA coverage may not exceed the quantity of perpetual Licenses for which SA was current at the time of any prior transition or renewal and may not be reattached to transferred Licenses.</w:t>
      </w:r>
    </w:p>
    <w:p>
      <w:pPr>
        <w:pStyle w:val="Heading3"/>
        <w:spacing w:before="150" w:beforeAutospacing="0"/>
        <w:rPr>
          <w:rFonts w:eastAsia="Times New Roman"/>
          <w:color w:val="0078D4"/>
          <w:sz w:val="26"/>
          <w:szCs w:val="26"/>
        </w:rPr>
      </w:pPr>
      <w:r>
        <w:rPr>
          <w:rFonts w:eastAsia="Times New Roman"/>
          <w:color w:val="0078D4"/>
          <w:sz w:val="26"/>
          <w:szCs w:val="26"/>
        </w:rPr>
        <w:t>Renewing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under the Same Agreement</w:t>
      </w:r>
    </w:p>
    <w:p>
      <w:pPr>
        <w:pStyle w:val="NormalWeb"/>
        <w:spacing w:after="150"/>
      </w:pPr>
      <w:r>
        <w:t>Terms for renewing SA under the same program agreement by which it was initially ordered are contained Customer's volume licensing agreements. Customers may renew SA without the need to simultaneously order a License as long as the SA coverage has not expired. In addition, the following terms apply to specific programs as noted:</w:t>
      </w:r>
    </w:p>
    <w:p>
      <w:pPr>
        <w:pStyle w:val="Heading5"/>
        <w:rPr>
          <w:rFonts w:eastAsia="Times New Roman"/>
        </w:rPr>
      </w:pPr>
      <w:r>
        <w:rPr>
          <w:rStyle w:val="Strong"/>
          <w:rFonts w:eastAsia="Times New Roman"/>
        </w:rPr>
        <w:t>Open License</w:t>
      </w:r>
    </w:p>
    <w:p>
      <w:pPr>
        <w:pStyle w:val="NormalWeb"/>
      </w:pPr>
      <w:r>
        <w:t>SA coverage ordered under an Open License authorization number ends upon expiration of that number. To renew, Customer must submit a renewal order for SA within 90 days after their authorization number expiration date. </w:t>
      </w:r>
    </w:p>
    <w:p>
      <w:pPr>
        <w:pStyle w:val="Heading5"/>
        <w:rPr>
          <w:rFonts w:eastAsia="Times New Roman"/>
        </w:rPr>
      </w:pPr>
      <w:r>
        <w:rPr>
          <w:rStyle w:val="Strong"/>
          <w:rFonts w:eastAsia="Times New Roman"/>
        </w:rPr>
        <w:t>Enterprise Agreement</w:t>
      </w:r>
    </w:p>
    <w:p>
      <w:pPr>
        <w:pStyle w:val="NormalWeb"/>
      </w:pPr>
      <w:r>
        <w:t>To renew SA coverage under the same enrollment under an Enterprise Agreement, Customer must sign a new 2011 or later Enterprise Enrollment and Agreement (if they have not already), and must submit a renewal order for SA (as applicable) for 1) all Enterprise Products, Application Platform Products, Core Infrastructure Products and Additional Products they wish to renew and 2) any Online Services, accounting for transitions (if applicable).</w:t>
      </w:r>
    </w:p>
    <w:p>
      <w:pPr>
        <w:pStyle w:val="Heading5"/>
        <w:rPr>
          <w:rFonts w:eastAsia="Times New Roman"/>
        </w:rPr>
      </w:pPr>
      <w:r>
        <w:rPr>
          <w:rStyle w:val="Strong"/>
          <w:rFonts w:eastAsia="Times New Roman"/>
        </w:rPr>
        <w:t>Enrollment for Application Platform</w:t>
      </w:r>
    </w:p>
    <w:p>
      <w:pPr>
        <w:pStyle w:val="NormalWeb"/>
      </w:pPr>
      <w:r>
        <w:t>EAP customers who have previously deferred Licenses via SA prior L SKUs must buyout their Licenses before they can renew SA.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from a Separate Agreement</w:t>
      </w:r>
    </w:p>
    <w:p>
      <w:pPr>
        <w:pStyle w:val="NormalWeb"/>
        <w:spacing w:after="150"/>
      </w:pPr>
      <w:r>
        <w:t>Customer may renew SA for any Product if Customer has obtained a perpetual License and SA for that Product under a previous agreement in the same Volume Licensing Program, provided that 1) Customer's new agreement enrollment, or order (for MPSA) must be effective no later than the day following the date of expiration of the previous agreement or enrollment, and 2) the SA renewal order must be placed prior to the expiration of prior SA coverage, unless such coverage is being renewed from an Open License Agreement. In that case, Customers have 90 days from the expiration to place the order.</w:t>
      </w:r>
    </w:p>
    <w:p>
      <w:pPr>
        <w:pStyle w:val="NormalWeb"/>
        <w:spacing w:before="150"/>
      </w:pPr>
      <w:r>
        <w:t>Customer may also renew SA from one Volume Licensing program into a different Volume Licensing Program. For Enterprise Products originally purchased under a program with a company-wide coverage requirement, this exception applies only if the customer is renewing SA into the MPSA or a program with a company-wide coverage requirement for Enterprise Products. For Agreement versions 2008 and prior, as long as coverage is renewed within 30 days (90 days if renewing from Open License program), customers will be deemed to have SA coverage during any period of time between when their expiring SA coverage lapsed and when the new coverage begins.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Software Assurance Coverage for Client Access Licenses (CALs) and Client Management Licenses (MLs)</w:t>
      </w:r>
    </w:p>
    <w:p>
      <w:pPr>
        <w:pStyle w:val="Heading5"/>
        <w:rPr>
          <w:rFonts w:eastAsia="Times New Roman"/>
        </w:rPr>
      </w:pPr>
      <w:r>
        <w:rPr>
          <w:rStyle w:val="Strong"/>
          <w:rFonts w:eastAsia="Times New Roman"/>
        </w:rPr>
        <w:t>Transitioning between User and Device CALs  </w:t>
      </w:r>
    </w:p>
    <w:p>
      <w:pPr>
        <w:pStyle w:val="NormalWeb"/>
      </w:pPr>
      <w:r>
        <w:t>Customers renewing SA for CALs can switch between User and Device. This transition does not change the CAL edition (i.e. Standard to Enterprise).</w:t>
      </w:r>
    </w:p>
    <w:p>
      <w:pPr>
        <w:pStyle w:val="Heading5"/>
        <w:rPr>
          <w:rFonts w:eastAsia="Times New Roman"/>
        </w:rPr>
      </w:pPr>
      <w:r>
        <w:rPr>
          <w:rStyle w:val="Strong"/>
          <w:rFonts w:eastAsia="Times New Roman"/>
        </w:rPr>
        <w:t>Transitioning between User and OSE Client MLs</w:t>
      </w:r>
    </w:p>
    <w:p>
      <w:pPr>
        <w:pStyle w:val="NormalWeb"/>
      </w:pPr>
      <w:r>
        <w:t>Customers renewing SA for client MLs can switch between User and OSE.</w:t>
      </w:r>
    </w:p>
    <w:p w:rsidR="00ED5159" w:rsidP="00ED5159">
      <w:pPr>
        <w:pStyle w:val="ProductList-Offering2Heading"/>
        <w:outlineLvl w:val="2"/>
      </w:pPr>
      <w:r>
        <w:t>Microsoft Security portfolio Product Terms mapping</w:t>
      </w:r>
      <w:r>
        <w:fldChar w:fldCharType="begin"/>
      </w:r>
      <w:r>
        <w:instrText xml:space="preserve"> TC </w:instrText>
      </w:r>
      <w:bookmarkStart w:id="98" w:name="_Toc256000084"/>
      <w:r>
        <w:instrText>"</w:instrText>
      </w:r>
      <w:r>
        <w:instrText>Microsoft Security portfolio Product Terms mapping</w:instrText>
      </w:r>
      <w:r>
        <w:instrText>"</w:instrText>
      </w:r>
      <w:bookmarkEnd w:id="98"/>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2"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3"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41"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4"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9"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5"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6"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7"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7"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7"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8"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8"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239"/>
      <w:footerReference w:type="default" r:id="rId240"/>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EES)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EES)</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EES)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EES)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4</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EES)</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226</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15297D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1A56C5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0500144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074E7EF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9D8EAD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A0CB14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AAA50D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C4B0C3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E45C64A"/>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E8D3EE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EB38D8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F7C571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1105D9E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12AA830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16F6549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176BD50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84A22D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195F0C2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19D3549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A27502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1A96E19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1AE60B5E"/>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1B09D905"/>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1C4FD58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1">
    <w:nsid w:val="1D354E44"/>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FEE412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20156B1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21AF59D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23B314D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4D1672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5A6E80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26E2246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26F56531"/>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1">
    <w:nsid w:val="27014D6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270BF46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29B70E9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2A8495E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2B85071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7">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8">
    <w:nsid w:val="2E80BEF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2F55C762"/>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3024B98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0DD8F4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33ADA82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341C8DC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7B7A0E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6">
    <w:nsid w:val="3A7EB6D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AA074D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3B6E8E1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3B8039F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3B8F408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3CBBEDB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3">
    <w:nsid w:val="3D86241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3E90D63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3FFB7B2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41A83EF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424D2A3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42D028B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43DE06D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4490D1F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4494A7A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45FB76F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4">
    <w:nsid w:val="495957F1"/>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4A6F23E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4A8324A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8">
    <w:nsid w:val="4BE9CC1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4C62723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1">
    <w:nsid w:val="4D8727B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4DBB816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4">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5">
    <w:nsid w:val="51CB851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28489D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532B51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538066D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0">
    <w:nsid w:val="543A568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54B7B82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557045F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557D7F9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557FC0B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562547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5828A2F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588016F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58DE27E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5BA4126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1">
    <w:nsid w:val="5D1041D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5D1B193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5E60BB2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5">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6">
    <w:nsid w:val="646E9C6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64EE935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65145CF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65433B2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65E2D91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67C437A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67EF5B6E"/>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6EC23DA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71C786BA"/>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384ABC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3B23A4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18">
    <w:nsid w:val="778CE28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77D750E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783CC88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78FC12A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A31E89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7BB0A4B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BB1B8A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7CA5DD1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D530A5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8">
    <w:nsid w:val="7FB4FF7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83"/>
  </w:num>
  <w:num w:numId="2">
    <w:abstractNumId w:val="77"/>
  </w:num>
  <w:num w:numId="3">
    <w:abstractNumId w:val="40"/>
  </w:num>
  <w:num w:numId="4">
    <w:abstractNumId w:val="46"/>
  </w:num>
  <w:num w:numId="5">
    <w:abstractNumId w:val="84"/>
  </w:num>
  <w:num w:numId="6">
    <w:abstractNumId w:val="105"/>
  </w:num>
  <w:num w:numId="7">
    <w:abstractNumId w:val="117"/>
  </w:num>
  <w:num w:numId="8">
    <w:abstractNumId w:val="127"/>
  </w:num>
  <w:num w:numId="9">
    <w:abstractNumId w:val="89"/>
  </w:num>
  <w:num w:numId="10">
    <w:abstractNumId w:val="55"/>
  </w:num>
  <w:num w:numId="11">
    <w:abstractNumId w:val="47"/>
  </w:num>
  <w:num w:numId="12">
    <w:abstractNumId w:val="8"/>
  </w:num>
  <w:num w:numId="13">
    <w:abstractNumId w:val="73"/>
  </w:num>
  <w:num w:numId="14">
    <w:abstractNumId w:val="62"/>
  </w:num>
  <w:num w:numId="15">
    <w:abstractNumId w:val="6"/>
  </w:num>
  <w:num w:numId="16">
    <w:abstractNumId w:val="100"/>
  </w:num>
  <w:num w:numId="17">
    <w:abstractNumId w:val="30"/>
  </w:num>
  <w:num w:numId="18">
    <w:abstractNumId w:val="80"/>
  </w:num>
  <w:num w:numId="19">
    <w:abstractNumId w:val="104"/>
  </w:num>
  <w:num w:numId="20">
    <w:abstractNumId w:val="0"/>
  </w:num>
  <w:num w:numId="21">
    <w:abstractNumId w:val="1"/>
  </w:num>
  <w:num w:numId="22">
    <w:abstractNumId w:val="2"/>
  </w:num>
  <w:num w:numId="23">
    <w:abstractNumId w:val="43"/>
  </w:num>
  <w:num w:numId="24">
    <w:abstractNumId w:val="48"/>
  </w:num>
  <w:num w:numId="25">
    <w:abstractNumId w:val="18"/>
  </w:num>
  <w:num w:numId="26">
    <w:abstractNumId w:val="92"/>
  </w:num>
  <w:num w:numId="27">
    <w:abstractNumId w:val="75"/>
  </w:num>
  <w:num w:numId="28">
    <w:abstractNumId w:val="42"/>
  </w:num>
  <w:num w:numId="29">
    <w:abstractNumId w:val="23"/>
  </w:num>
  <w:num w:numId="30">
    <w:abstractNumId w:val="113"/>
  </w:num>
  <w:num w:numId="31">
    <w:abstractNumId w:val="78"/>
  </w:num>
  <w:num w:numId="32">
    <w:abstractNumId w:val="120"/>
  </w:num>
  <w:num w:numId="33">
    <w:abstractNumId w:val="11"/>
  </w:num>
  <w:num w:numId="34">
    <w:abstractNumId w:val="98"/>
  </w:num>
  <w:num w:numId="35">
    <w:abstractNumId w:val="74"/>
  </w:num>
  <w:num w:numId="36">
    <w:abstractNumId w:val="3"/>
  </w:num>
  <w:num w:numId="37">
    <w:abstractNumId w:val="14"/>
  </w:num>
  <w:num w:numId="38">
    <w:abstractNumId w:val="116"/>
  </w:num>
  <w:num w:numId="39">
    <w:abstractNumId w:val="107"/>
  </w:num>
  <w:num w:numId="40">
    <w:abstractNumId w:val="10"/>
  </w:num>
  <w:num w:numId="41">
    <w:abstractNumId w:val="27"/>
  </w:num>
  <w:num w:numId="42">
    <w:abstractNumId w:val="31"/>
  </w:num>
  <w:num w:numId="43">
    <w:abstractNumId w:val="63"/>
  </w:num>
  <w:num w:numId="44">
    <w:abstractNumId w:val="49"/>
  </w:num>
  <w:num w:numId="45">
    <w:abstractNumId w:val="106"/>
  </w:num>
  <w:num w:numId="46">
    <w:abstractNumId w:val="39"/>
  </w:num>
  <w:num w:numId="47">
    <w:abstractNumId w:val="5"/>
  </w:num>
  <w:num w:numId="48">
    <w:abstractNumId w:val="28"/>
  </w:num>
  <w:num w:numId="49">
    <w:abstractNumId w:val="112"/>
  </w:num>
  <w:num w:numId="50">
    <w:abstractNumId w:val="20"/>
  </w:num>
  <w:num w:numId="51">
    <w:abstractNumId w:val="126"/>
  </w:num>
  <w:num w:numId="52">
    <w:abstractNumId w:val="86"/>
  </w:num>
  <w:num w:numId="53">
    <w:abstractNumId w:val="16"/>
  </w:num>
  <w:num w:numId="54">
    <w:abstractNumId w:val="91"/>
  </w:num>
  <w:num w:numId="55">
    <w:abstractNumId w:val="97"/>
  </w:num>
  <w:num w:numId="56">
    <w:abstractNumId w:val="34"/>
  </w:num>
  <w:num w:numId="57">
    <w:abstractNumId w:val="103"/>
  </w:num>
  <w:num w:numId="58">
    <w:abstractNumId w:val="68"/>
  </w:num>
  <w:num w:numId="59">
    <w:abstractNumId w:val="15"/>
  </w:num>
  <w:num w:numId="60">
    <w:abstractNumId w:val="88"/>
  </w:num>
  <w:num w:numId="61">
    <w:abstractNumId w:val="72"/>
  </w:num>
  <w:num w:numId="62">
    <w:abstractNumId w:val="121"/>
  </w:num>
  <w:num w:numId="63">
    <w:abstractNumId w:val="41"/>
  </w:num>
  <w:num w:numId="64">
    <w:abstractNumId w:val="52"/>
  </w:num>
  <w:num w:numId="65">
    <w:abstractNumId w:val="59"/>
  </w:num>
  <w:num w:numId="66">
    <w:abstractNumId w:val="33"/>
  </w:num>
  <w:num w:numId="67">
    <w:abstractNumId w:val="13"/>
  </w:num>
  <w:num w:numId="68">
    <w:abstractNumId w:val="4"/>
  </w:num>
  <w:num w:numId="69">
    <w:abstractNumId w:val="114"/>
  </w:num>
  <w:num w:numId="70">
    <w:abstractNumId w:val="108"/>
  </w:num>
  <w:num w:numId="71">
    <w:abstractNumId w:val="87"/>
  </w:num>
  <w:num w:numId="72">
    <w:abstractNumId w:val="81"/>
  </w:num>
  <w:num w:numId="73">
    <w:abstractNumId w:val="9"/>
  </w:num>
  <w:num w:numId="74">
    <w:abstractNumId w:val="119"/>
  </w:num>
  <w:num w:numId="75">
    <w:abstractNumId w:val="56"/>
  </w:num>
  <w:num w:numId="76">
    <w:abstractNumId w:val="24"/>
  </w:num>
  <w:num w:numId="77">
    <w:abstractNumId w:val="71"/>
  </w:num>
  <w:num w:numId="78">
    <w:abstractNumId w:val="54"/>
  </w:num>
  <w:num w:numId="79">
    <w:abstractNumId w:val="29"/>
  </w:num>
  <w:num w:numId="80">
    <w:abstractNumId w:val="58"/>
  </w:num>
  <w:num w:numId="81">
    <w:abstractNumId w:val="124"/>
  </w:num>
  <w:num w:numId="82">
    <w:abstractNumId w:val="45"/>
  </w:num>
  <w:num w:numId="83">
    <w:abstractNumId w:val="37"/>
  </w:num>
  <w:num w:numId="84">
    <w:abstractNumId w:val="17"/>
  </w:num>
  <w:num w:numId="85">
    <w:abstractNumId w:val="66"/>
  </w:num>
  <w:num w:numId="86">
    <w:abstractNumId w:val="115"/>
  </w:num>
  <w:num w:numId="87">
    <w:abstractNumId w:val="90"/>
  </w:num>
  <w:num w:numId="88">
    <w:abstractNumId w:val="22"/>
  </w:num>
  <w:num w:numId="89">
    <w:abstractNumId w:val="122"/>
  </w:num>
  <w:num w:numId="90">
    <w:abstractNumId w:val="82"/>
  </w:num>
  <w:num w:numId="91">
    <w:abstractNumId w:val="93"/>
  </w:num>
  <w:num w:numId="92">
    <w:abstractNumId w:val="118"/>
  </w:num>
  <w:num w:numId="93">
    <w:abstractNumId w:val="61"/>
  </w:num>
  <w:num w:numId="94">
    <w:abstractNumId w:val="26"/>
  </w:num>
  <w:num w:numId="95">
    <w:abstractNumId w:val="21"/>
  </w:num>
  <w:num w:numId="96">
    <w:abstractNumId w:val="38"/>
  </w:num>
  <w:num w:numId="97">
    <w:abstractNumId w:val="76"/>
  </w:num>
  <w:num w:numId="98">
    <w:abstractNumId w:val="50"/>
  </w:num>
  <w:num w:numId="99">
    <w:abstractNumId w:val="111"/>
  </w:num>
  <w:num w:numId="100">
    <w:abstractNumId w:val="25"/>
  </w:num>
  <w:num w:numId="101">
    <w:abstractNumId w:val="102"/>
  </w:num>
  <w:num w:numId="102">
    <w:abstractNumId w:val="35"/>
  </w:num>
  <w:num w:numId="103">
    <w:abstractNumId w:val="110"/>
  </w:num>
  <w:num w:numId="104">
    <w:abstractNumId w:val="69"/>
  </w:num>
  <w:num w:numId="105">
    <w:abstractNumId w:val="53"/>
  </w:num>
  <w:num w:numId="106">
    <w:abstractNumId w:val="95"/>
  </w:num>
  <w:num w:numId="107">
    <w:abstractNumId w:val="96"/>
  </w:num>
  <w:num w:numId="108">
    <w:abstractNumId w:val="44"/>
  </w:num>
  <w:num w:numId="109">
    <w:abstractNumId w:val="65"/>
  </w:num>
  <w:num w:numId="110">
    <w:abstractNumId w:val="7"/>
  </w:num>
  <w:num w:numId="111">
    <w:abstractNumId w:val="19"/>
  </w:num>
  <w:num w:numId="112">
    <w:abstractNumId w:val="36"/>
  </w:num>
  <w:num w:numId="113">
    <w:abstractNumId w:val="99"/>
  </w:num>
  <w:num w:numId="114">
    <w:abstractNumId w:val="70"/>
  </w:num>
  <w:num w:numId="115">
    <w:abstractNumId w:val="67"/>
  </w:num>
  <w:num w:numId="116">
    <w:abstractNumId w:val="51"/>
  </w:num>
  <w:num w:numId="117">
    <w:abstractNumId w:val="125"/>
  </w:num>
  <w:num w:numId="118">
    <w:abstractNumId w:val="94"/>
  </w:num>
  <w:num w:numId="119">
    <w:abstractNumId w:val="101"/>
  </w:num>
  <w:num w:numId="120">
    <w:abstractNumId w:val="57"/>
  </w:num>
  <w:num w:numId="121">
    <w:abstractNumId w:val="32"/>
  </w:num>
  <w:num w:numId="122">
    <w:abstractNumId w:val="123"/>
  </w:num>
  <w:num w:numId="123">
    <w:abstractNumId w:val="12"/>
  </w:num>
  <w:num w:numId="124">
    <w:abstractNumId w:val="85"/>
  </w:num>
  <w:num w:numId="125">
    <w:abstractNumId w:val="64"/>
  </w:num>
  <w:num w:numId="126">
    <w:abstractNumId w:val="60"/>
  </w:num>
  <w:num w:numId="127">
    <w:abstractNumId w:val="79"/>
  </w:num>
  <w:num w:numId="128">
    <w:abstractNumId w:val="109"/>
  </w:num>
  <w:num w:numId="129">
    <w:abstractNumId w:val="12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CALandMLEquivalencyLicense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SoftwareAssuranceBenefits/all" TargetMode="External" /><Relationship Id="rId105" Type="http://schemas.openxmlformats.org/officeDocument/2006/relationships/hyperlink" Target="http://go.microsoft.com/?linkid=9839207" TargetMode="External" /><Relationship Id="rId106" Type="http://schemas.openxmlformats.org/officeDocument/2006/relationships/hyperlink" Target="https://licensingterms.azurewebsites.net/licensing/terms/product/StudentUseBenefitsandAcademicPrograms/all" TargetMode="External" /><Relationship Id="rId107" Type="http://schemas.openxmlformats.org/officeDocument/2006/relationships/hyperlink" Target="https://licensingterms.azurewebsites.net/licensing/terms/product/Notices/all" TargetMode="External" /><Relationship Id="rId108" Type="http://schemas.openxmlformats.org/officeDocument/2006/relationships/hyperlink" Target="https://www.microsoft.com/licensing/terms/product/CALandMLEquivalencyLicenses/" TargetMode="External" /><Relationship Id="rId109" Type="http://schemas.openxmlformats.org/officeDocument/2006/relationships/hyperlink" Target="https://licensingterms.azurewebsites.net/licensing/terms/product/CALandMLEquivalencyLicenses/all" TargetMode="External" /><Relationship Id="rId11" Type="http://schemas.openxmlformats.org/officeDocument/2006/relationships/header" Target="header4.xml" /><Relationship Id="rId110" Type="http://schemas.openxmlformats.org/officeDocument/2006/relationships/hyperlink" Target="https://licensingterms.azurewebsites.net/licensing/terms/productoffering/MicrosoftIntune" TargetMode="External" /><Relationship Id="rId111" Type="http://schemas.openxmlformats.org/officeDocument/2006/relationships/hyperlink" Target="/licensing/terms/product/ForallSoftware/all" TargetMode="External" /><Relationship Id="rId112" Type="http://schemas.openxmlformats.org/officeDocument/2006/relationships/hyperlink" Target="https://aka.ms/D365TeamMembersExistingCustomer" TargetMode="External" /><Relationship Id="rId113" Type="http://schemas.openxmlformats.org/officeDocument/2006/relationships/hyperlink" Target="https://licensingterms.azurewebsites.net/licensing/terms/product/GeneralSoftwareAssuranceBenefits/all" TargetMode="External" /><Relationship Id="rId114" Type="http://schemas.openxmlformats.org/officeDocument/2006/relationships/hyperlink" Target="https://www.microsoft.com/licensing/terms/product/Notices" TargetMode="External" /><Relationship Id="rId115" Type="http://schemas.openxmlformats.org/officeDocument/2006/relationships/hyperlink" Target="https://licensingterms.azurewebsites.net/licensing/terms/productoffering/ExchangeOnline" TargetMode="External" /><Relationship Id="rId116" Type="http://schemas.openxmlformats.org/officeDocument/2006/relationships/hyperlink" Target="https://www.microsoft.com/licensing/terms/product/GeneralSoftwareAssuranceBenefits/all" TargetMode="External" /><Relationship Id="rId117" Type="http://schemas.openxmlformats.org/officeDocument/2006/relationships/hyperlink" Target="https://www.microsoftvolumelicensing.com/DocumentSearch.aspx?Mode=3&amp;DocumentTypeId=3" TargetMode="External" /><Relationship Id="rId118" Type="http://schemas.openxmlformats.org/officeDocument/2006/relationships/hyperlink" Target="https://www.microsoft.com/licensing/terms/product/ForallSoftware" TargetMode="External" /><Relationship Id="rId119" Type="http://schemas.openxmlformats.org/officeDocument/2006/relationships/hyperlink" Target="http://go.microsoft.com/?linkid=9839206" TargetMode="External" /><Relationship Id="rId12" Type="http://schemas.openxmlformats.org/officeDocument/2006/relationships/footer" Target="footer4.xml" /><Relationship Id="rId120" Type="http://schemas.openxmlformats.org/officeDocument/2006/relationships/hyperlink" Target="https://licensingterms.azurewebsites.net/licensing/terms/productoffering/OfficeDesktopApplicationsWindows" TargetMode="External" /><Relationship Id="rId121" Type="http://schemas.openxmlformats.org/officeDocument/2006/relationships/hyperlink" Target="https://licensingterms.azurewebsites.net/licensing/terms/productoffering/Microsoft365Applications/all" TargetMode="External" /><Relationship Id="rId122" Type="http://schemas.openxmlformats.org/officeDocument/2006/relationships/hyperlink" Target="https://visualstudio.microsoft.com/license-terms/" TargetMode="External" /><Relationship Id="rId123" Type="http://schemas.openxmlformats.org/officeDocument/2006/relationships/hyperlink" Target="https://licensingterms.azurewebsites.net/licensing/terms/product/ForOnlineServices" TargetMode="External" /><Relationship Id="rId124" Type="http://schemas.openxmlformats.org/officeDocument/2006/relationships/hyperlink" Target="http://go.microsoft.com/fwlink/?linkid=246338" TargetMode="External" /><Relationship Id="rId125" Type="http://schemas.openxmlformats.org/officeDocument/2006/relationships/hyperlink" Target="http://xbox.com/legal/livetou" TargetMode="External" /><Relationship Id="rId126" Type="http://schemas.openxmlformats.org/officeDocument/2006/relationships/hyperlink" Target="https://docs.microsoft.com/windows/deployment/vda-subscription-activation" TargetMode="External" /><Relationship Id="rId127" Type="http://schemas.openxmlformats.org/officeDocument/2006/relationships/hyperlink" Target="http://go.microsoft.com/fwlink/?linkid=248532" TargetMode="External" /><Relationship Id="rId128" Type="http://schemas.openxmlformats.org/officeDocument/2006/relationships/hyperlink" Target="https://licensingterms.azurewebsites.net/licensing/terms/product/ForallSoftware/" TargetMode="External" /><Relationship Id="rId129" Type="http://schemas.openxmlformats.org/officeDocument/2006/relationships/hyperlink" Target="http://go.microsoft.com/fwlink/?LinkId=245856" TargetMode="External" /><Relationship Id="rId13" Type="http://schemas.openxmlformats.org/officeDocument/2006/relationships/header" Target="header5.xml" /><Relationship Id="rId130" Type="http://schemas.openxmlformats.org/officeDocument/2006/relationships/hyperlink" Target="http://www.microsoftvolumelicensing.com/DocumentSearch.aspx?Mode=3&amp;DocumentTypeId=53" TargetMode="External" /><Relationship Id="rId131" Type="http://schemas.openxmlformats.org/officeDocument/2006/relationships/hyperlink" Target="https://www.aka.ms/licensingdocs" TargetMode="External" /><Relationship Id="rId132" Type="http://schemas.openxmlformats.org/officeDocument/2006/relationships/hyperlink" Target="https://licensingterms.azurewebsites.net/licensing/terms/product/ForallOnlineServices/all" TargetMode="External" /><Relationship Id="rId133" Type="http://schemas.openxmlformats.org/officeDocument/2006/relationships/hyperlink" Target="https://licensingterms.azurewebsites.net/licensing/terms/product/StudentUseBenefitsandAcademicPrograms" TargetMode="External" /><Relationship Id="rId134" Type="http://schemas.openxmlformats.org/officeDocument/2006/relationships/hyperlink" Target="https://licensingterms.azurewebsites.net/licensing/terms/productoffering/Office365Suites" TargetMode="External" /><Relationship Id="rId135" Type="http://schemas.openxmlformats.org/officeDocument/2006/relationships/hyperlink" Target="https://licensingterms.azurewebsites.net/licensing/terms/productoffering/EnterpriseMobilitySecurity" TargetMode="External" /><Relationship Id="rId136" Type="http://schemas.openxmlformats.org/officeDocument/2006/relationships/hyperlink" Target="https://licensingterms.azurewebsites.net/licensing/terms/productoffering/MinecraftEducationEdition" TargetMode="External" /><Relationship Id="rId137" Type="http://schemas.openxmlformats.org/officeDocument/2006/relationships/hyperlink" Target="https://docs.microsoft.com/exchange/recipients-in-exchange-online/manage-user-mailboxes/enable-or-disable-outlook-web-app" TargetMode="External" /><Relationship Id="rId138" Type="http://schemas.openxmlformats.org/officeDocument/2006/relationships/hyperlink" Target="https://learn.microsoft.com/microsoft-365/bookings/bookings-overview" TargetMode="External" /><Relationship Id="rId139" Type="http://schemas.openxmlformats.org/officeDocument/2006/relationships/hyperlink" Target="https://www.microsoft.com/licensing/terms/product/ForallSoftware/all" TargetMode="External" /><Relationship Id="rId14" Type="http://schemas.openxmlformats.org/officeDocument/2006/relationships/footer" Target="footer5.xml" /><Relationship Id="rId140" Type="http://schemas.openxmlformats.org/officeDocument/2006/relationships/hyperlink" Target="https://www.microsoft.com/licensing/terms/product/AmazonWorkspacesDeployments" TargetMode="External" /><Relationship Id="rId141" Type="http://schemas.openxmlformats.org/officeDocument/2006/relationships/hyperlink" Target="https://www.microsoft.com/licensing/terms/productoffering/MicrosoftDefenderforBusinessservers" TargetMode="External" /><Relationship Id="rId142" Type="http://schemas.openxmlformats.org/officeDocument/2006/relationships/hyperlink" Target="https://learn.microsoft.com/entra/global-secure-access/concept-remote-network-connectivity" TargetMode="External" /><Relationship Id="rId143" Type="http://schemas.openxmlformats.org/officeDocument/2006/relationships/hyperlink" Target="https://www.linkedin.com/legal/l/lsa." TargetMode="External" /><Relationship Id="rId144" Type="http://schemas.openxmlformats.org/officeDocument/2006/relationships/hyperlink" Target="https://learn.microsoft.com/copilot/security/security-copilot-inclusion" TargetMode="External" /><Relationship Id="rId145" Type="http://schemas.openxmlformats.org/officeDocument/2006/relationships/hyperlink" Target="https://www.microsoft.com/licensing/terms/product/StudentUseBenefitsandAcademicPrograms" TargetMode="External" /><Relationship Id="rId146" Type="http://schemas.openxmlformats.org/officeDocument/2006/relationships/hyperlink" Target="https://azure.microsoft.com/pricing/calculator/" TargetMode="External" /><Relationship Id="rId147" Type="http://schemas.openxmlformats.org/officeDocument/2006/relationships/hyperlink" Target="https://azure.microsoft.com/pricing/dev-test/" TargetMode="External" /><Relationship Id="rId148" Type="http://schemas.openxmlformats.org/officeDocument/2006/relationships/hyperlink" Target="http://azure.microsoft.com/support/legal/sla/" TargetMode="External" /><Relationship Id="rId149" Type="http://schemas.openxmlformats.org/officeDocument/2006/relationships/hyperlink" Target="http://azure.microsoft.com/en-us/regions" TargetMode="External" /><Relationship Id="rId15" Type="http://schemas.openxmlformats.org/officeDocument/2006/relationships/header" Target="header6.xml" /><Relationship Id="rId150" Type="http://schemas.openxmlformats.org/officeDocument/2006/relationships/hyperlink" Target="https://learn.microsoft.com/legal/marketplace/marketplace-terms" TargetMode="External" /><Relationship Id="rId151" Type="http://schemas.openxmlformats.org/officeDocument/2006/relationships/hyperlink" Target="https://www.microsoft.com/en-us/bing/apis/legal" TargetMode="External" /><Relationship Id="rId152" Type="http://schemas.openxmlformats.org/officeDocument/2006/relationships/hyperlink" Target="https://learn.microsoft.com/en-us/bing/search-apis/bing-web-search/use-display-requirements" TargetMode="External" /><Relationship Id="rId153" Type="http://schemas.openxmlformats.org/officeDocument/2006/relationships/hyperlink" Target="https://docs.microsoft.com/en-us/legal/microsoft-apis/terms-of-use" TargetMode="External" /><Relationship Id="rId154" Type="http://schemas.openxmlformats.org/officeDocument/2006/relationships/hyperlink" Target="https://www.microsoft.com/licensing/terms/product/SoftwareAssuranceBenefits/all" TargetMode="External" /><Relationship Id="rId155" Type="http://schemas.openxmlformats.org/officeDocument/2006/relationships/hyperlink" Target="https://docs.microsoft.com/azure/communication-services/concepts/telephony-sms/messaging-policy" TargetMode="External" /><Relationship Id="rId156" Type="http://schemas.openxmlformats.org/officeDocument/2006/relationships/hyperlink" Target="https://aka.ms/firmwareanalysislicensing." TargetMode="External" /><Relationship Id="rId157" Type="http://schemas.openxmlformats.org/officeDocument/2006/relationships/hyperlink" Target="https://www.microsoft.com/msrc/cvd" TargetMode="External" /><Relationship Id="rId158" Type="http://schemas.openxmlformats.org/officeDocument/2006/relationships/hyperlink" Target="https://www.cisa.gov/resources-tools/programs/coordinated-vulnerability-disclosure-program" TargetMode="External" /><Relationship Id="rId159" Type="http://schemas.openxmlformats.org/officeDocument/2006/relationships/hyperlink" Target="https://haadminstoragedev.blob.core.windows.net/docs/HBS%20Preview%20Disclaimer%20and%20Acknowledgment%20(181113).pdf" TargetMode="External" /><Relationship Id="rId16" Type="http://schemas.openxmlformats.org/officeDocument/2006/relationships/footer" Target="footer6.xml" /><Relationship Id="rId160" Type="http://schemas.openxmlformats.org/officeDocument/2006/relationships/hyperlink" Target="https://aka.ms/AzureIoTOperations/pricing" TargetMode="External" /><Relationship Id="rId161" Type="http://schemas.openxmlformats.org/officeDocument/2006/relationships/hyperlink" Target="https://aka.ms/AzureIoTOperations/Includedcomponents" TargetMode="External" /><Relationship Id="rId162" Type="http://schemas.openxmlformats.org/officeDocument/2006/relationships/hyperlink" Target="https://aka.ms/AzureIoTOperationsDocs" TargetMode="External" /><Relationship Id="rId163" Type="http://schemas.openxmlformats.org/officeDocument/2006/relationships/hyperlink" Target="https://go.microsoft.com/fwlink/?linkid=874330." TargetMode="External" /><Relationship Id="rId164" Type="http://schemas.openxmlformats.org/officeDocument/2006/relationships/hyperlink" Target="https://tomtom.com/product-attributions/" TargetMode="External" /><Relationship Id="rId165" Type="http://schemas.openxmlformats.org/officeDocument/2006/relationships/hyperlink" Target="https://opendatacommons.org/licenses/odbl/" TargetMode="External" /><Relationship Id="rId166" Type="http://schemas.openxmlformats.org/officeDocument/2006/relationships/hyperlink" Target="https://www.microsoft.com/legal/intellectualproperty/trademarks" TargetMode="External" /><Relationship Id="rId167" Type="http://schemas.openxmlformats.org/officeDocument/2006/relationships/hyperlink" Target="https://www.aka.ms/ap5gcvalidation" TargetMode="External" /><Relationship Id="rId168" Type="http://schemas.openxmlformats.org/officeDocument/2006/relationships/hyperlink" Target="https://licensingterms.azurewebsites.net/licensing/terms/product/ForallSoftware" TargetMode="External" /><Relationship Id="rId169" Type="http://schemas.openxmlformats.org/officeDocument/2006/relationships/hyperlink" Target="http://www.microsoft.com/exporting/"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www.microsoft.com/bing/apis/grounding-legal-enterprise" TargetMode="External" /><Relationship Id="rId171" Type="http://schemas.openxmlformats.org/officeDocument/2006/relationships/hyperlink" Target="https://learn.microsoft.com/azure/ai-services/openai/" TargetMode="External" /><Relationship Id="rId172" Type="http://schemas.openxmlformats.org/officeDocument/2006/relationships/hyperlink" Target="https://x.ai/legal/acceptable-use-policy." TargetMode="External" /><Relationship Id="rId173" Type="http://schemas.openxmlformats.org/officeDocument/2006/relationships/hyperlink" Target="https://bfl.ai/legal/usage-policy" TargetMode="External" /><Relationship Id="rId174" Type="http://schemas.openxmlformats.org/officeDocument/2006/relationships/hyperlink" Target="https://aka.ms/disclosure-voice-talent" TargetMode="External" /><Relationship Id="rId175" Type="http://schemas.openxmlformats.org/officeDocument/2006/relationships/hyperlink" Target="https://aka.ms/CommunicationServicesTerms" TargetMode="External" /><Relationship Id="rId176" Type="http://schemas.openxmlformats.org/officeDocument/2006/relationships/hyperlink" Target="https://learn.microsoft.com/dynamics365/business-central/compliance/compliance-certifications" TargetMode="External" /><Relationship Id="rId177" Type="http://schemas.openxmlformats.org/officeDocument/2006/relationships/hyperlink" Target="https://learn.microsoft.com/dynamics365/business-central/localfunctionality/spain/compliance-self-responsible-declaration-billing-spain" TargetMode="External" /><Relationship Id="rId178" Type="http://schemas.openxmlformats.org/officeDocument/2006/relationships/hyperlink" Target="https://go.microsoft.com/fwlink/?LinkId=866544&amp;clcid=0x409" TargetMode="External" /><Relationship Id="rId179" Type="http://schemas.openxmlformats.org/officeDocument/2006/relationships/hyperlink" Target="https://go.microsoft.com/fwlink/?linkid=2139145" TargetMode="External" /><Relationship Id="rId18" Type="http://schemas.openxmlformats.org/officeDocument/2006/relationships/hyperlink" Target="https://aka.ms/licensingdocs" TargetMode="External" /><Relationship Id="rId180" Type="http://schemas.openxmlformats.org/officeDocument/2006/relationships/hyperlink" Target="https://go.microsoft.com/fwlink/?LinkId=866544&amp;clcid=0x409%20and%20for" TargetMode="External" /><Relationship Id="rId181" Type="http://schemas.openxmlformats.org/officeDocument/2006/relationships/hyperlink" Target="https://www.microsoft.com/privacy/privacystatement" TargetMode="External" /><Relationship Id="rId182" Type="http://schemas.openxmlformats.org/officeDocument/2006/relationships/hyperlink" Target="https://go.microsoft.com/fwlink/?linkid=868812" TargetMode="External" /><Relationship Id="rId183" Type="http://schemas.openxmlformats.org/officeDocument/2006/relationships/hyperlink" Target="https://go.microsoft.com/fwlink/?linkid=868812." TargetMode="External" /><Relationship Id="rId184" Type="http://schemas.openxmlformats.org/officeDocument/2006/relationships/hyperlink" Target="https://go.microsoft.com/fwlink/?LinkId=521839" TargetMode="External" /><Relationship Id="rId185" Type="http://schemas.openxmlformats.org/officeDocument/2006/relationships/hyperlink" Target="https://learn.microsoft.com/microsoftteams/sms-microsoft-teams-policy." TargetMode="External" /><Relationship Id="rId186" Type="http://schemas.openxmlformats.org/officeDocument/2006/relationships/hyperlink" Target="https://www.microsoft.com/licensing/terms/productoffering/AdvancedThreatAnalytics/EES" TargetMode="External" /><Relationship Id="rId187" Type="http://schemas.openxmlformats.org/officeDocument/2006/relationships/hyperlink" Target="http://licensetermsuat.azurewebsites.net/licensing/terms/product/ForallOnlineServices" TargetMode="External" /><Relationship Id="rId188" Type="http://schemas.openxmlformats.org/officeDocument/2006/relationships/hyperlink" Target="https://aka.ms/github_preview" TargetMode="External" /><Relationship Id="rId189" Type="http://schemas.openxmlformats.org/officeDocument/2006/relationships/hyperlink" Target="https://github.com/customer-terms/github-online-services-sla" TargetMode="External" /><Relationship Id="rId19" Type="http://schemas.openxmlformats.org/officeDocument/2006/relationships/header" Target="header7.xml" /><Relationship Id="rId190" Type="http://schemas.openxmlformats.org/officeDocument/2006/relationships/hyperlink" Target="https://aka.ms/githubsupport" TargetMode="External" /><Relationship Id="rId191" Type="http://schemas.openxmlformats.org/officeDocument/2006/relationships/hyperlink" Target="https://enterprise.github.com/releases" TargetMode="External" /><Relationship Id="rId192" Type="http://schemas.openxmlformats.org/officeDocument/2006/relationships/hyperlink" Target="https://gh.io/privacy" TargetMode="External" /><Relationship Id="rId193" Type="http://schemas.openxmlformats.org/officeDocument/2006/relationships/hyperlink" Target="mailto:legal-support@github.com" TargetMode="External" /><Relationship Id="rId194" Type="http://schemas.openxmlformats.org/officeDocument/2006/relationships/hyperlink" Target="https://docs.microsoft.com/microsoft-365/compliance/offering-hipaa-hitech?view=o365-worldwide" TargetMode="External" /><Relationship Id="rId195" Type="http://schemas.openxmlformats.org/officeDocument/2006/relationships/hyperlink" Target="https://aka.ms/MicrosoftCloudforHealthcareCompliance" TargetMode="External" /><Relationship Id="rId196" Type="http://schemas.openxmlformats.org/officeDocument/2006/relationships/hyperlink" Target="https://aka.ms/MicrosoftCloudforNon-Profit" TargetMode="External" /><Relationship Id="rId197" Type="http://schemas.openxmlformats.org/officeDocument/2006/relationships/hyperlink" Target="https://www.microsoft.com/licensing/terms/product/Promotions/EAEAS" TargetMode="External" /><Relationship Id="rId198" Type="http://schemas.openxmlformats.org/officeDocument/2006/relationships/hyperlink" Target="https://www.microsoft.com/licensing/terms/productoffering/MicrosoftDefenderforEndpointforservers" TargetMode="External" /><Relationship Id="rId199" Type="http://schemas.openxmlformats.org/officeDocument/2006/relationships/hyperlink" Target="https://www.microsoft.com/licensing/terms/productoffering/MicrosoftDefenderforEndpoin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licensingterms.azurewebsites.net/licensing/terms/product/ForallOnlineServices" TargetMode="External" /><Relationship Id="rId201" Type="http://schemas.openxmlformats.org/officeDocument/2006/relationships/hyperlink" Target="http://azure.microsoft.com/en-us/regions/" TargetMode="External" /><Relationship Id="rId202" Type="http://schemas.openxmlformats.org/officeDocument/2006/relationships/hyperlink" Target="https://aka.ms/r1j7jq" TargetMode="External" /><Relationship Id="rId203" Type="http://schemas.openxmlformats.org/officeDocument/2006/relationships/hyperlink" Target="https://licensingterms.azurewebsites.net/licensing/terms/product/CALandMLEquivalencyLicenses" TargetMode="External" /><Relationship Id="rId204" Type="http://schemas.openxmlformats.org/officeDocument/2006/relationships/hyperlink" Target="https://licensingterms.azurewebsites.net/licensing/terms/product/PrivacyandSecurityTerms" TargetMode="External" /><Relationship Id="rId205" Type="http://schemas.openxmlformats.org/officeDocument/2006/relationships/hyperlink" Target="https://aka.ms/DragonIntendedUse" TargetMode="External" /><Relationship Id="rId206" Type="http://schemas.openxmlformats.org/officeDocument/2006/relationships/hyperlink" Target="https://www.microsoft.com/en-us/licensing/licensing-programs/software-assurance-license-mobility" TargetMode="External" /><Relationship Id="rId207" Type="http://schemas.openxmlformats.org/officeDocument/2006/relationships/hyperlink" Target="http://www.microsoft.com/licensing/contracts" TargetMode="External" /><Relationship Id="rId208" Type="http://schemas.openxmlformats.org/officeDocument/2006/relationships/hyperlink" Target="http://aka.ms/listedproviders" TargetMode="External" /><Relationship Id="rId209" Type="http://schemas.openxmlformats.org/officeDocument/2006/relationships/hyperlink" Target="http://azure.microsoft.com/services/" TargetMode="External" /><Relationship Id="rId21" Type="http://schemas.openxmlformats.org/officeDocument/2006/relationships/hyperlink" Target="https://www.microsoft.com/licensing/terms/feed/rss" TargetMode="External" /><Relationship Id="rId210" Type="http://schemas.openxmlformats.org/officeDocument/2006/relationships/hyperlink" Target="https://licensingterms.azurewebsites.net/licensing/terms/product/Promotions/all" TargetMode="External" /><Relationship Id="rId211" Type="http://schemas.openxmlformats.org/officeDocument/2006/relationships/hyperlink" Target="https://www.aka.ms/HEVCVirtualPatentMarking" TargetMode="External" /><Relationship Id="rId212" Type="http://schemas.openxmlformats.org/officeDocument/2006/relationships/hyperlink" Target="http://www.mpegla.com" TargetMode="External" /><Relationship Id="rId213" Type="http://schemas.openxmlformats.org/officeDocument/2006/relationships/hyperlink" Target="https://www.microsoft.com/en-us/microsoftservices/support-consulting-services-description" TargetMode="External" /><Relationship Id="rId214" Type="http://schemas.openxmlformats.org/officeDocument/2006/relationships/hyperlink" Target="https://www.microsoft.com/unified-support-services-description" TargetMode="External" /><Relationship Id="rId215" Type="http://schemas.openxmlformats.org/officeDocument/2006/relationships/hyperlink" Target="https://www.microsoft.com/en-us/microsoftservices/description-of-services" TargetMode="External" /><Relationship Id="rId216" Type="http://schemas.openxmlformats.org/officeDocument/2006/relationships/hyperlink" Target="https://www.linkedin.com/legal/l/lsa" TargetMode="External" /><Relationship Id="rId217" Type="http://schemas.openxmlformats.org/officeDocument/2006/relationships/hyperlink" Target="https://www.microsoft.com/licensing/terms/product/PurchasingandRenewingSoftwareAssurance" TargetMode="External" /><Relationship Id="rId218" Type="http://schemas.openxmlformats.org/officeDocument/2006/relationships/hyperlink" Target="http://www.microsoft.com/licensing" TargetMode="External" /><Relationship Id="rId219" Type="http://schemas.openxmlformats.org/officeDocument/2006/relationships/hyperlink" Target="https://aka.ms/workplacediscountprogram." TargetMode="External" /><Relationship Id="rId22" Type="http://schemas.openxmlformats.org/officeDocument/2006/relationships/hyperlink" Target="https://www.microsoft.com/licensing/terms/productoffering/MicrosoftPowerPlatform" TargetMode="External" /><Relationship Id="rId220" Type="http://schemas.openxmlformats.org/officeDocument/2006/relationships/hyperlink" Target="https://aka.ms/licensingbrief-stepups" TargetMode="External" /><Relationship Id="rId221" Type="http://schemas.openxmlformats.org/officeDocument/2006/relationships/hyperlink" Target="http://www.microsoft.com/licensing/software-assurance/license-mobility.aspx" TargetMode="External" /><Relationship Id="rId222" Type="http://schemas.openxmlformats.org/officeDocument/2006/relationships/hyperlink" Target="https://docs.microsoft.com/azure/databox/data-box-hardware-additional-terms" TargetMode="External" /><Relationship Id="rId223" Type="http://schemas.openxmlformats.org/officeDocument/2006/relationships/hyperlink" Target="https://azure.microsoft.com/support/legal/" TargetMode="External" /><Relationship Id="rId224" Type="http://schemas.openxmlformats.org/officeDocument/2006/relationships/hyperlink" Target="https://docs.microsoft.com/azure/databox-online/azure-stack-edge-add-hardware-terms" TargetMode="External" /><Relationship Id="rId225" Type="http://schemas.openxmlformats.org/officeDocument/2006/relationships/hyperlink" Target="https://azure.microsoft.com/products/azure-stack/edge/" TargetMode="External" /><Relationship Id="rId226" Type="http://schemas.openxmlformats.org/officeDocument/2006/relationships/hyperlink" Target="https://aka.ms/azurestackhub" TargetMode="External" /><Relationship Id="rId227" Type="http://schemas.openxmlformats.org/officeDocument/2006/relationships/hyperlink" Target="https://azure.microsoft.com/en-us/overview/azure-stack/" TargetMode="External" /><Relationship Id="rId228" Type="http://schemas.openxmlformats.org/officeDocument/2006/relationships/hyperlink" Target="https://azure.microsoft.com/en-us/support/legal/" TargetMode="External" /><Relationship Id="rId229" Type="http://schemas.openxmlformats.org/officeDocument/2006/relationships/hyperlink" Target="http://www.microsoft.com/privacystatement/OnlineServices/Default.aspx" TargetMode="External" /><Relationship Id="rId23" Type="http://schemas.openxmlformats.org/officeDocument/2006/relationships/hyperlink" Target="https://www.microsoft.com/licensing/terms/productoffering/Microsoft365" TargetMode="External" /><Relationship Id="rId230" Type="http://schemas.openxmlformats.org/officeDocument/2006/relationships/hyperlink" Target="http://go.microsoft.com/?linkid=9840733" TargetMode="External" /><Relationship Id="rId231" Type="http://schemas.openxmlformats.org/officeDocument/2006/relationships/hyperlink" Target="https://www.microsoft.com/licensing/terms/product/ForallOnlineServices/all" TargetMode="External" /><Relationship Id="rId232" Type="http://schemas.openxmlformats.org/officeDocument/2006/relationships/hyperlink" Target="https://www.microsoft.com/licensing/terms/productoffering/ExchangeOnline" TargetMode="External" /><Relationship Id="rId233" Type="http://schemas.openxmlformats.org/officeDocument/2006/relationships/hyperlink" Target="https://www.microsoft.com/licensing/terms/productoffering/MicrosoftCloudAppSecurity" TargetMode="External" /><Relationship Id="rId234" Type="http://schemas.openxmlformats.org/officeDocument/2006/relationships/hyperlink" Target="https://www.microsoft.com/licensing/terms/productoffering/MicrosoftDefenderExpertsforHunting" TargetMode="External" /><Relationship Id="rId235" Type="http://schemas.openxmlformats.org/officeDocument/2006/relationships/hyperlink" Target="https://www.microsoft.com/licensing/terms/productoffering/ForefrontIdentityManager" TargetMode="External" /><Relationship Id="rId236" Type="http://schemas.openxmlformats.org/officeDocument/2006/relationships/hyperlink" Target="https://www.microsoft.com/licensing/terms/productoffering/MicrosoftIdentityManager" TargetMode="External" /><Relationship Id="rId237" Type="http://schemas.openxmlformats.org/officeDocument/2006/relationships/hyperlink" Target="https://www.microsoft.com/licensing/terms/productoffering/MicrosoftIntune" TargetMode="External" /><Relationship Id="rId238" Type="http://schemas.openxmlformats.org/officeDocument/2006/relationships/hyperlink" Target="https://www.microsoft.com/licensing/terms/productoffering/EnterpriseMobilitySecurity" TargetMode="External" /><Relationship Id="rId239" Type="http://schemas.openxmlformats.org/officeDocument/2006/relationships/header" Target="header8.xml" /><Relationship Id="rId24" Type="http://schemas.openxmlformats.org/officeDocument/2006/relationships/hyperlink" Target="https://www.microsoft.com/licensing/terms/product/changes/Microsoft%20Dragon%20Copilot" TargetMode="External" /><Relationship Id="rId240" Type="http://schemas.openxmlformats.org/officeDocument/2006/relationships/footer" Target="footer8.xml" /><Relationship Id="rId241" Type="http://schemas.openxmlformats.org/officeDocument/2006/relationships/theme" Target="theme/theme1.xml" /><Relationship Id="rId242" Type="http://schemas.openxmlformats.org/officeDocument/2006/relationships/numbering" Target="numbering.xml" /><Relationship Id="rId243" Type="http://schemas.openxmlformats.org/officeDocument/2006/relationships/styles" Target="styles.xm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226</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