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11.0 -->
  <w:body>
    <w:p w:rsidR="00ED5159" w:rsidP="00ED5159">
      <w:pPr>
        <w:pStyle w:val="PURBody"/>
        <w:shd w:val="clear" w:color="auto" w:fill="0072C6"/>
        <w:tabs>
          <w:tab w:val="left" w:pos="180"/>
          <w:tab w:val="clear" w:pos="360"/>
        </w:tabs>
        <w:ind w:right="1800" w:firstLine="360"/>
        <w:rPr>
          <w:color w:val="FFFFFF" w:themeColor="background1"/>
          <w:sz w:val="72"/>
          <w:szCs w:val="72"/>
        </w:rPr>
      </w:pP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72"/>
          <w:szCs w:val="96"/>
        </w:rPr>
        <w:t>Product Terms</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Publication Date: February 09, 2026</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Program: OV-ES</w:t>
      </w:r>
    </w:p>
    <w:p w:rsidR="00ED5159" w:rsidP="00ED5159">
      <w:pPr>
        <w:pStyle w:val="PURBody"/>
        <w:shd w:val="clear" w:color="auto" w:fill="0072C6"/>
        <w:tabs>
          <w:tab w:val="clear" w:pos="360"/>
        </w:tabs>
        <w:spacing w:after="0" w:line="230" w:lineRule="auto"/>
        <w:ind w:right="1800" w:firstLine="360"/>
        <w:rPr>
          <w:color w:val="FFFFFF" w:themeColor="background1"/>
          <w:sz w:val="96"/>
          <w:szCs w:val="96"/>
        </w:rPr>
      </w:pPr>
    </w:p>
    <w:p w:rsidR="00ED5159" w:rsidP="00ED5159">
      <w:r>
        <w:rPr>
          <w:noProof/>
        </w:rPr>
        <w:drawing>
          <wp:anchor distT="0" distB="0" distL="114300" distR="114300" simplePos="0" relativeHeight="251658240" behindDoc="0" locked="0" layoutInCell="1" allowOverlap="1">
            <wp:simplePos x="0" y="0"/>
            <wp:positionH relativeFrom="column">
              <wp:posOffset>0</wp:posOffset>
            </wp:positionH>
            <wp:positionV relativeFrom="page">
              <wp:posOffset>9144000</wp:posOffset>
            </wp:positionV>
            <wp:extent cx="1993392" cy="457131"/>
            <wp:effectExtent l="0" t="0" r="698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softLogo.png"/>
                    <pic:cNvPicPr/>
                  </pic:nvPicPr>
                  <pic:blipFill>
                    <a:blip xmlns:r="http://schemas.openxmlformats.org/officeDocument/2006/relationships" r:embed="rId4"/>
                    <a:stretch>
                      <a:fillRect/>
                    </a:stretch>
                  </pic:blipFill>
                  <pic:spPr>
                    <a:xfrm>
                      <a:off x="0" y="0"/>
                      <a:ext cx="1993392" cy="457131"/>
                    </a:xfrm>
                    <a:prstGeom prst="rect">
                      <a:avLst/>
                    </a:prstGeom>
                  </pic:spPr>
                </pic:pic>
              </a:graphicData>
            </a:graphic>
            <wp14:sizeRelH relativeFrom="page">
              <wp14:pctWidth>0</wp14:pctWidth>
            </wp14:sizeRelH>
            <wp14:sizeRelV relativeFrom="page">
              <wp14:pctHeight>0</wp14:pctHeight>
            </wp14:sizeRelV>
          </wp:anchor>
        </w:drawing>
      </w:r>
      <w:r>
        <w:br w:type="page"/>
      </w:r>
    </w:p>
    <w:p w:rsidR="00ED5159" w:rsidP="00ED5159">
      <w:pPr>
        <w:sectPr w:rsidSect="00ED5159">
          <w:headerReference w:type="even" r:id="rId5"/>
          <w:headerReference w:type="default" r:id="rId6"/>
          <w:footerReference w:type="even" r:id="rId7"/>
          <w:footerReference w:type="default" r:id="rId8"/>
          <w:headerReference w:type="first" r:id="rId9"/>
          <w:footerReference w:type="first" r:id="rId10"/>
          <w:pgSz w:w="12240" w:h="15840" w:code="1"/>
          <w:pgMar w:top="1170" w:right="720" w:bottom="720" w:left="720" w:header="432" w:footer="288" w:gutter="0"/>
          <w:cols w:space="360"/>
        </w:sectPr>
      </w:pPr>
    </w:p>
    <w:p w:rsidR="00ED5159" w:rsidP="00ED5159">
      <w:pPr>
        <w:pStyle w:val="ProductList-SectionHeading"/>
        <w:pageBreakBefore/>
      </w:pPr>
      <w:bookmarkStart w:id="0" w:name="_Sec842"/>
      <w:r>
        <w:t>Table of Contents</w:t>
      </w:r>
    </w:p>
    <w:p w:rsidR="00ED5159" w:rsidP="00ED5159">
      <w:pPr>
        <w:pStyle w:val="ProductList-Body"/>
      </w:pPr>
      <w:r>
        <w:t>To refresh the Table of Contents page numbering, select the Table of Contents below by clicking anywhere on the Table of Contents. Note: Ensure editing is enabled on your word document. Once you select the Table of Contents, right click on the Table of Contents. A dialog box will display. Select Update Field in the dialog box. A new popup will display that allows you to Update the Table of Contents. Select “Update page numbers only”. Select the “OK” button to complete the refresh. Table of Content page numbering will update below.</w:t>
      </w:r>
    </w:p>
    <w:p w:rsidR="00ED5159" w:rsidP="00ED5159">
      <w:pPr>
        <w:pStyle w:val="ProductList-Body"/>
      </w:pPr>
    </w:p>
    <w:p w:rsidR="00ED5159" w:rsidP="00ED5159">
      <w:pPr>
        <w:sectPr>
          <w:headerReference w:type="default" r:id="rId11"/>
          <w:footerReference w:type="default" r:id="rId12"/>
          <w:type w:val="continuous"/>
          <w:pgSz w:w="12240" w:h="15840" w:code="1"/>
          <w:pgMar w:top="1170" w:right="720" w:bottom="1620" w:left="720" w:header="432" w:footer="288" w:gutter="0"/>
          <w:cols w:space="360"/>
        </w:sectPr>
      </w:pPr>
    </w:p>
    <w:p>
      <w:pPr>
        <w:pStyle w:val="TOC1"/>
        <w:rPr>
          <w:rFonts w:asciiTheme="minorHAnsi" w:hAnsiTheme="minorHAnsi"/>
          <w:noProof/>
          <w:sz w:val="22"/>
        </w:rPr>
      </w:pPr>
      <w:r>
        <w:fldChar w:fldCharType="begin"/>
      </w:r>
      <w:r>
        <w:instrText xml:space="preserve"> TOC \h \f \l 1-3 </w:instrText>
      </w:r>
      <w:r>
        <w:fldChar w:fldCharType="separate"/>
      </w:r>
      <w:hyperlink w:anchor="_Toc256000000" w:history="1">
        <w:r>
          <w:rPr>
            <w:rStyle w:val="Hyperlink"/>
          </w:rPr>
          <w:t>Introduction</w:t>
        </w:r>
        <w:r>
          <w:tab/>
        </w:r>
        <w:r>
          <w:fldChar w:fldCharType="begin"/>
        </w:r>
        <w:r>
          <w:instrText xml:space="preserve"> PAGEREF _Toc256000000 \h </w:instrText>
        </w:r>
        <w:r>
          <w:fldChar w:fldCharType="separate"/>
        </w:r>
        <w:r>
          <w:t>3</w:t>
        </w:r>
        <w:r>
          <w:fldChar w:fldCharType="end"/>
        </w:r>
      </w:hyperlink>
    </w:p>
    <w:p>
      <w:pPr>
        <w:pStyle w:val="TOC2"/>
        <w:rPr>
          <w:rFonts w:asciiTheme="minorHAnsi" w:hAnsiTheme="minorHAnsi"/>
          <w:noProof/>
          <w:sz w:val="22"/>
        </w:rPr>
      </w:pPr>
      <w:hyperlink w:anchor="_Toc256000001" w:history="1">
        <w:r>
          <w:rPr>
            <w:rStyle w:val="Hyperlink"/>
          </w:rPr>
          <w:t>About this Document</w:t>
        </w:r>
        <w:r>
          <w:tab/>
        </w:r>
        <w:r>
          <w:fldChar w:fldCharType="begin"/>
        </w:r>
        <w:r>
          <w:instrText xml:space="preserve"> PAGEREF _Toc256000001 \h </w:instrText>
        </w:r>
        <w:r>
          <w:fldChar w:fldCharType="separate"/>
        </w:r>
        <w:r>
          <w:t>3</w:t>
        </w:r>
        <w:r>
          <w:fldChar w:fldCharType="end"/>
        </w:r>
      </w:hyperlink>
    </w:p>
    <w:p>
      <w:pPr>
        <w:pStyle w:val="TOC2"/>
        <w:rPr>
          <w:rFonts w:asciiTheme="minorHAnsi" w:hAnsiTheme="minorHAnsi"/>
          <w:noProof/>
          <w:sz w:val="22"/>
        </w:rPr>
      </w:pPr>
      <w:hyperlink w:anchor="_Toc256000002" w:history="1">
        <w:r>
          <w:rPr>
            <w:rStyle w:val="Hyperlink"/>
          </w:rPr>
          <w:t>Summary of Changes</w:t>
        </w:r>
        <w:r>
          <w:tab/>
        </w:r>
        <w:r>
          <w:fldChar w:fldCharType="begin"/>
        </w:r>
        <w:r>
          <w:instrText xml:space="preserve"> PAGEREF _Toc256000002 \h </w:instrText>
        </w:r>
        <w:r>
          <w:fldChar w:fldCharType="separate"/>
        </w:r>
        <w:r>
          <w:t>4</w:t>
        </w:r>
        <w:r>
          <w:fldChar w:fldCharType="end"/>
        </w:r>
      </w:hyperlink>
    </w:p>
    <w:p>
      <w:pPr>
        <w:pStyle w:val="TOC2"/>
        <w:rPr>
          <w:rFonts w:asciiTheme="minorHAnsi" w:hAnsiTheme="minorHAnsi"/>
          <w:noProof/>
          <w:sz w:val="22"/>
        </w:rPr>
      </w:pPr>
      <w:hyperlink w:anchor="_Toc256000003" w:history="1">
        <w:r>
          <w:rPr>
            <w:rStyle w:val="Hyperlink"/>
          </w:rPr>
          <w:t>Universal License Terms</w:t>
        </w:r>
        <w:r>
          <w:tab/>
        </w:r>
        <w:r>
          <w:fldChar w:fldCharType="begin"/>
        </w:r>
        <w:r>
          <w:instrText xml:space="preserve"> PAGEREF _Toc256000003 \h </w:instrText>
        </w:r>
        <w:r>
          <w:fldChar w:fldCharType="separate"/>
        </w:r>
        <w:r>
          <w:t>7</w:t>
        </w:r>
        <w:r>
          <w:fldChar w:fldCharType="end"/>
        </w:r>
      </w:hyperlink>
    </w:p>
    <w:p>
      <w:pPr>
        <w:pStyle w:val="TOC2"/>
        <w:rPr>
          <w:rFonts w:asciiTheme="minorHAnsi" w:hAnsiTheme="minorHAnsi"/>
          <w:noProof/>
          <w:sz w:val="22"/>
        </w:rPr>
      </w:pPr>
      <w:hyperlink w:anchor="_Toc256000004" w:history="1">
        <w:r>
          <w:rPr>
            <w:rStyle w:val="Hyperlink"/>
          </w:rPr>
          <w:t>For Online Services</w:t>
        </w:r>
        <w:r>
          <w:tab/>
        </w:r>
        <w:r>
          <w:fldChar w:fldCharType="begin"/>
        </w:r>
        <w:r>
          <w:instrText xml:space="preserve"> PAGEREF _Toc256000004 \h </w:instrText>
        </w:r>
        <w:r>
          <w:fldChar w:fldCharType="separate"/>
        </w:r>
        <w:r>
          <w:t>7</w:t>
        </w:r>
        <w:r>
          <w:fldChar w:fldCharType="end"/>
        </w:r>
      </w:hyperlink>
    </w:p>
    <w:p>
      <w:pPr>
        <w:pStyle w:val="TOC2"/>
        <w:rPr>
          <w:rFonts w:asciiTheme="minorHAnsi" w:hAnsiTheme="minorHAnsi"/>
          <w:noProof/>
          <w:sz w:val="22"/>
        </w:rPr>
      </w:pPr>
      <w:hyperlink w:anchor="_Toc256000005" w:history="1">
        <w:r>
          <w:rPr>
            <w:rStyle w:val="Hyperlink"/>
          </w:rPr>
          <w:t>For all Software</w:t>
        </w:r>
        <w:r>
          <w:tab/>
        </w:r>
        <w:r>
          <w:fldChar w:fldCharType="begin"/>
        </w:r>
        <w:r>
          <w:instrText xml:space="preserve"> PAGEREF _Toc256000005 \h </w:instrText>
        </w:r>
        <w:r>
          <w:fldChar w:fldCharType="separate"/>
        </w:r>
        <w:r>
          <w:t>15</w:t>
        </w:r>
        <w:r>
          <w:fldChar w:fldCharType="end"/>
        </w:r>
      </w:hyperlink>
    </w:p>
    <w:p>
      <w:pPr>
        <w:pStyle w:val="TOC2"/>
        <w:rPr>
          <w:rFonts w:asciiTheme="minorHAnsi" w:hAnsiTheme="minorHAnsi"/>
          <w:noProof/>
          <w:sz w:val="22"/>
        </w:rPr>
      </w:pPr>
      <w:hyperlink w:anchor="_Toc256000006" w:history="1">
        <w:r>
          <w:rPr>
            <w:rStyle w:val="Hyperlink"/>
          </w:rPr>
          <w:t>Privacy &amp; Security Terms</w:t>
        </w:r>
        <w:r>
          <w:tab/>
        </w:r>
        <w:r>
          <w:fldChar w:fldCharType="begin"/>
        </w:r>
        <w:r>
          <w:instrText xml:space="preserve"> PAGEREF _Toc256000006 \h </w:instrText>
        </w:r>
        <w:r>
          <w:fldChar w:fldCharType="separate"/>
        </w:r>
        <w:r>
          <w:t>18</w:t>
        </w:r>
        <w:r>
          <w:fldChar w:fldCharType="end"/>
        </w:r>
      </w:hyperlink>
    </w:p>
    <w:p>
      <w:pPr>
        <w:pStyle w:val="TOC2"/>
        <w:rPr>
          <w:rFonts w:asciiTheme="minorHAnsi" w:hAnsiTheme="minorHAnsi"/>
          <w:noProof/>
          <w:sz w:val="22"/>
        </w:rPr>
      </w:pPr>
      <w:hyperlink w:anchor="_Toc256000007" w:history="1">
        <w:r>
          <w:rPr>
            <w:rStyle w:val="Hyperlink"/>
          </w:rPr>
          <w:t>CAL Suites and CAL Suite Bridges</w:t>
        </w:r>
        <w:r>
          <w:tab/>
        </w:r>
        <w:r>
          <w:fldChar w:fldCharType="begin"/>
        </w:r>
        <w:r>
          <w:instrText xml:space="preserve"> PAGEREF _Toc256000007 \h </w:instrText>
        </w:r>
        <w:r>
          <w:fldChar w:fldCharType="separate"/>
        </w:r>
        <w:r>
          <w:t>28</w:t>
        </w:r>
        <w:r>
          <w:fldChar w:fldCharType="end"/>
        </w:r>
      </w:hyperlink>
    </w:p>
    <w:p>
      <w:pPr>
        <w:pStyle w:val="TOC2"/>
        <w:rPr>
          <w:rFonts w:asciiTheme="minorHAnsi" w:hAnsiTheme="minorHAnsi"/>
          <w:noProof/>
          <w:sz w:val="22"/>
        </w:rPr>
      </w:pPr>
      <w:hyperlink w:anchor="_Toc256000008" w:history="1">
        <w:r>
          <w:rPr>
            <w:rStyle w:val="Hyperlink"/>
          </w:rPr>
          <w:t>Infrastructure and Other Servers</w:t>
        </w:r>
        <w:r>
          <w:tab/>
        </w:r>
        <w:r>
          <w:fldChar w:fldCharType="begin"/>
        </w:r>
        <w:r>
          <w:instrText xml:space="preserve"> PAGEREF _Toc256000008 \h </w:instrText>
        </w:r>
        <w:r>
          <w:fldChar w:fldCharType="separate"/>
        </w:r>
        <w:r>
          <w:t>32</w:t>
        </w:r>
        <w:r>
          <w:fldChar w:fldCharType="end"/>
        </w:r>
      </w:hyperlink>
    </w:p>
    <w:p>
      <w:pPr>
        <w:pStyle w:val="TOC2"/>
        <w:rPr>
          <w:rFonts w:asciiTheme="minorHAnsi" w:hAnsiTheme="minorHAnsi"/>
          <w:noProof/>
          <w:sz w:val="22"/>
        </w:rPr>
      </w:pPr>
      <w:hyperlink w:anchor="_Toc256000009" w:history="1">
        <w:r>
          <w:rPr>
            <w:rStyle w:val="Hyperlink"/>
          </w:rPr>
          <w:t>Advanced Threat Analytics</w:t>
        </w:r>
        <w:r>
          <w:tab/>
        </w:r>
        <w:r>
          <w:fldChar w:fldCharType="begin"/>
        </w:r>
        <w:r>
          <w:instrText xml:space="preserve"> PAGEREF _Toc256000009 \h </w:instrText>
        </w:r>
        <w:r>
          <w:fldChar w:fldCharType="separate"/>
        </w:r>
        <w:r>
          <w:t>32</w:t>
        </w:r>
        <w:r>
          <w:fldChar w:fldCharType="end"/>
        </w:r>
      </w:hyperlink>
    </w:p>
    <w:p>
      <w:pPr>
        <w:pStyle w:val="TOC2"/>
        <w:rPr>
          <w:rFonts w:asciiTheme="minorHAnsi" w:hAnsiTheme="minorHAnsi"/>
          <w:noProof/>
          <w:sz w:val="22"/>
        </w:rPr>
      </w:pPr>
      <w:hyperlink w:anchor="_Toc256000010" w:history="1">
        <w:r>
          <w:rPr>
            <w:rStyle w:val="Hyperlink"/>
          </w:rPr>
          <w:t>BizTalk Server</w:t>
        </w:r>
        <w:r>
          <w:tab/>
        </w:r>
        <w:r>
          <w:fldChar w:fldCharType="begin"/>
        </w:r>
        <w:r>
          <w:instrText xml:space="preserve"> PAGEREF _Toc256000010 \h </w:instrText>
        </w:r>
        <w:r>
          <w:fldChar w:fldCharType="separate"/>
        </w:r>
        <w:r>
          <w:t>35</w:t>
        </w:r>
        <w:r>
          <w:fldChar w:fldCharType="end"/>
        </w:r>
      </w:hyperlink>
    </w:p>
    <w:p>
      <w:pPr>
        <w:pStyle w:val="TOC2"/>
        <w:rPr>
          <w:rFonts w:asciiTheme="minorHAnsi" w:hAnsiTheme="minorHAnsi"/>
          <w:noProof/>
          <w:sz w:val="22"/>
        </w:rPr>
      </w:pPr>
      <w:hyperlink w:anchor="_Toc256000011" w:history="1">
        <w:r>
          <w:rPr>
            <w:rStyle w:val="Hyperlink"/>
          </w:rPr>
          <w:t>Core Infrastructure Server</w:t>
        </w:r>
        <w:r>
          <w:tab/>
        </w:r>
        <w:r>
          <w:fldChar w:fldCharType="begin"/>
        </w:r>
        <w:r>
          <w:instrText xml:space="preserve"> PAGEREF _Toc256000011 \h </w:instrText>
        </w:r>
        <w:r>
          <w:fldChar w:fldCharType="separate"/>
        </w:r>
        <w:r>
          <w:t>37</w:t>
        </w:r>
        <w:r>
          <w:fldChar w:fldCharType="end"/>
        </w:r>
      </w:hyperlink>
    </w:p>
    <w:p>
      <w:pPr>
        <w:pStyle w:val="TOC2"/>
        <w:rPr>
          <w:rFonts w:asciiTheme="minorHAnsi" w:hAnsiTheme="minorHAnsi"/>
          <w:noProof/>
          <w:sz w:val="22"/>
        </w:rPr>
      </w:pPr>
      <w:hyperlink w:anchor="_Toc256000012" w:history="1">
        <w:r>
          <w:rPr>
            <w:rStyle w:val="Hyperlink"/>
          </w:rPr>
          <w:t>Forefront Identity Manager</w:t>
        </w:r>
        <w:r>
          <w:tab/>
        </w:r>
        <w:r>
          <w:fldChar w:fldCharType="begin"/>
        </w:r>
        <w:r>
          <w:instrText xml:space="preserve"> PAGEREF _Toc256000012 \h </w:instrText>
        </w:r>
        <w:r>
          <w:fldChar w:fldCharType="separate"/>
        </w:r>
        <w:r>
          <w:t>39</w:t>
        </w:r>
        <w:r>
          <w:fldChar w:fldCharType="end"/>
        </w:r>
      </w:hyperlink>
    </w:p>
    <w:p>
      <w:pPr>
        <w:pStyle w:val="TOC2"/>
        <w:rPr>
          <w:rFonts w:asciiTheme="minorHAnsi" w:hAnsiTheme="minorHAnsi"/>
          <w:noProof/>
          <w:sz w:val="22"/>
        </w:rPr>
      </w:pPr>
      <w:hyperlink w:anchor="_Toc256000013" w:history="1">
        <w:r>
          <w:rPr>
            <w:rStyle w:val="Hyperlink"/>
          </w:rPr>
          <w:t>Microsoft Identity Manager</w:t>
        </w:r>
        <w:r>
          <w:tab/>
        </w:r>
        <w:r>
          <w:fldChar w:fldCharType="begin"/>
        </w:r>
        <w:r>
          <w:instrText xml:space="preserve"> PAGEREF _Toc256000013 \h </w:instrText>
        </w:r>
        <w:r>
          <w:fldChar w:fldCharType="separate"/>
        </w:r>
        <w:r>
          <w:t>41</w:t>
        </w:r>
        <w:r>
          <w:fldChar w:fldCharType="end"/>
        </w:r>
      </w:hyperlink>
    </w:p>
    <w:p>
      <w:pPr>
        <w:pStyle w:val="TOC2"/>
        <w:rPr>
          <w:rFonts w:asciiTheme="minorHAnsi" w:hAnsiTheme="minorHAnsi"/>
          <w:noProof/>
          <w:sz w:val="22"/>
        </w:rPr>
      </w:pPr>
      <w:hyperlink w:anchor="_Toc256000014" w:history="1">
        <w:r>
          <w:rPr>
            <w:rStyle w:val="Hyperlink"/>
          </w:rPr>
          <w:t>System Center</w:t>
        </w:r>
        <w:r>
          <w:tab/>
        </w:r>
        <w:r>
          <w:fldChar w:fldCharType="begin"/>
        </w:r>
        <w:r>
          <w:instrText xml:space="preserve"> PAGEREF _Toc256000014 \h </w:instrText>
        </w:r>
        <w:r>
          <w:fldChar w:fldCharType="separate"/>
        </w:r>
        <w:r>
          <w:t>42</w:t>
        </w:r>
        <w:r>
          <w:fldChar w:fldCharType="end"/>
        </w:r>
      </w:hyperlink>
    </w:p>
    <w:p>
      <w:pPr>
        <w:pStyle w:val="TOC2"/>
        <w:rPr>
          <w:rFonts w:asciiTheme="minorHAnsi" w:hAnsiTheme="minorHAnsi"/>
          <w:noProof/>
          <w:sz w:val="22"/>
        </w:rPr>
      </w:pPr>
      <w:hyperlink w:anchor="_Toc256000015" w:history="1">
        <w:r>
          <w:rPr>
            <w:rStyle w:val="Hyperlink"/>
          </w:rPr>
          <w:t>System Center Server</w:t>
        </w:r>
        <w:r>
          <w:tab/>
        </w:r>
        <w:r>
          <w:fldChar w:fldCharType="begin"/>
        </w:r>
        <w:r>
          <w:instrText xml:space="preserve"> PAGEREF _Toc256000015 \h </w:instrText>
        </w:r>
        <w:r>
          <w:fldChar w:fldCharType="separate"/>
        </w:r>
        <w:r>
          <w:t>42</w:t>
        </w:r>
        <w:r>
          <w:fldChar w:fldCharType="end"/>
        </w:r>
      </w:hyperlink>
    </w:p>
    <w:p>
      <w:pPr>
        <w:pStyle w:val="TOC2"/>
        <w:rPr>
          <w:rFonts w:asciiTheme="minorHAnsi" w:hAnsiTheme="minorHAnsi"/>
          <w:noProof/>
          <w:sz w:val="22"/>
        </w:rPr>
      </w:pPr>
      <w:hyperlink w:anchor="_Toc256000016" w:history="1">
        <w:r>
          <w:rPr>
            <w:rStyle w:val="Hyperlink"/>
          </w:rPr>
          <w:t>Microsoft Endpoint Configuration Manager</w:t>
        </w:r>
        <w:r>
          <w:tab/>
        </w:r>
        <w:r>
          <w:fldChar w:fldCharType="begin"/>
        </w:r>
        <w:r>
          <w:instrText xml:space="preserve"> PAGEREF _Toc256000016 \h </w:instrText>
        </w:r>
        <w:r>
          <w:fldChar w:fldCharType="separate"/>
        </w:r>
        <w:r>
          <w:t>45</w:t>
        </w:r>
        <w:r>
          <w:fldChar w:fldCharType="end"/>
        </w:r>
      </w:hyperlink>
    </w:p>
    <w:p>
      <w:pPr>
        <w:pStyle w:val="TOC2"/>
        <w:rPr>
          <w:rFonts w:asciiTheme="minorHAnsi" w:hAnsiTheme="minorHAnsi"/>
          <w:noProof/>
          <w:sz w:val="22"/>
        </w:rPr>
      </w:pPr>
      <w:hyperlink w:anchor="_Toc256000017" w:history="1">
        <w:r>
          <w:rPr>
            <w:rStyle w:val="Hyperlink"/>
          </w:rPr>
          <w:t>System Center Data Protection Manager</w:t>
        </w:r>
        <w:r>
          <w:tab/>
        </w:r>
        <w:r>
          <w:fldChar w:fldCharType="begin"/>
        </w:r>
        <w:r>
          <w:instrText xml:space="preserve"> PAGEREF _Toc256000017 \h </w:instrText>
        </w:r>
        <w:r>
          <w:fldChar w:fldCharType="separate"/>
        </w:r>
        <w:r>
          <w:t>48</w:t>
        </w:r>
        <w:r>
          <w:fldChar w:fldCharType="end"/>
        </w:r>
      </w:hyperlink>
    </w:p>
    <w:p>
      <w:pPr>
        <w:pStyle w:val="TOC2"/>
        <w:rPr>
          <w:rFonts w:asciiTheme="minorHAnsi" w:hAnsiTheme="minorHAnsi"/>
          <w:noProof/>
          <w:sz w:val="22"/>
        </w:rPr>
      </w:pPr>
      <w:hyperlink w:anchor="_Toc256000018" w:history="1">
        <w:r>
          <w:rPr>
            <w:rStyle w:val="Hyperlink"/>
          </w:rPr>
          <w:t>System Center Endpoint Protection</w:t>
        </w:r>
        <w:r>
          <w:tab/>
        </w:r>
        <w:r>
          <w:fldChar w:fldCharType="begin"/>
        </w:r>
        <w:r>
          <w:instrText xml:space="preserve"> PAGEREF _Toc256000018 \h </w:instrText>
        </w:r>
        <w:r>
          <w:fldChar w:fldCharType="separate"/>
        </w:r>
        <w:r>
          <w:t>50</w:t>
        </w:r>
        <w:r>
          <w:fldChar w:fldCharType="end"/>
        </w:r>
      </w:hyperlink>
    </w:p>
    <w:p>
      <w:pPr>
        <w:pStyle w:val="TOC2"/>
        <w:rPr>
          <w:rFonts w:asciiTheme="minorHAnsi" w:hAnsiTheme="minorHAnsi"/>
          <w:noProof/>
          <w:sz w:val="22"/>
        </w:rPr>
      </w:pPr>
      <w:hyperlink w:anchor="_Toc256000019" w:history="1">
        <w:r>
          <w:rPr>
            <w:rStyle w:val="Hyperlink"/>
          </w:rPr>
          <w:t>System Center Operations Manager</w:t>
        </w:r>
        <w:r>
          <w:tab/>
        </w:r>
        <w:r>
          <w:fldChar w:fldCharType="begin"/>
        </w:r>
        <w:r>
          <w:instrText xml:space="preserve"> PAGEREF _Toc256000019 \h </w:instrText>
        </w:r>
        <w:r>
          <w:fldChar w:fldCharType="separate"/>
        </w:r>
        <w:r>
          <w:t>52</w:t>
        </w:r>
        <w:r>
          <w:fldChar w:fldCharType="end"/>
        </w:r>
      </w:hyperlink>
    </w:p>
    <w:p>
      <w:pPr>
        <w:pStyle w:val="TOC2"/>
        <w:rPr>
          <w:rFonts w:asciiTheme="minorHAnsi" w:hAnsiTheme="minorHAnsi"/>
          <w:noProof/>
          <w:sz w:val="22"/>
        </w:rPr>
      </w:pPr>
      <w:hyperlink w:anchor="_Toc256000020" w:history="1">
        <w:r>
          <w:rPr>
            <w:rStyle w:val="Hyperlink"/>
          </w:rPr>
          <w:t>System Center Orchestrator</w:t>
        </w:r>
        <w:r>
          <w:tab/>
        </w:r>
        <w:r>
          <w:fldChar w:fldCharType="begin"/>
        </w:r>
        <w:r>
          <w:instrText xml:space="preserve"> PAGEREF _Toc256000020 \h </w:instrText>
        </w:r>
        <w:r>
          <w:fldChar w:fldCharType="separate"/>
        </w:r>
        <w:r>
          <w:t>55</w:t>
        </w:r>
        <w:r>
          <w:fldChar w:fldCharType="end"/>
        </w:r>
      </w:hyperlink>
    </w:p>
    <w:p>
      <w:pPr>
        <w:pStyle w:val="TOC2"/>
        <w:rPr>
          <w:rFonts w:asciiTheme="minorHAnsi" w:hAnsiTheme="minorHAnsi"/>
          <w:noProof/>
          <w:sz w:val="22"/>
        </w:rPr>
      </w:pPr>
      <w:hyperlink w:anchor="_Toc256000021" w:history="1">
        <w:r>
          <w:rPr>
            <w:rStyle w:val="Hyperlink"/>
          </w:rPr>
          <w:t>System Center Service Manager</w:t>
        </w:r>
        <w:r>
          <w:tab/>
        </w:r>
        <w:r>
          <w:fldChar w:fldCharType="begin"/>
        </w:r>
        <w:r>
          <w:instrText xml:space="preserve"> PAGEREF _Toc256000021 \h </w:instrText>
        </w:r>
        <w:r>
          <w:fldChar w:fldCharType="separate"/>
        </w:r>
        <w:r>
          <w:t>57</w:t>
        </w:r>
        <w:r>
          <w:fldChar w:fldCharType="end"/>
        </w:r>
      </w:hyperlink>
    </w:p>
    <w:p>
      <w:pPr>
        <w:pStyle w:val="TOC2"/>
        <w:rPr>
          <w:rFonts w:asciiTheme="minorHAnsi" w:hAnsiTheme="minorHAnsi"/>
          <w:noProof/>
          <w:sz w:val="22"/>
        </w:rPr>
      </w:pPr>
      <w:hyperlink w:anchor="_Toc256000022" w:history="1">
        <w:r>
          <w:rPr>
            <w:rStyle w:val="Hyperlink"/>
          </w:rPr>
          <w:t>Microsoft Dynamics 365 On-premises</w:t>
        </w:r>
        <w:r>
          <w:tab/>
        </w:r>
        <w:r>
          <w:fldChar w:fldCharType="begin"/>
        </w:r>
        <w:r>
          <w:instrText xml:space="preserve"> PAGEREF _Toc256000022 \h </w:instrText>
        </w:r>
        <w:r>
          <w:fldChar w:fldCharType="separate"/>
        </w:r>
        <w:r>
          <w:t>59</w:t>
        </w:r>
        <w:r>
          <w:fldChar w:fldCharType="end"/>
        </w:r>
      </w:hyperlink>
    </w:p>
    <w:p>
      <w:pPr>
        <w:pStyle w:val="TOC2"/>
        <w:rPr>
          <w:rFonts w:asciiTheme="minorHAnsi" w:hAnsiTheme="minorHAnsi"/>
          <w:noProof/>
          <w:sz w:val="22"/>
        </w:rPr>
      </w:pPr>
      <w:hyperlink w:anchor="_Toc256000023" w:history="1">
        <w:r>
          <w:rPr>
            <w:rStyle w:val="Hyperlink"/>
          </w:rPr>
          <w:t>Office Applications</w:t>
        </w:r>
        <w:r>
          <w:tab/>
        </w:r>
        <w:r>
          <w:fldChar w:fldCharType="begin"/>
        </w:r>
        <w:r>
          <w:instrText xml:space="preserve"> PAGEREF _Toc256000023 \h </w:instrText>
        </w:r>
        <w:r>
          <w:fldChar w:fldCharType="separate"/>
        </w:r>
        <w:r>
          <w:t>62</w:t>
        </w:r>
        <w:r>
          <w:fldChar w:fldCharType="end"/>
        </w:r>
      </w:hyperlink>
    </w:p>
    <w:p>
      <w:pPr>
        <w:pStyle w:val="TOC2"/>
        <w:rPr>
          <w:rFonts w:asciiTheme="minorHAnsi" w:hAnsiTheme="minorHAnsi"/>
          <w:noProof/>
          <w:sz w:val="22"/>
        </w:rPr>
      </w:pPr>
      <w:hyperlink w:anchor="_Toc256000024" w:history="1">
        <w:r>
          <w:rPr>
            <w:rStyle w:val="Hyperlink"/>
          </w:rPr>
          <w:t>Office Desktop Applications (Windows)</w:t>
        </w:r>
        <w:r>
          <w:tab/>
        </w:r>
        <w:r>
          <w:fldChar w:fldCharType="begin"/>
        </w:r>
        <w:r>
          <w:instrText xml:space="preserve"> PAGEREF _Toc256000024 \h </w:instrText>
        </w:r>
        <w:r>
          <w:fldChar w:fldCharType="separate"/>
        </w:r>
        <w:r>
          <w:t>62</w:t>
        </w:r>
        <w:r>
          <w:fldChar w:fldCharType="end"/>
        </w:r>
      </w:hyperlink>
    </w:p>
    <w:p>
      <w:pPr>
        <w:pStyle w:val="TOC2"/>
        <w:rPr>
          <w:rFonts w:asciiTheme="minorHAnsi" w:hAnsiTheme="minorHAnsi"/>
          <w:noProof/>
          <w:sz w:val="22"/>
        </w:rPr>
      </w:pPr>
      <w:hyperlink w:anchor="_Toc256000025" w:history="1">
        <w:r>
          <w:rPr>
            <w:rStyle w:val="Hyperlink"/>
          </w:rPr>
          <w:t>Office Servers</w:t>
        </w:r>
        <w:r>
          <w:tab/>
        </w:r>
        <w:r>
          <w:fldChar w:fldCharType="begin"/>
        </w:r>
        <w:r>
          <w:instrText xml:space="preserve"> PAGEREF _Toc256000025 \h </w:instrText>
        </w:r>
        <w:r>
          <w:fldChar w:fldCharType="separate"/>
        </w:r>
        <w:r>
          <w:t>64</w:t>
        </w:r>
        <w:r>
          <w:fldChar w:fldCharType="end"/>
        </w:r>
      </w:hyperlink>
    </w:p>
    <w:p>
      <w:pPr>
        <w:pStyle w:val="TOC2"/>
        <w:rPr>
          <w:rFonts w:asciiTheme="minorHAnsi" w:hAnsiTheme="minorHAnsi"/>
          <w:noProof/>
          <w:sz w:val="22"/>
        </w:rPr>
      </w:pPr>
      <w:hyperlink w:anchor="_Toc256000026" w:history="1">
        <w:r>
          <w:rPr>
            <w:rStyle w:val="Hyperlink"/>
          </w:rPr>
          <w:t>Exchange Server</w:t>
        </w:r>
        <w:r>
          <w:tab/>
        </w:r>
        <w:r>
          <w:fldChar w:fldCharType="begin"/>
        </w:r>
        <w:r>
          <w:instrText xml:space="preserve"> PAGEREF _Toc256000026 \h </w:instrText>
        </w:r>
        <w:r>
          <w:fldChar w:fldCharType="separate"/>
        </w:r>
        <w:r>
          <w:t>64</w:t>
        </w:r>
        <w:r>
          <w:fldChar w:fldCharType="end"/>
        </w:r>
      </w:hyperlink>
    </w:p>
    <w:p>
      <w:pPr>
        <w:pStyle w:val="TOC2"/>
        <w:rPr>
          <w:rFonts w:asciiTheme="minorHAnsi" w:hAnsiTheme="minorHAnsi"/>
          <w:noProof/>
          <w:sz w:val="22"/>
        </w:rPr>
      </w:pPr>
      <w:hyperlink w:anchor="_Toc256000027" w:history="1">
        <w:r>
          <w:rPr>
            <w:rStyle w:val="Hyperlink"/>
          </w:rPr>
          <w:t>Project Server</w:t>
        </w:r>
        <w:r>
          <w:tab/>
        </w:r>
        <w:r>
          <w:fldChar w:fldCharType="begin"/>
        </w:r>
        <w:r>
          <w:instrText xml:space="preserve"> PAGEREF _Toc256000027 \h </w:instrText>
        </w:r>
        <w:r>
          <w:fldChar w:fldCharType="separate"/>
        </w:r>
        <w:r>
          <w:t>66</w:t>
        </w:r>
        <w:r>
          <w:fldChar w:fldCharType="end"/>
        </w:r>
      </w:hyperlink>
    </w:p>
    <w:p>
      <w:pPr>
        <w:pStyle w:val="TOC2"/>
        <w:rPr>
          <w:rFonts w:asciiTheme="minorHAnsi" w:hAnsiTheme="minorHAnsi"/>
          <w:noProof/>
          <w:sz w:val="22"/>
        </w:rPr>
      </w:pPr>
      <w:hyperlink w:anchor="_Toc256000028" w:history="1">
        <w:r>
          <w:rPr>
            <w:rStyle w:val="Hyperlink"/>
          </w:rPr>
          <w:t>SharePoint Server</w:t>
        </w:r>
        <w:r>
          <w:tab/>
        </w:r>
        <w:r>
          <w:fldChar w:fldCharType="begin"/>
        </w:r>
        <w:r>
          <w:instrText xml:space="preserve"> PAGEREF _Toc256000028 \h </w:instrText>
        </w:r>
        <w:r>
          <w:fldChar w:fldCharType="separate"/>
        </w:r>
        <w:r>
          <w:t>68</w:t>
        </w:r>
        <w:r>
          <w:fldChar w:fldCharType="end"/>
        </w:r>
      </w:hyperlink>
    </w:p>
    <w:p>
      <w:pPr>
        <w:pStyle w:val="TOC2"/>
        <w:rPr>
          <w:rFonts w:asciiTheme="minorHAnsi" w:hAnsiTheme="minorHAnsi"/>
          <w:noProof/>
          <w:sz w:val="22"/>
        </w:rPr>
      </w:pPr>
      <w:hyperlink w:anchor="_Toc256000029" w:history="1">
        <w:r>
          <w:rPr>
            <w:rStyle w:val="Hyperlink"/>
          </w:rPr>
          <w:t>Skype for Business Server</w:t>
        </w:r>
        <w:r>
          <w:tab/>
        </w:r>
        <w:r>
          <w:fldChar w:fldCharType="begin"/>
        </w:r>
        <w:r>
          <w:instrText xml:space="preserve"> PAGEREF _Toc256000029 \h </w:instrText>
        </w:r>
        <w:r>
          <w:fldChar w:fldCharType="separate"/>
        </w:r>
        <w:r>
          <w:t>70</w:t>
        </w:r>
        <w:r>
          <w:fldChar w:fldCharType="end"/>
        </w:r>
      </w:hyperlink>
    </w:p>
    <w:p>
      <w:pPr>
        <w:pStyle w:val="TOC2"/>
        <w:rPr>
          <w:rFonts w:asciiTheme="minorHAnsi" w:hAnsiTheme="minorHAnsi"/>
          <w:noProof/>
          <w:sz w:val="22"/>
        </w:rPr>
      </w:pPr>
      <w:hyperlink w:anchor="_Toc256000030" w:history="1">
        <w:r>
          <w:rPr>
            <w:rStyle w:val="Hyperlink"/>
          </w:rPr>
          <w:t>SQL Server</w:t>
        </w:r>
        <w:r>
          <w:tab/>
        </w:r>
        <w:r>
          <w:fldChar w:fldCharType="begin"/>
        </w:r>
        <w:r>
          <w:instrText xml:space="preserve"> PAGEREF _Toc256000030 \h </w:instrText>
        </w:r>
        <w:r>
          <w:fldChar w:fldCharType="separate"/>
        </w:r>
        <w:r>
          <w:t>72</w:t>
        </w:r>
        <w:r>
          <w:fldChar w:fldCharType="end"/>
        </w:r>
      </w:hyperlink>
    </w:p>
    <w:p>
      <w:pPr>
        <w:pStyle w:val="TOC2"/>
        <w:rPr>
          <w:rFonts w:asciiTheme="minorHAnsi" w:hAnsiTheme="minorHAnsi"/>
          <w:noProof/>
          <w:sz w:val="22"/>
        </w:rPr>
      </w:pPr>
      <w:hyperlink w:anchor="_Toc256000031" w:history="1">
        <w:r>
          <w:rPr>
            <w:rStyle w:val="Hyperlink"/>
          </w:rPr>
          <w:t>Visual Studio</w:t>
        </w:r>
        <w:r>
          <w:tab/>
        </w:r>
        <w:r>
          <w:fldChar w:fldCharType="begin"/>
        </w:r>
        <w:r>
          <w:instrText xml:space="preserve"> PAGEREF _Toc256000031 \h </w:instrText>
        </w:r>
        <w:r>
          <w:fldChar w:fldCharType="separate"/>
        </w:r>
        <w:r>
          <w:t>76</w:t>
        </w:r>
        <w:r>
          <w:fldChar w:fldCharType="end"/>
        </w:r>
      </w:hyperlink>
    </w:p>
    <w:p>
      <w:pPr>
        <w:pStyle w:val="TOC2"/>
        <w:rPr>
          <w:rFonts w:asciiTheme="minorHAnsi" w:hAnsiTheme="minorHAnsi"/>
          <w:noProof/>
          <w:sz w:val="22"/>
        </w:rPr>
      </w:pPr>
      <w:hyperlink w:anchor="_Toc256000032" w:history="1">
        <w:r>
          <w:rPr>
            <w:rStyle w:val="Hyperlink"/>
          </w:rPr>
          <w:t>Visual Studio Subscriptions</w:t>
        </w:r>
        <w:r>
          <w:tab/>
        </w:r>
        <w:r>
          <w:fldChar w:fldCharType="begin"/>
        </w:r>
        <w:r>
          <w:instrText xml:space="preserve"> PAGEREF _Toc256000032 \h </w:instrText>
        </w:r>
        <w:r>
          <w:fldChar w:fldCharType="separate"/>
        </w:r>
        <w:r>
          <w:t>76</w:t>
        </w:r>
        <w:r>
          <w:fldChar w:fldCharType="end"/>
        </w:r>
      </w:hyperlink>
    </w:p>
    <w:p>
      <w:pPr>
        <w:pStyle w:val="TOC2"/>
        <w:rPr>
          <w:rFonts w:asciiTheme="minorHAnsi" w:hAnsiTheme="minorHAnsi"/>
          <w:noProof/>
          <w:sz w:val="22"/>
        </w:rPr>
      </w:pPr>
      <w:hyperlink w:anchor="_Toc256000033" w:history="1">
        <w:r>
          <w:rPr>
            <w:rStyle w:val="Hyperlink"/>
          </w:rPr>
          <w:t>Azure DevOps Server</w:t>
        </w:r>
        <w:r>
          <w:tab/>
        </w:r>
        <w:r>
          <w:fldChar w:fldCharType="begin"/>
        </w:r>
        <w:r>
          <w:instrText xml:space="preserve"> PAGEREF _Toc256000033 \h </w:instrText>
        </w:r>
        <w:r>
          <w:fldChar w:fldCharType="separate"/>
        </w:r>
        <w:r>
          <w:t>79</w:t>
        </w:r>
        <w:r>
          <w:fldChar w:fldCharType="end"/>
        </w:r>
      </w:hyperlink>
    </w:p>
    <w:p>
      <w:pPr>
        <w:pStyle w:val="TOC2"/>
        <w:rPr>
          <w:rFonts w:asciiTheme="minorHAnsi" w:hAnsiTheme="minorHAnsi"/>
          <w:noProof/>
          <w:sz w:val="22"/>
        </w:rPr>
      </w:pPr>
      <w:hyperlink w:anchor="_Toc256000034" w:history="1">
        <w:r>
          <w:rPr>
            <w:rStyle w:val="Hyperlink"/>
          </w:rPr>
          <w:t>Windows Desktop Operating System</w:t>
        </w:r>
        <w:r>
          <w:tab/>
        </w:r>
        <w:r>
          <w:fldChar w:fldCharType="begin"/>
        </w:r>
        <w:r>
          <w:instrText xml:space="preserve"> PAGEREF _Toc256000034 \h </w:instrText>
        </w:r>
        <w:r>
          <w:fldChar w:fldCharType="separate"/>
        </w:r>
        <w:r>
          <w:t>81</w:t>
        </w:r>
        <w:r>
          <w:fldChar w:fldCharType="end"/>
        </w:r>
      </w:hyperlink>
    </w:p>
    <w:p>
      <w:pPr>
        <w:pStyle w:val="TOC2"/>
        <w:rPr>
          <w:rFonts w:asciiTheme="minorHAnsi" w:hAnsiTheme="minorHAnsi"/>
          <w:noProof/>
          <w:sz w:val="22"/>
        </w:rPr>
      </w:pPr>
      <w:hyperlink w:anchor="_Toc256000035" w:history="1">
        <w:r>
          <w:rPr>
            <w:rStyle w:val="Hyperlink"/>
          </w:rPr>
          <w:t>Windows Server</w:t>
        </w:r>
        <w:r>
          <w:tab/>
        </w:r>
        <w:r>
          <w:fldChar w:fldCharType="begin"/>
        </w:r>
        <w:r>
          <w:instrText xml:space="preserve"> PAGEREF _Toc256000035 \h </w:instrText>
        </w:r>
        <w:r>
          <w:fldChar w:fldCharType="separate"/>
        </w:r>
        <w:r>
          <w:t>88</w:t>
        </w:r>
        <w:r>
          <w:fldChar w:fldCharType="end"/>
        </w:r>
      </w:hyperlink>
    </w:p>
    <w:p>
      <w:pPr>
        <w:pStyle w:val="TOC2"/>
        <w:rPr>
          <w:rFonts w:asciiTheme="minorHAnsi" w:hAnsiTheme="minorHAnsi"/>
          <w:noProof/>
          <w:sz w:val="22"/>
        </w:rPr>
      </w:pPr>
      <w:hyperlink w:anchor="_Toc256000036" w:history="1">
        <w:r>
          <w:rPr>
            <w:rStyle w:val="Hyperlink"/>
          </w:rPr>
          <w:t>Windows Multipoint Server</w:t>
        </w:r>
        <w:r>
          <w:tab/>
        </w:r>
        <w:r>
          <w:fldChar w:fldCharType="begin"/>
        </w:r>
        <w:r>
          <w:instrText xml:space="preserve"> PAGEREF _Toc256000036 \h </w:instrText>
        </w:r>
        <w:r>
          <w:fldChar w:fldCharType="separate"/>
        </w:r>
        <w:r>
          <w:t>88</w:t>
        </w:r>
        <w:r>
          <w:fldChar w:fldCharType="end"/>
        </w:r>
      </w:hyperlink>
    </w:p>
    <w:p>
      <w:pPr>
        <w:pStyle w:val="TOC2"/>
        <w:rPr>
          <w:rFonts w:asciiTheme="minorHAnsi" w:hAnsiTheme="minorHAnsi"/>
          <w:noProof/>
          <w:sz w:val="22"/>
        </w:rPr>
      </w:pPr>
      <w:hyperlink w:anchor="_Toc256000037" w:history="1">
        <w:r>
          <w:rPr>
            <w:rStyle w:val="Hyperlink"/>
          </w:rPr>
          <w:t>Windows Server Standard, Datacenter, and Essentials</w:t>
        </w:r>
        <w:r>
          <w:tab/>
        </w:r>
        <w:r>
          <w:fldChar w:fldCharType="begin"/>
        </w:r>
        <w:r>
          <w:instrText xml:space="preserve"> PAGEREF _Toc256000037 \h </w:instrText>
        </w:r>
        <w:r>
          <w:fldChar w:fldCharType="separate"/>
        </w:r>
        <w:r>
          <w:t>91</w:t>
        </w:r>
        <w:r>
          <w:fldChar w:fldCharType="end"/>
        </w:r>
      </w:hyperlink>
    </w:p>
    <w:p>
      <w:pPr>
        <w:pStyle w:val="TOC2"/>
        <w:rPr>
          <w:rFonts w:asciiTheme="minorHAnsi" w:hAnsiTheme="minorHAnsi"/>
          <w:noProof/>
          <w:sz w:val="22"/>
        </w:rPr>
      </w:pPr>
      <w:hyperlink w:anchor="_Toc256000038" w:history="1">
        <w:r>
          <w:rPr>
            <w:rStyle w:val="Hyperlink"/>
          </w:rPr>
          <w:t>Enterprise Mobility + Security</w:t>
        </w:r>
        <w:r>
          <w:tab/>
        </w:r>
        <w:r>
          <w:fldChar w:fldCharType="begin"/>
        </w:r>
        <w:r>
          <w:instrText xml:space="preserve"> PAGEREF _Toc256000038 \h </w:instrText>
        </w:r>
        <w:r>
          <w:fldChar w:fldCharType="separate"/>
        </w:r>
        <w:r>
          <w:t>95</w:t>
        </w:r>
        <w:r>
          <w:fldChar w:fldCharType="end"/>
        </w:r>
      </w:hyperlink>
    </w:p>
    <w:p>
      <w:pPr>
        <w:pStyle w:val="TOC2"/>
        <w:rPr>
          <w:rFonts w:asciiTheme="minorHAnsi" w:hAnsiTheme="minorHAnsi"/>
          <w:noProof/>
          <w:sz w:val="22"/>
        </w:rPr>
      </w:pPr>
      <w:hyperlink w:anchor="_Toc256000039" w:history="1">
        <w:r>
          <w:rPr>
            <w:rStyle w:val="Hyperlink"/>
          </w:rPr>
          <w:t>Microsoft 365</w:t>
        </w:r>
        <w:r>
          <w:tab/>
        </w:r>
        <w:r>
          <w:fldChar w:fldCharType="begin"/>
        </w:r>
        <w:r>
          <w:instrText xml:space="preserve"> PAGEREF _Toc256000039 \h </w:instrText>
        </w:r>
        <w:r>
          <w:fldChar w:fldCharType="separate"/>
        </w:r>
        <w:r>
          <w:t>96</w:t>
        </w:r>
        <w:r>
          <w:fldChar w:fldCharType="end"/>
        </w:r>
      </w:hyperlink>
    </w:p>
    <w:p>
      <w:pPr>
        <w:pStyle w:val="TOC2"/>
        <w:rPr>
          <w:rFonts w:asciiTheme="minorHAnsi" w:hAnsiTheme="minorHAnsi"/>
          <w:noProof/>
          <w:sz w:val="22"/>
        </w:rPr>
      </w:pPr>
      <w:hyperlink w:anchor="_Toc256000040" w:history="1">
        <w:r>
          <w:rPr>
            <w:rStyle w:val="Hyperlink"/>
          </w:rPr>
          <w:t>Microsoft Azure</w:t>
        </w:r>
        <w:r>
          <w:tab/>
        </w:r>
        <w:r>
          <w:fldChar w:fldCharType="begin"/>
        </w:r>
        <w:r>
          <w:instrText xml:space="preserve"> PAGEREF _Toc256000040 \h </w:instrText>
        </w:r>
        <w:r>
          <w:fldChar w:fldCharType="separate"/>
        </w:r>
        <w:r>
          <w:t>103</w:t>
        </w:r>
        <w:r>
          <w:fldChar w:fldCharType="end"/>
        </w:r>
      </w:hyperlink>
    </w:p>
    <w:p>
      <w:pPr>
        <w:pStyle w:val="TOC2"/>
        <w:rPr>
          <w:rFonts w:asciiTheme="minorHAnsi" w:hAnsiTheme="minorHAnsi"/>
          <w:noProof/>
          <w:sz w:val="22"/>
        </w:rPr>
      </w:pPr>
      <w:hyperlink w:anchor="_Toc256000041" w:history="1">
        <w:r>
          <w:rPr>
            <w:rStyle w:val="Hyperlink"/>
          </w:rPr>
          <w:t>Microsoft Dynamics 365 Services</w:t>
        </w:r>
        <w:r>
          <w:tab/>
        </w:r>
        <w:r>
          <w:fldChar w:fldCharType="begin"/>
        </w:r>
        <w:r>
          <w:instrText xml:space="preserve"> PAGEREF _Toc256000041 \h </w:instrText>
        </w:r>
        <w:r>
          <w:fldChar w:fldCharType="separate"/>
        </w:r>
        <w:r>
          <w:t>131</w:t>
        </w:r>
        <w:r>
          <w:fldChar w:fldCharType="end"/>
        </w:r>
      </w:hyperlink>
    </w:p>
    <w:p>
      <w:pPr>
        <w:pStyle w:val="TOC2"/>
        <w:rPr>
          <w:rFonts w:asciiTheme="minorHAnsi" w:hAnsiTheme="minorHAnsi"/>
          <w:noProof/>
          <w:sz w:val="22"/>
        </w:rPr>
      </w:pPr>
      <w:hyperlink w:anchor="_Toc256000042" w:history="1">
        <w:r>
          <w:rPr>
            <w:rStyle w:val="Hyperlink"/>
          </w:rPr>
          <w:t>Microsoft Power Platform</w:t>
        </w:r>
        <w:r>
          <w:tab/>
        </w:r>
        <w:r>
          <w:fldChar w:fldCharType="begin"/>
        </w:r>
        <w:r>
          <w:instrText xml:space="preserve"> PAGEREF _Toc256000042 \h </w:instrText>
        </w:r>
        <w:r>
          <w:fldChar w:fldCharType="separate"/>
        </w:r>
        <w:r>
          <w:t>138</w:t>
        </w:r>
        <w:r>
          <w:fldChar w:fldCharType="end"/>
        </w:r>
      </w:hyperlink>
    </w:p>
    <w:p>
      <w:pPr>
        <w:pStyle w:val="TOC2"/>
        <w:rPr>
          <w:rFonts w:asciiTheme="minorHAnsi" w:hAnsiTheme="minorHAnsi"/>
          <w:noProof/>
          <w:sz w:val="22"/>
        </w:rPr>
      </w:pPr>
      <w:hyperlink w:anchor="_Toc256000043" w:history="1">
        <w:r>
          <w:rPr>
            <w:rStyle w:val="Hyperlink"/>
          </w:rPr>
          <w:t>Office 365 Services</w:t>
        </w:r>
        <w:r>
          <w:tab/>
        </w:r>
        <w:r>
          <w:fldChar w:fldCharType="begin"/>
        </w:r>
        <w:r>
          <w:instrText xml:space="preserve"> PAGEREF _Toc256000043 \h </w:instrText>
        </w:r>
        <w:r>
          <w:fldChar w:fldCharType="separate"/>
        </w:r>
        <w:r>
          <w:t>142</w:t>
        </w:r>
        <w:r>
          <w:fldChar w:fldCharType="end"/>
        </w:r>
      </w:hyperlink>
    </w:p>
    <w:p>
      <w:pPr>
        <w:pStyle w:val="TOC2"/>
        <w:rPr>
          <w:rFonts w:asciiTheme="minorHAnsi" w:hAnsiTheme="minorHAnsi"/>
          <w:noProof/>
          <w:sz w:val="22"/>
        </w:rPr>
      </w:pPr>
      <w:hyperlink w:anchor="_Toc256000044" w:history="1">
        <w:r>
          <w:rPr>
            <w:rStyle w:val="Hyperlink"/>
          </w:rPr>
          <w:t>Audio Services</w:t>
        </w:r>
        <w:r>
          <w:tab/>
        </w:r>
        <w:r>
          <w:fldChar w:fldCharType="begin"/>
        </w:r>
        <w:r>
          <w:instrText xml:space="preserve"> PAGEREF _Toc256000044 \h </w:instrText>
        </w:r>
        <w:r>
          <w:fldChar w:fldCharType="separate"/>
        </w:r>
        <w:r>
          <w:t>142</w:t>
        </w:r>
        <w:r>
          <w:fldChar w:fldCharType="end"/>
        </w:r>
      </w:hyperlink>
    </w:p>
    <w:p>
      <w:pPr>
        <w:pStyle w:val="TOC2"/>
        <w:rPr>
          <w:rFonts w:asciiTheme="minorHAnsi" w:hAnsiTheme="minorHAnsi"/>
          <w:noProof/>
          <w:sz w:val="22"/>
        </w:rPr>
      </w:pPr>
      <w:hyperlink w:anchor="_Toc256000045" w:history="1">
        <w:r>
          <w:rPr>
            <w:rStyle w:val="Hyperlink"/>
          </w:rPr>
          <w:t>Exchange Online</w:t>
        </w:r>
        <w:r>
          <w:tab/>
        </w:r>
        <w:r>
          <w:fldChar w:fldCharType="begin"/>
        </w:r>
        <w:r>
          <w:instrText xml:space="preserve"> PAGEREF _Toc256000045 \h </w:instrText>
        </w:r>
        <w:r>
          <w:fldChar w:fldCharType="separate"/>
        </w:r>
        <w:r>
          <w:t>145</w:t>
        </w:r>
        <w:r>
          <w:fldChar w:fldCharType="end"/>
        </w:r>
      </w:hyperlink>
    </w:p>
    <w:p>
      <w:pPr>
        <w:pStyle w:val="TOC2"/>
        <w:rPr>
          <w:rFonts w:asciiTheme="minorHAnsi" w:hAnsiTheme="minorHAnsi"/>
          <w:noProof/>
          <w:sz w:val="22"/>
        </w:rPr>
      </w:pPr>
      <w:hyperlink w:anchor="_Toc256000046" w:history="1">
        <w:r>
          <w:rPr>
            <w:rStyle w:val="Hyperlink"/>
          </w:rPr>
          <w:t>Microsoft 365 Applications</w:t>
        </w:r>
        <w:r>
          <w:tab/>
        </w:r>
        <w:r>
          <w:fldChar w:fldCharType="begin"/>
        </w:r>
        <w:r>
          <w:instrText xml:space="preserve"> PAGEREF _Toc256000046 \h </w:instrText>
        </w:r>
        <w:r>
          <w:fldChar w:fldCharType="separate"/>
        </w:r>
        <w:r>
          <w:t>148</w:t>
        </w:r>
        <w:r>
          <w:fldChar w:fldCharType="end"/>
        </w:r>
      </w:hyperlink>
    </w:p>
    <w:p>
      <w:pPr>
        <w:pStyle w:val="TOC2"/>
        <w:rPr>
          <w:rFonts w:asciiTheme="minorHAnsi" w:hAnsiTheme="minorHAnsi"/>
          <w:noProof/>
          <w:sz w:val="22"/>
        </w:rPr>
      </w:pPr>
      <w:hyperlink w:anchor="_Toc256000047" w:history="1">
        <w:r>
          <w:rPr>
            <w:rStyle w:val="Hyperlink"/>
          </w:rPr>
          <w:t>Microsoft Teams</w:t>
        </w:r>
        <w:r>
          <w:tab/>
        </w:r>
        <w:r>
          <w:fldChar w:fldCharType="begin"/>
        </w:r>
        <w:r>
          <w:instrText xml:space="preserve"> PAGEREF _Toc256000047 \h </w:instrText>
        </w:r>
        <w:r>
          <w:fldChar w:fldCharType="separate"/>
        </w:r>
        <w:r>
          <w:t>151</w:t>
        </w:r>
        <w:r>
          <w:fldChar w:fldCharType="end"/>
        </w:r>
      </w:hyperlink>
    </w:p>
    <w:p>
      <w:pPr>
        <w:pStyle w:val="TOC2"/>
        <w:rPr>
          <w:rFonts w:asciiTheme="minorHAnsi" w:hAnsiTheme="minorHAnsi"/>
          <w:noProof/>
          <w:sz w:val="22"/>
        </w:rPr>
      </w:pPr>
      <w:hyperlink w:anchor="_Toc256000048" w:history="1">
        <w:r>
          <w:rPr>
            <w:rStyle w:val="Hyperlink"/>
          </w:rPr>
          <w:t>Office 365 Suites</w:t>
        </w:r>
        <w:r>
          <w:tab/>
        </w:r>
        <w:r>
          <w:fldChar w:fldCharType="begin"/>
        </w:r>
        <w:r>
          <w:instrText xml:space="preserve"> PAGEREF _Toc256000048 \h </w:instrText>
        </w:r>
        <w:r>
          <w:fldChar w:fldCharType="separate"/>
        </w:r>
        <w:r>
          <w:t>152</w:t>
        </w:r>
        <w:r>
          <w:fldChar w:fldCharType="end"/>
        </w:r>
      </w:hyperlink>
    </w:p>
    <w:p>
      <w:pPr>
        <w:pStyle w:val="TOC2"/>
        <w:rPr>
          <w:rFonts w:asciiTheme="minorHAnsi" w:hAnsiTheme="minorHAnsi"/>
          <w:noProof/>
          <w:sz w:val="22"/>
        </w:rPr>
      </w:pPr>
      <w:hyperlink w:anchor="_Toc256000049" w:history="1">
        <w:r>
          <w:rPr>
            <w:rStyle w:val="Hyperlink"/>
          </w:rPr>
          <w:t>Office for the web</w:t>
        </w:r>
        <w:r>
          <w:tab/>
        </w:r>
        <w:r>
          <w:fldChar w:fldCharType="begin"/>
        </w:r>
        <w:r>
          <w:instrText xml:space="preserve"> PAGEREF _Toc256000049 \h </w:instrText>
        </w:r>
        <w:r>
          <w:fldChar w:fldCharType="separate"/>
        </w:r>
        <w:r>
          <w:t>155</w:t>
        </w:r>
        <w:r>
          <w:fldChar w:fldCharType="end"/>
        </w:r>
      </w:hyperlink>
    </w:p>
    <w:p>
      <w:pPr>
        <w:pStyle w:val="TOC2"/>
        <w:rPr>
          <w:rFonts w:asciiTheme="minorHAnsi" w:hAnsiTheme="minorHAnsi"/>
          <w:noProof/>
          <w:sz w:val="22"/>
        </w:rPr>
      </w:pPr>
      <w:hyperlink w:anchor="_Toc256000050" w:history="1">
        <w:r>
          <w:rPr>
            <w:rStyle w:val="Hyperlink"/>
          </w:rPr>
          <w:t>Project</w:t>
        </w:r>
        <w:r>
          <w:tab/>
        </w:r>
        <w:r>
          <w:fldChar w:fldCharType="begin"/>
        </w:r>
        <w:r>
          <w:instrText xml:space="preserve"> PAGEREF _Toc256000050 \h </w:instrText>
        </w:r>
        <w:r>
          <w:fldChar w:fldCharType="separate"/>
        </w:r>
        <w:r>
          <w:t>155</w:t>
        </w:r>
        <w:r>
          <w:fldChar w:fldCharType="end"/>
        </w:r>
      </w:hyperlink>
    </w:p>
    <w:p>
      <w:pPr>
        <w:pStyle w:val="TOC2"/>
        <w:rPr>
          <w:rFonts w:asciiTheme="minorHAnsi" w:hAnsiTheme="minorHAnsi"/>
          <w:noProof/>
          <w:sz w:val="22"/>
        </w:rPr>
      </w:pPr>
      <w:hyperlink w:anchor="_Toc256000051" w:history="1">
        <w:r>
          <w:rPr>
            <w:rStyle w:val="Hyperlink"/>
          </w:rPr>
          <w:t>SharePoint Online</w:t>
        </w:r>
        <w:r>
          <w:tab/>
        </w:r>
        <w:r>
          <w:fldChar w:fldCharType="begin"/>
        </w:r>
        <w:r>
          <w:instrText xml:space="preserve"> PAGEREF _Toc256000051 \h </w:instrText>
        </w:r>
        <w:r>
          <w:fldChar w:fldCharType="separate"/>
        </w:r>
        <w:r>
          <w:t>158</w:t>
        </w:r>
        <w:r>
          <w:fldChar w:fldCharType="end"/>
        </w:r>
      </w:hyperlink>
    </w:p>
    <w:p>
      <w:pPr>
        <w:pStyle w:val="TOC2"/>
        <w:rPr>
          <w:rFonts w:asciiTheme="minorHAnsi" w:hAnsiTheme="minorHAnsi"/>
          <w:noProof/>
          <w:sz w:val="22"/>
        </w:rPr>
      </w:pPr>
      <w:hyperlink w:anchor="_Toc256000052" w:history="1">
        <w:r>
          <w:rPr>
            <w:rStyle w:val="Hyperlink"/>
          </w:rPr>
          <w:t>Visio Online</w:t>
        </w:r>
        <w:r>
          <w:tab/>
        </w:r>
        <w:r>
          <w:fldChar w:fldCharType="begin"/>
        </w:r>
        <w:r>
          <w:instrText xml:space="preserve"> PAGEREF _Toc256000052 \h </w:instrText>
        </w:r>
        <w:r>
          <w:fldChar w:fldCharType="separate"/>
        </w:r>
        <w:r>
          <w:t>159</w:t>
        </w:r>
        <w:r>
          <w:fldChar w:fldCharType="end"/>
        </w:r>
      </w:hyperlink>
    </w:p>
    <w:p>
      <w:pPr>
        <w:pStyle w:val="TOC2"/>
        <w:rPr>
          <w:rFonts w:asciiTheme="minorHAnsi" w:hAnsiTheme="minorHAnsi"/>
          <w:noProof/>
          <w:sz w:val="22"/>
        </w:rPr>
      </w:pPr>
      <w:hyperlink w:anchor="_Toc256000053" w:history="1">
        <w:r>
          <w:rPr>
            <w:rStyle w:val="Hyperlink"/>
          </w:rPr>
          <w:t>Other Online Services</w:t>
        </w:r>
        <w:r>
          <w:tab/>
        </w:r>
        <w:r>
          <w:fldChar w:fldCharType="begin"/>
        </w:r>
        <w:r>
          <w:instrText xml:space="preserve"> PAGEREF _Toc256000053 \h </w:instrText>
        </w:r>
        <w:r>
          <w:fldChar w:fldCharType="separate"/>
        </w:r>
        <w:r>
          <w:t>161</w:t>
        </w:r>
        <w:r>
          <w:fldChar w:fldCharType="end"/>
        </w:r>
      </w:hyperlink>
    </w:p>
    <w:p>
      <w:pPr>
        <w:pStyle w:val="TOC2"/>
        <w:rPr>
          <w:rFonts w:asciiTheme="minorHAnsi" w:hAnsiTheme="minorHAnsi"/>
          <w:noProof/>
          <w:sz w:val="22"/>
        </w:rPr>
      </w:pPr>
      <w:hyperlink w:anchor="_Toc256000054" w:history="1">
        <w:r>
          <w:rPr>
            <w:rStyle w:val="Hyperlink"/>
          </w:rPr>
          <w:t>Microsoft Defender for Cloud Apps</w:t>
        </w:r>
        <w:r>
          <w:tab/>
        </w:r>
        <w:r>
          <w:fldChar w:fldCharType="begin"/>
        </w:r>
        <w:r>
          <w:instrText xml:space="preserve"> PAGEREF _Toc256000054 \h </w:instrText>
        </w:r>
        <w:r>
          <w:fldChar w:fldCharType="separate"/>
        </w:r>
        <w:r>
          <w:t>161</w:t>
        </w:r>
        <w:r>
          <w:fldChar w:fldCharType="end"/>
        </w:r>
      </w:hyperlink>
    </w:p>
    <w:p>
      <w:pPr>
        <w:pStyle w:val="TOC2"/>
        <w:rPr>
          <w:rFonts w:asciiTheme="minorHAnsi" w:hAnsiTheme="minorHAnsi"/>
          <w:noProof/>
          <w:sz w:val="22"/>
        </w:rPr>
      </w:pPr>
      <w:hyperlink w:anchor="_Toc256000055" w:history="1">
        <w:r>
          <w:rPr>
            <w:rStyle w:val="Hyperlink"/>
          </w:rPr>
          <w:t>Microsoft Intune</w:t>
        </w:r>
        <w:r>
          <w:tab/>
        </w:r>
        <w:r>
          <w:fldChar w:fldCharType="begin"/>
        </w:r>
        <w:r>
          <w:instrText xml:space="preserve"> PAGEREF _Toc256000055 \h </w:instrText>
        </w:r>
        <w:r>
          <w:fldChar w:fldCharType="separate"/>
        </w:r>
        <w:r>
          <w:t>162</w:t>
        </w:r>
        <w:r>
          <w:fldChar w:fldCharType="end"/>
        </w:r>
      </w:hyperlink>
    </w:p>
    <w:p>
      <w:pPr>
        <w:pStyle w:val="TOC2"/>
        <w:rPr>
          <w:rFonts w:asciiTheme="minorHAnsi" w:hAnsiTheme="minorHAnsi"/>
          <w:noProof/>
          <w:sz w:val="22"/>
        </w:rPr>
      </w:pPr>
      <w:hyperlink w:anchor="_Toc256000056" w:history="1">
        <w:r>
          <w:rPr>
            <w:rStyle w:val="Hyperlink"/>
          </w:rPr>
          <w:t>Microsoft Learning</w:t>
        </w:r>
        <w:r>
          <w:tab/>
        </w:r>
        <w:r>
          <w:fldChar w:fldCharType="begin"/>
        </w:r>
        <w:r>
          <w:instrText xml:space="preserve"> PAGEREF _Toc256000056 \h </w:instrText>
        </w:r>
        <w:r>
          <w:fldChar w:fldCharType="separate"/>
        </w:r>
        <w:r>
          <w:t>164</w:t>
        </w:r>
        <w:r>
          <w:fldChar w:fldCharType="end"/>
        </w:r>
      </w:hyperlink>
    </w:p>
    <w:p>
      <w:pPr>
        <w:pStyle w:val="TOC2"/>
        <w:rPr>
          <w:rFonts w:asciiTheme="minorHAnsi" w:hAnsiTheme="minorHAnsi"/>
          <w:noProof/>
          <w:sz w:val="22"/>
        </w:rPr>
      </w:pPr>
      <w:hyperlink w:anchor="_Toc256000057" w:history="1">
        <w:r>
          <w:rPr>
            <w:rStyle w:val="Hyperlink"/>
          </w:rPr>
          <w:t>Microsoft Search in Bing</w:t>
        </w:r>
        <w:r>
          <w:tab/>
        </w:r>
        <w:r>
          <w:fldChar w:fldCharType="begin"/>
        </w:r>
        <w:r>
          <w:instrText xml:space="preserve"> PAGEREF _Toc256000057 \h </w:instrText>
        </w:r>
        <w:r>
          <w:fldChar w:fldCharType="separate"/>
        </w:r>
        <w:r>
          <w:t>164</w:t>
        </w:r>
        <w:r>
          <w:fldChar w:fldCharType="end"/>
        </w:r>
      </w:hyperlink>
    </w:p>
    <w:p>
      <w:pPr>
        <w:pStyle w:val="TOC2"/>
        <w:rPr>
          <w:rFonts w:asciiTheme="minorHAnsi" w:hAnsiTheme="minorHAnsi"/>
          <w:noProof/>
          <w:sz w:val="22"/>
        </w:rPr>
      </w:pPr>
      <w:hyperlink w:anchor="_Toc256000058" w:history="1">
        <w:r>
          <w:rPr>
            <w:rStyle w:val="Hyperlink"/>
          </w:rPr>
          <w:t>Office 365 Developer</w:t>
        </w:r>
        <w:r>
          <w:tab/>
        </w:r>
        <w:r>
          <w:fldChar w:fldCharType="begin"/>
        </w:r>
        <w:r>
          <w:instrText xml:space="preserve"> PAGEREF _Toc256000058 \h </w:instrText>
        </w:r>
        <w:r>
          <w:fldChar w:fldCharType="separate"/>
        </w:r>
        <w:r>
          <w:t>165</w:t>
        </w:r>
        <w:r>
          <w:fldChar w:fldCharType="end"/>
        </w:r>
      </w:hyperlink>
    </w:p>
    <w:p>
      <w:pPr>
        <w:pStyle w:val="TOC2"/>
        <w:rPr>
          <w:rFonts w:asciiTheme="minorHAnsi" w:hAnsiTheme="minorHAnsi"/>
          <w:noProof/>
          <w:sz w:val="22"/>
        </w:rPr>
      </w:pPr>
      <w:hyperlink w:anchor="_Toc256000059" w:history="1">
        <w:r>
          <w:rPr>
            <w:rStyle w:val="Hyperlink"/>
          </w:rPr>
          <w:t>Windows Autopatch</w:t>
        </w:r>
        <w:r>
          <w:tab/>
        </w:r>
        <w:r>
          <w:fldChar w:fldCharType="begin"/>
        </w:r>
        <w:r>
          <w:instrText xml:space="preserve"> PAGEREF _Toc256000059 \h </w:instrText>
        </w:r>
        <w:r>
          <w:fldChar w:fldCharType="separate"/>
        </w:r>
        <w:r>
          <w:t>165</w:t>
        </w:r>
        <w:r>
          <w:fldChar w:fldCharType="end"/>
        </w:r>
      </w:hyperlink>
    </w:p>
    <w:p>
      <w:pPr>
        <w:pStyle w:val="TOC2"/>
        <w:rPr>
          <w:rFonts w:asciiTheme="minorHAnsi" w:hAnsiTheme="minorHAnsi"/>
          <w:noProof/>
          <w:sz w:val="22"/>
        </w:rPr>
      </w:pPr>
      <w:hyperlink w:anchor="_Toc256000060" w:history="1">
        <w:r>
          <w:rPr>
            <w:rStyle w:val="Hyperlink"/>
          </w:rPr>
          <w:t>Glossary</w:t>
        </w:r>
        <w:r>
          <w:tab/>
        </w:r>
        <w:r>
          <w:fldChar w:fldCharType="begin"/>
        </w:r>
        <w:r>
          <w:instrText xml:space="preserve"> PAGEREF _Toc256000060 \h </w:instrText>
        </w:r>
        <w:r>
          <w:fldChar w:fldCharType="separate"/>
        </w:r>
        <w:r>
          <w:t>165</w:t>
        </w:r>
        <w:r>
          <w:fldChar w:fldCharType="end"/>
        </w:r>
      </w:hyperlink>
    </w:p>
    <w:p>
      <w:pPr>
        <w:pStyle w:val="TOC2"/>
        <w:rPr>
          <w:rFonts w:asciiTheme="minorHAnsi" w:hAnsiTheme="minorHAnsi"/>
          <w:noProof/>
          <w:sz w:val="22"/>
        </w:rPr>
      </w:pPr>
      <w:hyperlink w:anchor="_Toc256000061" w:history="1">
        <w:r>
          <w:rPr>
            <w:rStyle w:val="Hyperlink"/>
          </w:rPr>
          <w:t>Other Legal Terms</w:t>
        </w:r>
        <w:r>
          <w:tab/>
        </w:r>
        <w:r>
          <w:fldChar w:fldCharType="begin"/>
        </w:r>
        <w:r>
          <w:instrText xml:space="preserve"> PAGEREF _Toc256000061 \h </w:instrText>
        </w:r>
        <w:r>
          <w:fldChar w:fldCharType="separate"/>
        </w:r>
        <w:r>
          <w:t>173</w:t>
        </w:r>
        <w:r>
          <w:fldChar w:fldCharType="end"/>
        </w:r>
      </w:hyperlink>
    </w:p>
    <w:p>
      <w:pPr>
        <w:pStyle w:val="TOC2"/>
        <w:rPr>
          <w:rFonts w:asciiTheme="minorHAnsi" w:hAnsiTheme="minorHAnsi"/>
          <w:noProof/>
          <w:sz w:val="22"/>
        </w:rPr>
      </w:pPr>
      <w:hyperlink w:anchor="_Toc256000062" w:history="1">
        <w:r>
          <w:rPr>
            <w:rStyle w:val="Hyperlink"/>
          </w:rPr>
          <w:t>CAL and ML Equivalency Licenses</w:t>
        </w:r>
        <w:r>
          <w:tab/>
        </w:r>
        <w:r>
          <w:fldChar w:fldCharType="begin"/>
        </w:r>
        <w:r>
          <w:instrText xml:space="preserve"> PAGEREF _Toc256000062 \h </w:instrText>
        </w:r>
        <w:r>
          <w:fldChar w:fldCharType="separate"/>
        </w:r>
        <w:r>
          <w:t>173</w:t>
        </w:r>
        <w:r>
          <w:fldChar w:fldCharType="end"/>
        </w:r>
      </w:hyperlink>
    </w:p>
    <w:p>
      <w:pPr>
        <w:pStyle w:val="TOC2"/>
        <w:rPr>
          <w:rFonts w:asciiTheme="minorHAnsi" w:hAnsiTheme="minorHAnsi"/>
          <w:noProof/>
          <w:sz w:val="22"/>
        </w:rPr>
      </w:pPr>
      <w:hyperlink w:anchor="_Toc256000063" w:history="1">
        <w:r>
          <w:rPr>
            <w:rStyle w:val="Hyperlink"/>
          </w:rPr>
          <w:t>Notices</w:t>
        </w:r>
        <w:r>
          <w:tab/>
        </w:r>
        <w:r>
          <w:fldChar w:fldCharType="begin"/>
        </w:r>
        <w:r>
          <w:instrText xml:space="preserve"> PAGEREF _Toc256000063 \h </w:instrText>
        </w:r>
        <w:r>
          <w:fldChar w:fldCharType="separate"/>
        </w:r>
        <w:r>
          <w:t>176</w:t>
        </w:r>
        <w:r>
          <w:fldChar w:fldCharType="end"/>
        </w:r>
      </w:hyperlink>
    </w:p>
    <w:p>
      <w:pPr>
        <w:pStyle w:val="TOC2"/>
        <w:rPr>
          <w:rFonts w:asciiTheme="minorHAnsi" w:hAnsiTheme="minorHAnsi"/>
          <w:noProof/>
          <w:sz w:val="22"/>
        </w:rPr>
      </w:pPr>
      <w:hyperlink w:anchor="_Toc256000064" w:history="1">
        <w:r>
          <w:rPr>
            <w:rStyle w:val="Hyperlink"/>
          </w:rPr>
          <w:t>Professional Services</w:t>
        </w:r>
        <w:r>
          <w:tab/>
        </w:r>
        <w:r>
          <w:fldChar w:fldCharType="begin"/>
        </w:r>
        <w:r>
          <w:instrText xml:space="preserve"> PAGEREF _Toc256000064 \h </w:instrText>
        </w:r>
        <w:r>
          <w:fldChar w:fldCharType="separate"/>
        </w:r>
        <w:r>
          <w:t>177</w:t>
        </w:r>
        <w:r>
          <w:fldChar w:fldCharType="end"/>
        </w:r>
      </w:hyperlink>
    </w:p>
    <w:p>
      <w:pPr>
        <w:pStyle w:val="TOC2"/>
        <w:rPr>
          <w:rFonts w:asciiTheme="minorHAnsi" w:hAnsiTheme="minorHAnsi"/>
          <w:noProof/>
          <w:sz w:val="22"/>
        </w:rPr>
      </w:pPr>
      <w:hyperlink w:anchor="_Toc256000065" w:history="1">
        <w:r>
          <w:rPr>
            <w:rStyle w:val="Hyperlink"/>
          </w:rPr>
          <w:t>Program Agreement Supplemental Terms</w:t>
        </w:r>
        <w:r>
          <w:tab/>
        </w:r>
        <w:r>
          <w:fldChar w:fldCharType="begin"/>
        </w:r>
        <w:r>
          <w:instrText xml:space="preserve"> PAGEREF _Toc256000065 \h </w:instrText>
        </w:r>
        <w:r>
          <w:fldChar w:fldCharType="separate"/>
        </w:r>
        <w:r>
          <w:t>181</w:t>
        </w:r>
        <w:r>
          <w:fldChar w:fldCharType="end"/>
        </w:r>
      </w:hyperlink>
    </w:p>
    <w:p>
      <w:pPr>
        <w:pStyle w:val="TOC2"/>
        <w:rPr>
          <w:rFonts w:asciiTheme="minorHAnsi" w:hAnsiTheme="minorHAnsi"/>
          <w:noProof/>
          <w:sz w:val="22"/>
        </w:rPr>
      </w:pPr>
      <w:hyperlink w:anchor="_Toc256000066" w:history="1">
        <w:r>
          <w:rPr>
            <w:rStyle w:val="Hyperlink"/>
          </w:rPr>
          <w:t>Promotions</w:t>
        </w:r>
        <w:r>
          <w:tab/>
        </w:r>
        <w:r>
          <w:fldChar w:fldCharType="begin"/>
        </w:r>
        <w:r>
          <w:instrText xml:space="preserve"> PAGEREF _Toc256000066 \h </w:instrText>
        </w:r>
        <w:r>
          <w:fldChar w:fldCharType="separate"/>
        </w:r>
        <w:r>
          <w:t>181</w:t>
        </w:r>
        <w:r>
          <w:fldChar w:fldCharType="end"/>
        </w:r>
      </w:hyperlink>
    </w:p>
    <w:p>
      <w:pPr>
        <w:pStyle w:val="TOC2"/>
        <w:rPr>
          <w:rFonts w:asciiTheme="minorHAnsi" w:hAnsiTheme="minorHAnsi"/>
          <w:noProof/>
          <w:sz w:val="22"/>
        </w:rPr>
      </w:pPr>
      <w:hyperlink w:anchor="_Toc256000067" w:history="1">
        <w:r>
          <w:rPr>
            <w:rStyle w:val="Hyperlink"/>
          </w:rPr>
          <w:t>Software Assurance Benefits</w:t>
        </w:r>
        <w:r>
          <w:tab/>
        </w:r>
        <w:r>
          <w:fldChar w:fldCharType="begin"/>
        </w:r>
        <w:r>
          <w:instrText xml:space="preserve"> PAGEREF _Toc256000067 \h </w:instrText>
        </w:r>
        <w:r>
          <w:fldChar w:fldCharType="separate"/>
        </w:r>
        <w:r>
          <w:t>181</w:t>
        </w:r>
        <w:r>
          <w:fldChar w:fldCharType="end"/>
        </w:r>
      </w:hyperlink>
    </w:p>
    <w:p>
      <w:pPr>
        <w:pStyle w:val="TOC2"/>
        <w:rPr>
          <w:rFonts w:asciiTheme="minorHAnsi" w:hAnsiTheme="minorHAnsi"/>
          <w:noProof/>
          <w:sz w:val="22"/>
        </w:rPr>
      </w:pPr>
      <w:hyperlink w:anchor="_Toc256000068" w:history="1">
        <w:r>
          <w:rPr>
            <w:rStyle w:val="Hyperlink"/>
          </w:rPr>
          <w:t>Azure Hardware Terms</w:t>
        </w:r>
        <w:r>
          <w:tab/>
        </w:r>
        <w:r>
          <w:fldChar w:fldCharType="begin"/>
        </w:r>
        <w:r>
          <w:instrText xml:space="preserve"> PAGEREF _Toc256000068 \h </w:instrText>
        </w:r>
        <w:r>
          <w:fldChar w:fldCharType="separate"/>
        </w:r>
        <w:r>
          <w:t>188</w:t>
        </w:r>
        <w:r>
          <w:fldChar w:fldCharType="end"/>
        </w:r>
      </w:hyperlink>
    </w:p>
    <w:p>
      <w:pPr>
        <w:pStyle w:val="TOC2"/>
        <w:rPr>
          <w:rFonts w:asciiTheme="minorHAnsi" w:hAnsiTheme="minorHAnsi"/>
          <w:noProof/>
          <w:sz w:val="22"/>
        </w:rPr>
      </w:pPr>
      <w:hyperlink w:anchor="_Toc256000069" w:history="1">
        <w:r>
          <w:rPr>
            <w:rStyle w:val="Hyperlink"/>
          </w:rPr>
          <w:t>Amazon Workspaces Deployments</w:t>
        </w:r>
        <w:r>
          <w:tab/>
        </w:r>
        <w:r>
          <w:fldChar w:fldCharType="begin"/>
        </w:r>
        <w:r>
          <w:instrText xml:space="preserve"> PAGEREF _Toc256000069 \h </w:instrText>
        </w:r>
        <w:r>
          <w:fldChar w:fldCharType="separate"/>
        </w:r>
        <w:r>
          <w:t>196</w:t>
        </w:r>
        <w:r>
          <w:fldChar w:fldCharType="end"/>
        </w:r>
      </w:hyperlink>
    </w:p>
    <w:p>
      <w:pPr>
        <w:pStyle w:val="TOC2"/>
        <w:rPr>
          <w:rFonts w:asciiTheme="minorHAnsi" w:hAnsiTheme="minorHAnsi"/>
          <w:noProof/>
          <w:sz w:val="22"/>
        </w:rPr>
      </w:pPr>
      <w:hyperlink w:anchor="_Toc256000070" w:history="1">
        <w:r>
          <w:rPr>
            <w:rStyle w:val="Hyperlink"/>
          </w:rPr>
          <w:t>Student Use Benefits and Academic Programs</w:t>
        </w:r>
        <w:r>
          <w:tab/>
        </w:r>
        <w:r>
          <w:fldChar w:fldCharType="begin"/>
        </w:r>
        <w:r>
          <w:instrText xml:space="preserve"> PAGEREF _Toc256000070 \h </w:instrText>
        </w:r>
        <w:r>
          <w:fldChar w:fldCharType="separate"/>
        </w:r>
        <w:r>
          <w:t>196</w:t>
        </w:r>
        <w:r>
          <w:fldChar w:fldCharType="end"/>
        </w:r>
      </w:hyperlink>
    </w:p>
    <w:p>
      <w:pPr>
        <w:pStyle w:val="TOC2"/>
        <w:rPr>
          <w:rFonts w:asciiTheme="minorHAnsi" w:hAnsiTheme="minorHAnsi"/>
          <w:noProof/>
          <w:sz w:val="22"/>
        </w:rPr>
      </w:pPr>
      <w:hyperlink w:anchor="_Toc256000071" w:history="1">
        <w:r>
          <w:rPr>
            <w:rStyle w:val="Hyperlink"/>
          </w:rPr>
          <w:t>Purchasing &amp; Renewing Software Assurance</w:t>
        </w:r>
        <w:r>
          <w:tab/>
        </w:r>
        <w:r>
          <w:fldChar w:fldCharType="begin"/>
        </w:r>
        <w:r>
          <w:instrText xml:space="preserve"> PAGEREF _Toc256000071 \h </w:instrText>
        </w:r>
        <w:r>
          <w:fldChar w:fldCharType="separate"/>
        </w:r>
        <w:r>
          <w:t>198</w:t>
        </w:r>
        <w:r>
          <w:fldChar w:fldCharType="end"/>
        </w:r>
      </w:hyperlink>
    </w:p>
    <w:p>
      <w:pPr>
        <w:pStyle w:val="TOC2"/>
        <w:rPr>
          <w:rFonts w:asciiTheme="minorHAnsi" w:hAnsiTheme="minorHAnsi"/>
          <w:noProof/>
          <w:sz w:val="22"/>
        </w:rPr>
      </w:pPr>
      <w:hyperlink w:anchor="_Toc256000072" w:history="1">
        <w:r>
          <w:rPr>
            <w:rStyle w:val="Hyperlink"/>
          </w:rPr>
          <w:t>Microsoft Security portfolio Product Terms mapping</w:t>
        </w:r>
        <w:r>
          <w:tab/>
        </w:r>
        <w:r>
          <w:fldChar w:fldCharType="begin"/>
        </w:r>
        <w:r>
          <w:instrText xml:space="preserve"> PAGEREF _Toc256000072 \h </w:instrText>
        </w:r>
        <w:r>
          <w:fldChar w:fldCharType="separate"/>
        </w:r>
        <w:r>
          <w:t>199</w:t>
        </w:r>
        <w:r>
          <w:fldChar w:fldCharType="end"/>
        </w:r>
      </w:hyperlink>
    </w:p>
    <w:p w:rsidR="00ED5159" w:rsidP="00ED5159">
      <w:pPr>
        <w:pStyle w:val="ProductList-Body"/>
        <w:sectPr>
          <w:headerReference w:type="default" r:id="rId13"/>
          <w:footerReference w:type="default" r:id="rId14"/>
          <w:type w:val="continuous"/>
          <w:pgSz w:w="12240" w:h="15840" w:code="1"/>
          <w:pgMar w:top="1170" w:right="720" w:bottom="1620" w:left="720" w:header="432" w:footer="288" w:gutter="0"/>
          <w:cols w:num="2" w:space="360"/>
          <w:docGrid w:linePitch="360"/>
        </w:sectPr>
      </w:pPr>
      <w:r>
        <w:fldChar w:fldCharType="end"/>
      </w:r>
    </w:p>
    <w:p w:rsidR="00ED5159" w:rsidP="00ED5159">
      <w:pPr>
        <w:pStyle w:val="ProductList-Body"/>
      </w:pPr>
    </w:p>
    <w:p w:rsidR="00ED5159" w:rsidP="00ED5159">
      <w:pPr>
        <w:sectPr>
          <w:headerReference w:type="default" r:id="rId15"/>
          <w:footerReference w:type="default" r:id="rId16"/>
          <w:type w:val="continuous"/>
          <w:pgSz w:w="12240" w:h="15840" w:code="1"/>
          <w:pgMar w:top="1170" w:right="720" w:bottom="720" w:left="720" w:header="432" w:footer="288" w:gutter="0"/>
          <w:cols w:space="360"/>
        </w:sectPr>
      </w:pPr>
      <w:bookmarkStart w:id="1" w:name="_GoBack"/>
      <w:bookmarkEnd w:id="1"/>
    </w:p>
    <w:p w:rsidR="00ED5159" w:rsidP="00ED5159">
      <w:pPr>
        <w:pStyle w:val="ProductList-SectionHeading"/>
        <w:pageBreakBefore/>
        <w:outlineLvl w:val="0"/>
      </w:pPr>
      <w:bookmarkEnd w:id="0"/>
      <w:r>
        <w:t>Introduction</w:t>
      </w:r>
      <w:r>
        <w:fldChar w:fldCharType="begin"/>
      </w:r>
      <w:r>
        <w:instrText xml:space="preserve"> TC </w:instrText>
      </w:r>
      <w:bookmarkStart w:id="2" w:name="_Toc256000000"/>
      <w:r>
        <w:instrText>"</w:instrText>
      </w:r>
      <w:r>
        <w:instrText>Introduction</w:instrText>
      </w:r>
      <w:r>
        <w:instrText>"</w:instrText>
      </w:r>
      <w:bookmarkEnd w:id="2"/>
      <w:r>
        <w:instrText xml:space="preserve"> \l 1</w:instrText>
      </w:r>
      <w:r>
        <w:fldChar w:fldCharType="end"/>
      </w:r>
    </w:p>
    <w:p w:rsidR="00ED5159" w:rsidP="00ED5159">
      <w:pPr>
        <w:pStyle w:val="ProductList-Offering1Heading"/>
        <w:outlineLvl w:val="1"/>
      </w:pPr>
      <w:bookmarkStart w:id="3" w:name="_Sec532"/>
      <w:r>
        <w:t>About this Document</w:t>
      </w:r>
      <w:bookmarkEnd w:id="3"/>
      <w:r>
        <w:fldChar w:fldCharType="begin"/>
      </w:r>
      <w:r>
        <w:instrText xml:space="preserve"> TC </w:instrText>
      </w:r>
      <w:bookmarkStart w:id="4" w:name="_Toc256000001"/>
      <w:r>
        <w:instrText>"</w:instrText>
      </w:r>
      <w:r>
        <w:instrText>About this Document</w:instrText>
      </w:r>
      <w:r>
        <w:instrText>"</w:instrText>
      </w:r>
      <w:bookmarkEnd w:id="4"/>
      <w:r>
        <w:instrText xml:space="preserve"> \l 2</w:instrText>
      </w:r>
      <w:r>
        <w:fldChar w:fldCharType="end"/>
      </w:r>
    </w:p>
    <w:p w:rsidR="00ED5159" w:rsidP="00ED5159">
      <w:pPr>
        <w:pStyle w:val="ProductList-Body"/>
      </w:pPr>
      <w:r>
        <w:t>This copy of the Product Terms has been downloaded from</w:t>
      </w:r>
      <w:r>
        <w:t xml:space="preserve"> </w:t>
      </w:r>
      <w:hyperlink r:id="rId17" w:history="1">
        <w:r>
          <w:rPr>
            <w:color w:val="00467F"/>
            <w:u w:val="single"/>
          </w:rPr>
          <w:t>https://www.microsoft.com/licensing/terms</w:t>
        </w:r>
      </w:hyperlink>
      <w:r>
        <w:t xml:space="preserve"> </w:t>
      </w:r>
      <w:r>
        <w:t>for the date and program indicated on the title page and based on the selected products or configurations.</w:t>
      </w:r>
    </w:p>
    <w:p w:rsidR="00ED5159" w:rsidP="00ED5159">
      <w:pPr>
        <w:pStyle w:val="ProductList-Body"/>
      </w:pPr>
      <w:r>
        <w:t xml:space="preserve"> </w:t>
      </w:r>
    </w:p>
    <w:p w:rsidR="00ED5159" w:rsidP="00ED5159">
      <w:pPr>
        <w:pStyle w:val="ProductList-Body"/>
      </w:pPr>
      <w:r>
        <w:t>The terms formerly contained in the “Online Services Terms” have been moved into the “Product Terms” and no longer exist as standalone terms. The unified Product Terms are incorporated by reference into agreements governing Customer’s use of Microsoft Products and Professional Services.</w:t>
      </w:r>
    </w:p>
    <w:p w:rsidR="00ED5159" w:rsidP="00ED5159">
      <w:pPr>
        <w:pStyle w:val="ProductList-Body"/>
      </w:pPr>
      <w:r>
        <w:t xml:space="preserve"> </w:t>
      </w:r>
    </w:p>
    <w:p w:rsidR="00ED5159" w:rsidP="00ED5159">
      <w:pPr>
        <w:pStyle w:val="ProductList-Body"/>
      </w:pPr>
      <w:r>
        <w:t>Access to versions of the Product Terms and Online Services Terms published prior to February 2021 are available</w:t>
      </w:r>
      <w:r>
        <w:t xml:space="preserve"> </w:t>
      </w:r>
      <w:hyperlink r:id="rId18" w:history="1">
        <w:r>
          <w:rPr>
            <w:color w:val="00467F"/>
            <w:u w:val="single"/>
          </w:rPr>
          <w:t>here</w:t>
        </w:r>
      </w:hyperlink>
      <w:r>
        <w:t>.</w:t>
      </w:r>
      <w:r>
        <w:t xml:space="preserve"> </w:t>
      </w:r>
      <w:r>
        <w:t>Updates that Microsoft makes from time to time to Use Rights apply to Customer as set forth in Customer’s agreement.</w:t>
      </w:r>
    </w:p>
    <w:p w:rsidR="00ED5159" w:rsidP="00ED5159">
      <w:pPr>
        <w:sectPr>
          <w:headerReference w:type="default" r:id="rId19"/>
          <w:footerReference w:type="default" r:id="rId20"/>
          <w:type w:val="continuous"/>
          <w:pgSz w:w="12240" w:h="15840" w:code="1"/>
          <w:pgMar w:top="1170" w:right="720" w:bottom="720" w:left="720" w:header="432" w:footer="288" w:gutter="0"/>
          <w:cols w:space="360"/>
        </w:sectPr>
      </w:pPr>
    </w:p>
    <w:p w:rsidR="00ED5159" w:rsidP="00ED5159">
      <w:pPr>
        <w:pStyle w:val="ProductList-OfferingGroupHeading"/>
        <w:outlineLvl w:val="1"/>
      </w:pPr>
      <w:bookmarkStart w:id="5" w:name="_Sec537"/>
      <w:r>
        <w:t>Summary of Changes</w:t>
      </w:r>
      <w:bookmarkEnd w:id="5"/>
      <w:r>
        <w:fldChar w:fldCharType="begin"/>
      </w:r>
      <w:r>
        <w:instrText xml:space="preserve"> TC </w:instrText>
      </w:r>
      <w:bookmarkStart w:id="6" w:name="_Toc256000002"/>
      <w:r>
        <w:instrText>"</w:instrText>
      </w:r>
      <w:r>
        <w:instrText>Summary of Changes</w:instrText>
      </w:r>
      <w:r>
        <w:instrText>"</w:instrText>
      </w:r>
      <w:bookmarkEnd w:id="6"/>
      <w:r>
        <w:instrText xml:space="preserve"> \l 2</w:instrText>
      </w:r>
      <w:r>
        <w:fldChar w:fldCharType="end"/>
      </w:r>
    </w:p>
    <w:p>
      <w:pPr>
        <w:pStyle w:val="NormalWeb"/>
      </w:pPr>
      <w:r>
        <w:t>Below is a summary of changes and updates made to the terms over the past 12 months. </w:t>
      </w:r>
    </w:p>
    <w:p>
      <w:pPr>
        <w:pStyle w:val="NormalWeb"/>
        <w:spacing w:before="150"/>
      </w:pPr>
      <w:r>
        <w:rPr>
          <w:rStyle w:val="Strong"/>
        </w:rPr>
        <w:t>To see prior months, change the effective date in the top navigation to view a prior publish date.</w:t>
      </w:r>
    </w:p>
    <w:p>
      <w:pPr>
        <w:pStyle w:val="NormalWeb"/>
        <w:spacing w:before="150"/>
      </w:pPr>
      <w:r>
        <w:t xml:space="preserve">Subscribe to the Microsoft Product Terms RSS feed to be notified of updates! </w:t>
      </w:r>
      <w:hyperlink r:id="rId21" w:tgtFrame="_blank" w:history="1">
        <w:r>
          <w:rPr>
            <w:rStyle w:val="Hyperlink"/>
            <w:color w:val="505050"/>
          </w:rPr>
          <w:t>https://www.microsoft.com/licensing/terms/feed/rss</w:t>
        </w:r>
      </w:hyperlink>
      <w:r>
        <w:t>. Please note an RSS feed client is required.</w:t>
      </w:r>
    </w:p>
    <w:p>
      <w:pPr>
        <w:pStyle w:val="Heading3"/>
        <w:spacing w:before="150" w:beforeAutospacing="0"/>
        <w:rPr>
          <w:rFonts w:eastAsia="Times New Roman"/>
          <w:color w:val="0078D4"/>
          <w:sz w:val="26"/>
          <w:szCs w:val="26"/>
        </w:rPr>
      </w:pPr>
      <w:r>
        <w:rPr>
          <w:rFonts w:eastAsia="Times New Roman"/>
          <w:color w:val="0078D4"/>
          <w:sz w:val="26"/>
          <w:szCs w:val="26"/>
        </w:rPr>
        <w:t>February 9, 2026</w:t>
      </w:r>
    </w:p>
    <w:p>
      <w:pPr>
        <w:pStyle w:val="NormalWeb"/>
        <w:spacing w:after="150"/>
      </w:pPr>
      <w:hyperlink r:id="rId22" w:tgtFrame="_blank" w:history="1">
        <w:r>
          <w:rPr>
            <w:rStyle w:val="Hyperlink"/>
            <w:color w:val="505050"/>
          </w:rPr>
          <w:t>Microsoft Power Platform</w:t>
        </w:r>
      </w:hyperlink>
      <w:r>
        <w:t>: Updated the Grounding with Bing Terms for Microsoft Copilot Studio to align with Microsoft 365 Copilot Data Query Terms. These terms were published on February 1, 2026 in English and were translated on February 9, 2026.</w:t>
      </w:r>
    </w:p>
    <w:p>
      <w:pPr>
        <w:pStyle w:val="Heading3"/>
        <w:spacing w:before="150" w:beforeAutospacing="0"/>
        <w:rPr>
          <w:rFonts w:eastAsia="Times New Roman"/>
          <w:color w:val="0078D4"/>
          <w:sz w:val="26"/>
          <w:szCs w:val="26"/>
        </w:rPr>
      </w:pPr>
      <w:r>
        <w:rPr>
          <w:rFonts w:eastAsia="Times New Roman"/>
          <w:color w:val="0078D4"/>
          <w:sz w:val="26"/>
          <w:szCs w:val="26"/>
        </w:rPr>
        <w:t>February 1, 2026</w:t>
      </w:r>
    </w:p>
    <w:p>
      <w:pPr>
        <w:pStyle w:val="NormalWeb"/>
        <w:spacing w:after="150"/>
      </w:pPr>
      <w:hyperlink r:id="rId23" w:tgtFrame="_blank" w:history="1">
        <w:r>
          <w:rPr>
            <w:rStyle w:val="Hyperlink"/>
            <w:color w:val="505050"/>
          </w:rPr>
          <w:t>Microsoft 365</w:t>
        </w:r>
      </w:hyperlink>
      <w:r>
        <w:t>: Added Microsoft Defender for EndPoint P2 Add-On for Microsoft 365 E3 and Microsoft Entra ID P2 Add-On for Microsoft 365 E3 to the MCA table and License Prerequisites table.</w:t>
      </w:r>
    </w:p>
    <w:p>
      <w:pPr>
        <w:pStyle w:val="NormalWeb"/>
        <w:spacing w:before="150"/>
      </w:pPr>
      <w:hyperlink r:id="rId24" w:tgtFrame="_blank" w:history="1">
        <w:r>
          <w:rPr>
            <w:rStyle w:val="Hyperlink"/>
            <w:color w:val="505050"/>
          </w:rPr>
          <w:t>Microsoft Dragon Copilot</w:t>
        </w:r>
      </w:hyperlink>
      <w:r>
        <w:t>: Added Dragon Copilot Physician Practice Per User to the MCA Availability table and an additional clause created to clarify tenant deployments.</w:t>
      </w:r>
    </w:p>
    <w:p>
      <w:pPr>
        <w:pStyle w:val="Heading3"/>
        <w:spacing w:before="150" w:beforeAutospacing="0"/>
        <w:rPr>
          <w:rFonts w:eastAsia="Times New Roman"/>
          <w:color w:val="0078D4"/>
          <w:sz w:val="26"/>
          <w:szCs w:val="26"/>
        </w:rPr>
      </w:pPr>
      <w:r>
        <w:rPr>
          <w:rFonts w:eastAsia="Times New Roman"/>
          <w:color w:val="0078D4"/>
          <w:sz w:val="26"/>
          <w:szCs w:val="26"/>
        </w:rPr>
        <w:t>January 1, 2026</w:t>
      </w:r>
    </w:p>
    <w:p>
      <w:pPr>
        <w:pStyle w:val="NormalWeb"/>
        <w:spacing w:after="150"/>
      </w:pPr>
      <w:hyperlink r:id="rId25" w:tgtFrame="_blank" w:history="1">
        <w:r>
          <w:rPr>
            <w:rStyle w:val="Hyperlink"/>
            <w:color w:val="505050"/>
          </w:rPr>
          <w:t>Universal Terms for Online services</w:t>
        </w:r>
      </w:hyperlink>
      <w:r>
        <w:t xml:space="preserve">, </w:t>
      </w:r>
      <w:hyperlink r:id="rId26" w:tgtFrame="_blank" w:history="1">
        <w:r>
          <w:rPr>
            <w:rStyle w:val="Hyperlink"/>
            <w:color w:val="505050"/>
          </w:rPr>
          <w:t>Privacy and Security Terms</w:t>
        </w:r>
      </w:hyperlink>
      <w:r>
        <w:t xml:space="preserve">, </w:t>
      </w:r>
      <w:hyperlink r:id="rId27" w:tgtFrame="_blank" w:history="1">
        <w:r>
          <w:rPr>
            <w:rStyle w:val="Hyperlink"/>
            <w:color w:val="505050"/>
          </w:rPr>
          <w:t>Microsoft Azure</w:t>
        </w:r>
      </w:hyperlink>
      <w:r>
        <w:t xml:space="preserve"> and </w:t>
      </w:r>
      <w:hyperlink r:id="rId28" w:tgtFrame="_blank" w:history="1">
        <w:r>
          <w:rPr>
            <w:rStyle w:val="Hyperlink"/>
            <w:color w:val="505050"/>
          </w:rPr>
          <w:t>Glossary</w:t>
        </w:r>
      </w:hyperlink>
      <w:r>
        <w:t>: Rebranding Azure AI Foundry to Microsoft Foundry and clarify licensing terms for open license models offered as Azure Direct Models.</w:t>
      </w:r>
    </w:p>
    <w:p>
      <w:pPr>
        <w:pStyle w:val="NormalWeb"/>
        <w:spacing w:before="150"/>
      </w:pPr>
      <w:hyperlink r:id="rId23" w:tgtFrame="_blank" w:history="1">
        <w:r>
          <w:rPr>
            <w:rStyle w:val="Hyperlink"/>
            <w:color w:val="505050"/>
          </w:rPr>
          <w:t>Microsoft 365</w:t>
        </w:r>
      </w:hyperlink>
      <w:r>
        <w:t>: Security Copilot is now included with Microsoft 365 E5. A clause was added to specify the Microsoft 365 E5 subscription provides access to Security Copilot, along with a monthly allocation of Security Compute Units.</w:t>
      </w:r>
    </w:p>
    <w:p>
      <w:pPr>
        <w:pStyle w:val="NormalWeb"/>
        <w:spacing w:before="150"/>
      </w:pPr>
      <w:hyperlink r:id="rId29" w:tgtFrame="_blank" w:history="1">
        <w:r>
          <w:rPr>
            <w:rStyle w:val="Hyperlink"/>
            <w:color w:val="505050"/>
          </w:rPr>
          <w:t>Microsoft Defender Experts</w:t>
        </w:r>
      </w:hyperlink>
      <w:r>
        <w:t>: Updated terms to support the launch of Microsoft Defender Expert Suite, with updates to the Availability table, License Prerequisite table and new purchasing minimums requirements. A new promotion has also been introduced.</w:t>
      </w:r>
    </w:p>
    <w:p>
      <w:pPr>
        <w:pStyle w:val="NormalWeb"/>
        <w:spacing w:before="150"/>
      </w:pPr>
      <w:hyperlink r:id="rId30" w:tgtFrame="_blank" w:history="1">
        <w:r>
          <w:rPr>
            <w:rStyle w:val="Hyperlink"/>
            <w:color w:val="505050"/>
          </w:rPr>
          <w:t>Audio Services</w:t>
        </w:r>
      </w:hyperlink>
      <w:r>
        <w:t>: Added terms for Open Phone System Platform and Number Management to clarify that authorized carriers have the ability to provision, add, and remove telephone numbers and that Microsoft does not control these actions.</w:t>
      </w:r>
    </w:p>
    <w:p>
      <w:pPr>
        <w:pStyle w:val="Heading3"/>
        <w:spacing w:before="150" w:beforeAutospacing="0"/>
        <w:rPr>
          <w:rFonts w:eastAsia="Times New Roman"/>
          <w:color w:val="0078D4"/>
          <w:sz w:val="26"/>
          <w:szCs w:val="26"/>
        </w:rPr>
      </w:pPr>
      <w:r>
        <w:rPr>
          <w:rFonts w:eastAsia="Times New Roman"/>
          <w:color w:val="0078D4"/>
          <w:sz w:val="26"/>
          <w:szCs w:val="26"/>
        </w:rPr>
        <w:t>December 22, 2025</w:t>
      </w:r>
    </w:p>
    <w:p>
      <w:pPr>
        <w:pStyle w:val="NormalWeb"/>
        <w:spacing w:after="150"/>
      </w:pPr>
      <w:hyperlink r:id="rId31" w:tgtFrame="_blank" w:history="1">
        <w:r>
          <w:rPr>
            <w:rStyle w:val="Hyperlink"/>
            <w:color w:val="505050"/>
          </w:rPr>
          <w:t>Microsoft Dynamics 365 Services</w:t>
        </w:r>
      </w:hyperlink>
      <w:r>
        <w:t>: A new clause added to inform customers that Dynamics 365 Business Central meets local certification requirements in Spain.</w:t>
      </w:r>
    </w:p>
    <w:p>
      <w:pPr>
        <w:pStyle w:val="Heading3"/>
        <w:spacing w:before="150" w:beforeAutospacing="0"/>
        <w:rPr>
          <w:rFonts w:eastAsia="Times New Roman"/>
          <w:color w:val="0078D4"/>
          <w:sz w:val="26"/>
          <w:szCs w:val="26"/>
        </w:rPr>
      </w:pPr>
      <w:r>
        <w:rPr>
          <w:rFonts w:eastAsia="Times New Roman"/>
          <w:color w:val="0078D4"/>
          <w:sz w:val="26"/>
          <w:szCs w:val="26"/>
        </w:rPr>
        <w:t>December 1, 2025</w:t>
      </w:r>
    </w:p>
    <w:p>
      <w:pPr>
        <w:pStyle w:val="NormalWeb"/>
        <w:spacing w:after="150"/>
      </w:pPr>
      <w:hyperlink r:id="rId22" w:tgtFrame="_blank" w:history="1">
        <w:r>
          <w:rPr>
            <w:rStyle w:val="Hyperlink"/>
            <w:color w:val="505050"/>
          </w:rPr>
          <w:t>Microsoft Power Platform</w:t>
        </w:r>
      </w:hyperlink>
      <w:r>
        <w:t>: Updated link URL to Terms of Use for Grounding with Bing Search and Grounding with Bing Custom Search (available through Microsoft Enterprise Product Integrations).</w:t>
      </w:r>
    </w:p>
    <w:p>
      <w:pPr>
        <w:pStyle w:val="NormalWeb"/>
        <w:spacing w:before="150"/>
      </w:pPr>
      <w:hyperlink r:id="rId29" w:tgtFrame="_blank" w:history="1">
        <w:r>
          <w:rPr>
            <w:rStyle w:val="Hyperlink"/>
            <w:color w:val="505050"/>
          </w:rPr>
          <w:t>Microsoft Defender Experts</w:t>
        </w:r>
      </w:hyperlink>
      <w:r>
        <w:t>: Added language to the Managed Services clause to clarify which parts consist of Core Online Services and which consist of Professional Services. Additional language added on consenting to security experts accessing data to provide services.</w:t>
      </w:r>
    </w:p>
    <w:p>
      <w:pPr>
        <w:pStyle w:val="NormalWeb"/>
        <w:spacing w:before="150"/>
      </w:pPr>
      <w:hyperlink r:id="rId32" w:tgtFrame="_blank" w:history="1">
        <w:r>
          <w:rPr>
            <w:rStyle w:val="Hyperlink"/>
            <w:color w:val="505050"/>
          </w:rPr>
          <w:t>Microsoft Dragon Copilot</w:t>
        </w:r>
      </w:hyperlink>
      <w:r>
        <w:t>: Updated terms to support the launch of Dragon Copilot for Nursing.</w:t>
      </w:r>
    </w:p>
    <w:p>
      <w:pPr>
        <w:pStyle w:val="NormalWeb"/>
        <w:spacing w:before="150"/>
      </w:pPr>
      <w:hyperlink r:id="rId33" w:tgtFrame="_blank" w:history="1">
        <w:r>
          <w:rPr>
            <w:rStyle w:val="Hyperlink"/>
            <w:color w:val="505050"/>
          </w:rPr>
          <w:t>Windows 365</w:t>
        </w:r>
      </w:hyperlink>
      <w:r>
        <w:t>: Updated terms to support the launch of Windows 365 Reserve. Added Microsoft 365 G3 and Enterprise Mobility &amp; Security G3 to License Prerequisites table for Microsoft Entra Internet Access and Microsoft Entra Private Access.</w:t>
      </w:r>
    </w:p>
    <w:p>
      <w:pPr>
        <w:pStyle w:val="Heading3"/>
        <w:spacing w:before="150" w:beforeAutospacing="0"/>
        <w:rPr>
          <w:rFonts w:eastAsia="Times New Roman"/>
          <w:color w:val="0078D4"/>
          <w:sz w:val="26"/>
          <w:szCs w:val="26"/>
        </w:rPr>
      </w:pPr>
      <w:r>
        <w:rPr>
          <w:rFonts w:eastAsia="Times New Roman"/>
          <w:color w:val="0078D4"/>
          <w:sz w:val="26"/>
          <w:szCs w:val="26"/>
        </w:rPr>
        <w:t>November 18, 2025</w:t>
      </w:r>
    </w:p>
    <w:p>
      <w:pPr>
        <w:pStyle w:val="NormalWeb"/>
        <w:spacing w:after="150"/>
      </w:pPr>
      <w:hyperlink r:id="rId27" w:tgtFrame="_blank" w:history="1">
        <w:r>
          <w:rPr>
            <w:rStyle w:val="Hyperlink"/>
            <w:color w:val="505050"/>
          </w:rPr>
          <w:t>Microsoft Azure</w:t>
        </w:r>
      </w:hyperlink>
      <w:r>
        <w:t>: Clarify Azure Hybrid Benefit for Azure Local is not available with Microsoft 365 Local.</w:t>
      </w:r>
    </w:p>
    <w:p>
      <w:pPr>
        <w:pStyle w:val="NormalWeb"/>
        <w:spacing w:before="150"/>
      </w:pPr>
      <w:hyperlink r:id="rId34" w:tgtFrame="_blank" w:history="1">
        <w:r>
          <w:rPr>
            <w:rStyle w:val="Hyperlink"/>
            <w:color w:val="505050"/>
          </w:rPr>
          <w:t>SQL Server</w:t>
        </w:r>
      </w:hyperlink>
      <w:r>
        <w:t>: Updated terms to support the launch of SQL Server 2025.</w:t>
      </w:r>
    </w:p>
    <w:p>
      <w:pPr>
        <w:pStyle w:val="Heading3"/>
        <w:spacing w:before="150" w:beforeAutospacing="0"/>
        <w:rPr>
          <w:rFonts w:eastAsia="Times New Roman"/>
          <w:color w:val="0078D4"/>
          <w:sz w:val="26"/>
          <w:szCs w:val="26"/>
        </w:rPr>
      </w:pPr>
      <w:r>
        <w:rPr>
          <w:rFonts w:eastAsia="Times New Roman"/>
          <w:color w:val="0078D4"/>
          <w:sz w:val="26"/>
          <w:szCs w:val="26"/>
        </w:rPr>
        <w:t>November 11, 2025</w:t>
      </w:r>
    </w:p>
    <w:p>
      <w:pPr>
        <w:pStyle w:val="NormalWeb"/>
        <w:spacing w:after="150"/>
      </w:pPr>
      <w:hyperlink r:id="rId35" w:tgtFrame="_blank" w:history="1">
        <w:r>
          <w:rPr>
            <w:rStyle w:val="Hyperlink"/>
            <w:color w:val="505050"/>
          </w:rPr>
          <w:t>Visual Studio</w:t>
        </w:r>
      </w:hyperlink>
      <w:r>
        <w:t>: Updated terms to support launch of Visual Studio 2026.</w:t>
      </w:r>
    </w:p>
    <w:p>
      <w:pPr>
        <w:pStyle w:val="Heading3"/>
        <w:spacing w:before="150" w:beforeAutospacing="0"/>
        <w:rPr>
          <w:rFonts w:eastAsia="Times New Roman"/>
          <w:color w:val="0078D4"/>
          <w:sz w:val="26"/>
          <w:szCs w:val="26"/>
        </w:rPr>
      </w:pPr>
      <w:r>
        <w:rPr>
          <w:rFonts w:eastAsia="Times New Roman"/>
          <w:color w:val="0078D4"/>
          <w:sz w:val="26"/>
          <w:szCs w:val="26"/>
        </w:rPr>
        <w:t>November 1, 2025</w:t>
      </w:r>
    </w:p>
    <w:p>
      <w:pPr>
        <w:pStyle w:val="NormalWeb"/>
        <w:spacing w:after="150"/>
      </w:pPr>
      <w:hyperlink r:id="rId27" w:tgtFrame="_blank" w:history="1">
        <w:r>
          <w:rPr>
            <w:rStyle w:val="Hyperlink"/>
            <w:color w:val="505050"/>
          </w:rPr>
          <w:t>Microsoft Azure</w:t>
        </w:r>
      </w:hyperlink>
      <w:r>
        <w:t>: Added Azure AI search terms notifying customers of the use of First-Party Consumption services and the use of Web Knowledge Sources while using Grounding with Bing services. Added terms for open source models offered as Azure Direct Models in Azure AI Foundry. Added Microsoft 365 E3 as the prerequisite for Microsoft eDiscovery Graph API Standard.</w:t>
      </w:r>
      <w:hyperlink r:id="rId36" w:tgtFrame="_blank" w:history="1">
        <w:r>
          <w:rPr>
            <w:rStyle w:val="Hyperlink"/>
            <w:color w:val="505050"/>
          </w:rPr>
          <w:t>Other Legal Terms</w:t>
        </w:r>
      </w:hyperlink>
      <w:r>
        <w:t>: Updated the notices to include settlement terms required by the EU for European Economic Area customers. The notice addresses the availability of Office 365 and Microsoft 365 Suites with and without Microsoft Teams.</w:t>
      </w:r>
      <w:hyperlink r:id="rId28" w:tgtFrame="_blank" w:history="1">
        <w:r>
          <w:rPr>
            <w:rStyle w:val="Hyperlink"/>
            <w:color w:val="505050"/>
          </w:rPr>
          <w:t>Glossary</w:t>
        </w:r>
      </w:hyperlink>
      <w:r>
        <w:t xml:space="preserve">: Added </w:t>
      </w:r>
      <w:r>
        <w:rPr>
          <w:i/>
          <w:iCs/>
        </w:rPr>
        <w:t>Covered Suites</w:t>
      </w:r>
      <w:r>
        <w:t xml:space="preserve"> and </w:t>
      </w:r>
      <w:r>
        <w:rPr>
          <w:i/>
          <w:iCs/>
        </w:rPr>
        <w:t>(no Teams) Suites</w:t>
      </w:r>
      <w:r>
        <w:t xml:space="preserve"> definitions.</w:t>
      </w:r>
    </w:p>
    <w:p>
      <w:pPr>
        <w:pStyle w:val="Heading3"/>
        <w:spacing w:before="150" w:beforeAutospacing="0"/>
        <w:rPr>
          <w:rFonts w:eastAsia="Times New Roman"/>
          <w:color w:val="0078D4"/>
          <w:sz w:val="26"/>
          <w:szCs w:val="26"/>
        </w:rPr>
      </w:pPr>
      <w:r>
        <w:rPr>
          <w:rFonts w:eastAsia="Times New Roman"/>
          <w:color w:val="0078D4"/>
          <w:sz w:val="26"/>
          <w:szCs w:val="26"/>
        </w:rPr>
        <w:t>October 17, 2025</w:t>
      </w:r>
    </w:p>
    <w:p>
      <w:pPr>
        <w:pStyle w:val="NormalWeb"/>
        <w:spacing w:after="150"/>
      </w:pPr>
      <w:hyperlink r:id="rId26" w:tgtFrame="_blank" w:history="1">
        <w:r>
          <w:rPr>
            <w:rStyle w:val="Hyperlink"/>
            <w:color w:val="505050"/>
          </w:rPr>
          <w:t>Privacy &amp; Security Terms</w:t>
        </w:r>
      </w:hyperlink>
      <w:r>
        <w:t>: Added a clause to Exceptions to the DPA table for Microsoft Dragon Copilot to clarify that free trials follow the same 90-day retention and deletion terms as subscriptions.</w:t>
      </w:r>
    </w:p>
    <w:p>
      <w:pPr>
        <w:pStyle w:val="Heading3"/>
        <w:spacing w:before="150" w:beforeAutospacing="0"/>
        <w:rPr>
          <w:rFonts w:eastAsia="Times New Roman"/>
          <w:color w:val="0078D4"/>
          <w:sz w:val="26"/>
          <w:szCs w:val="26"/>
        </w:rPr>
      </w:pPr>
      <w:r>
        <w:rPr>
          <w:rFonts w:eastAsia="Times New Roman"/>
          <w:color w:val="0078D4"/>
          <w:sz w:val="26"/>
          <w:szCs w:val="26"/>
        </w:rPr>
        <w:t>October 9, 2025</w:t>
      </w:r>
    </w:p>
    <w:p>
      <w:pPr>
        <w:pStyle w:val="NormalWeb"/>
        <w:spacing w:after="150"/>
      </w:pPr>
      <w:hyperlink r:id="rId32" w:tgtFrame="_blank" w:history="1">
        <w:r>
          <w:rPr>
            <w:rStyle w:val="Hyperlink"/>
            <w:color w:val="505050"/>
          </w:rPr>
          <w:t>Microsoft Dragon Copilot</w:t>
        </w:r>
      </w:hyperlink>
      <w:r>
        <w:t>: Enabled Dragon Copilot terms for the Microsoft Online Subscription Agreement (MOSA) Program to support Dragon Copilot trials.</w:t>
      </w:r>
    </w:p>
    <w:p>
      <w:pPr>
        <w:pStyle w:val="Heading3"/>
        <w:spacing w:before="150" w:beforeAutospacing="0"/>
        <w:rPr>
          <w:rFonts w:eastAsia="Times New Roman"/>
          <w:color w:val="0078D4"/>
          <w:sz w:val="26"/>
          <w:szCs w:val="26"/>
        </w:rPr>
      </w:pPr>
      <w:r>
        <w:rPr>
          <w:rFonts w:eastAsia="Times New Roman"/>
          <w:color w:val="0078D4"/>
          <w:sz w:val="26"/>
          <w:szCs w:val="26"/>
        </w:rPr>
        <w:t>October 1, 2025</w:t>
      </w:r>
    </w:p>
    <w:p>
      <w:pPr>
        <w:pStyle w:val="NormalWeb"/>
        <w:spacing w:after="150"/>
      </w:pPr>
      <w:hyperlink r:id="rId26" w:tgtFrame="_blank" w:history="1">
        <w:r>
          <w:rPr>
            <w:rStyle w:val="Hyperlink"/>
            <w:color w:val="505050"/>
          </w:rPr>
          <w:t>Privacy &amp; Security Terms</w:t>
        </w:r>
      </w:hyperlink>
      <w:r>
        <w:t xml:space="preserve">: Updated Core Online Services and EUDB to reflect the current portfolio of Purview services. Renamed </w:t>
      </w:r>
      <w:r>
        <w:rPr>
          <w:i/>
          <w:iCs/>
        </w:rPr>
        <w:t>OneDrive for Business</w:t>
      </w:r>
      <w:r>
        <w:t xml:space="preserve"> to </w:t>
      </w:r>
      <w:r>
        <w:rPr>
          <w:i/>
          <w:iCs/>
        </w:rPr>
        <w:t>OneDrive</w:t>
      </w:r>
      <w:r>
        <w:t>.</w:t>
      </w:r>
    </w:p>
    <w:p>
      <w:pPr>
        <w:pStyle w:val="NormalWeb"/>
        <w:spacing w:before="150"/>
      </w:pPr>
      <w:hyperlink r:id="rId23" w:tgtFrame="_blank" w:history="1">
        <w:r>
          <w:rPr>
            <w:rStyle w:val="Hyperlink"/>
            <w:color w:val="505050"/>
          </w:rPr>
          <w:t>Microsoft 365</w:t>
        </w:r>
      </w:hyperlink>
      <w:r>
        <w:t xml:space="preserve">: Rebranded </w:t>
      </w:r>
      <w:r>
        <w:rPr>
          <w:i/>
          <w:iCs/>
        </w:rPr>
        <w:t>Microsoft 365 E5 Security</w:t>
      </w:r>
      <w:r>
        <w:t xml:space="preserve"> and all relevant offers to </w:t>
      </w:r>
      <w:r>
        <w:rPr>
          <w:i/>
          <w:iCs/>
        </w:rPr>
        <w:t>Microsoft Defender Suite</w:t>
      </w:r>
      <w:r>
        <w:t xml:space="preserve"> and </w:t>
      </w:r>
      <w:r>
        <w:rPr>
          <w:i/>
          <w:iCs/>
        </w:rPr>
        <w:t>Microsoft E5 Compliance</w:t>
      </w:r>
      <w:r>
        <w:t xml:space="preserve"> and all relevant offers to </w:t>
      </w:r>
      <w:r>
        <w:rPr>
          <w:i/>
          <w:iCs/>
        </w:rPr>
        <w:t>Microsoft Purview Suite</w:t>
      </w:r>
      <w:r>
        <w:t>. Removed Microsoft 365 Business Premium as a prerequisite to Microsoft 365 Defender Suite. Removed Microsoft Defender Threat Intelligence from Availability and Prerequisite Tables.</w:t>
      </w:r>
    </w:p>
    <w:p>
      <w:pPr>
        <w:pStyle w:val="NormalWeb"/>
        <w:spacing w:before="150"/>
      </w:pPr>
      <w:hyperlink r:id="rId27" w:tgtFrame="_blank" w:history="1">
        <w:r>
          <w:rPr>
            <w:rStyle w:val="Hyperlink"/>
            <w:color w:val="505050"/>
          </w:rPr>
          <w:t>Microsoft Azure</w:t>
        </w:r>
      </w:hyperlink>
      <w:r>
        <w:t>: Added new Azure terms, Firmware Analysis and Azure IoT Operations connectors. Updated link to Azure Marketplace terms.</w:t>
      </w:r>
    </w:p>
    <w:p>
      <w:pPr>
        <w:pStyle w:val="Heading3"/>
        <w:spacing w:before="150" w:beforeAutospacing="0"/>
        <w:rPr>
          <w:rFonts w:eastAsia="Times New Roman"/>
          <w:color w:val="0078D4"/>
          <w:sz w:val="26"/>
          <w:szCs w:val="26"/>
        </w:rPr>
      </w:pPr>
      <w:r>
        <w:rPr>
          <w:rFonts w:eastAsia="Times New Roman"/>
          <w:color w:val="0078D4"/>
          <w:sz w:val="26"/>
          <w:szCs w:val="26"/>
        </w:rPr>
        <w:t>September 15, 2025</w:t>
      </w:r>
    </w:p>
    <w:p>
      <w:pPr>
        <w:pStyle w:val="NormalWeb"/>
        <w:spacing w:after="150"/>
      </w:pPr>
      <w:hyperlink r:id="rId37" w:tgtFrame="_blank" w:history="1">
        <w:r>
          <w:rPr>
            <w:rStyle w:val="Hyperlink"/>
            <w:color w:val="505050"/>
          </w:rPr>
          <w:t>Exchange Server</w:t>
        </w:r>
      </w:hyperlink>
      <w:r>
        <w:t>: Updated Exchange server Availability table to clarify the availability for different programs.</w:t>
      </w:r>
    </w:p>
    <w:p>
      <w:pPr>
        <w:pStyle w:val="Heading3"/>
        <w:spacing w:before="150" w:beforeAutospacing="0"/>
        <w:rPr>
          <w:rFonts w:eastAsia="Times New Roman"/>
          <w:color w:val="0078D4"/>
          <w:sz w:val="26"/>
          <w:szCs w:val="26"/>
        </w:rPr>
      </w:pPr>
      <w:r>
        <w:rPr>
          <w:rFonts w:eastAsia="Times New Roman"/>
          <w:color w:val="0078D4"/>
          <w:sz w:val="26"/>
          <w:szCs w:val="26"/>
        </w:rPr>
        <w:t>September 1, 2025</w:t>
      </w:r>
    </w:p>
    <w:p>
      <w:pPr>
        <w:pStyle w:val="NormalWeb"/>
        <w:spacing w:after="150"/>
      </w:pPr>
      <w:hyperlink r:id="rId26" w:tgtFrame="_blank" w:history="1">
        <w:r>
          <w:rPr>
            <w:rStyle w:val="Hyperlink"/>
            <w:color w:val="505050"/>
          </w:rPr>
          <w:t>Privacy &amp; Security Terms</w:t>
        </w:r>
      </w:hyperlink>
      <w:r>
        <w:t>: Added M365 Copilot Chat to the list of services under the Location of Customer Data at Rest for Core Online Services section. Added terms for the EU Data Act.</w:t>
      </w:r>
    </w:p>
    <w:p>
      <w:pPr>
        <w:pStyle w:val="NormalWeb"/>
        <w:spacing w:before="150"/>
      </w:pPr>
      <w:hyperlink r:id="rId35" w:tgtFrame="_blank" w:history="1">
        <w:r>
          <w:rPr>
            <w:rStyle w:val="Hyperlink"/>
            <w:color w:val="505050"/>
          </w:rPr>
          <w:t>Visual Studio</w:t>
        </w:r>
      </w:hyperlink>
      <w:r>
        <w:t>: Launch Visual Studio Subscriptions in MCA.</w:t>
      </w:r>
    </w:p>
    <w:p>
      <w:pPr>
        <w:pStyle w:val="NormalWeb"/>
        <w:spacing w:before="150"/>
      </w:pPr>
      <w:hyperlink r:id="rId38" w:tgtFrame="_blank" w:history="1">
        <w:r>
          <w:rPr>
            <w:rStyle w:val="Hyperlink"/>
            <w:color w:val="505050"/>
          </w:rPr>
          <w:t>Windows Desktop Operating System</w:t>
        </w:r>
      </w:hyperlink>
      <w:r>
        <w:t>: Launch Windows 10 ESU in CSP, updated MCA Availability table.</w:t>
      </w:r>
    </w:p>
    <w:p>
      <w:pPr>
        <w:pStyle w:val="NormalWeb"/>
        <w:spacing w:before="150"/>
      </w:pPr>
      <w:hyperlink r:id="rId27" w:history="1">
        <w:r>
          <w:rPr>
            <w:rStyle w:val="Hyperlink"/>
            <w:color w:val="505050"/>
          </w:rPr>
          <w:t>Microsoft Azure</w:t>
        </w:r>
      </w:hyperlink>
      <w:r>
        <w:t>: Updated the Teams API terms for Security apps to comply with an EU regulation. </w:t>
      </w:r>
    </w:p>
    <w:p>
      <w:pPr>
        <w:pStyle w:val="NormalWeb"/>
        <w:spacing w:before="150"/>
      </w:pPr>
      <w:hyperlink r:id="rId23" w:tgtFrame="_blank" w:history="1">
        <w:r>
          <w:rPr>
            <w:rStyle w:val="Hyperlink"/>
            <w:color w:val="505050"/>
          </w:rPr>
          <w:t>Microsoft 365</w:t>
        </w:r>
      </w:hyperlink>
      <w:r>
        <w:t>: Added Microsoft Defender Suite for Business Premium, Microsoft Purview for Business Premium, and Microsoft Defender and Purview for Business Premium to Availability and Prerequisites tables. Added clause to clarify offerings have a limit of 300 subscription licenses.</w:t>
      </w:r>
    </w:p>
    <w:p>
      <w:pPr>
        <w:pStyle w:val="NormalWeb"/>
        <w:spacing w:before="150"/>
      </w:pPr>
      <w:hyperlink r:id="rId33" w:tgtFrame="_blank" w:history="1">
        <w:r>
          <w:rPr>
            <w:rStyle w:val="Hyperlink"/>
            <w:color w:val="505050"/>
          </w:rPr>
          <w:t>Windows 365</w:t>
        </w:r>
      </w:hyperlink>
      <w:r>
        <w:t>: Updated EA/EAS and EES Availability tables to include GCC and GCCH. Launch Cross-region DR add-on for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August 1, 2025</w:t>
      </w:r>
    </w:p>
    <w:p>
      <w:pPr>
        <w:pStyle w:val="NormalWeb"/>
        <w:spacing w:after="150"/>
      </w:pPr>
      <w:hyperlink r:id="rId25" w:tgtFrame="_blank" w:history="1">
        <w:r>
          <w:rPr>
            <w:rStyle w:val="Hyperlink"/>
            <w:color w:val="505050"/>
          </w:rPr>
          <w:t>Universal License Terms for Online Services</w:t>
        </w:r>
      </w:hyperlink>
      <w:r>
        <w:t>: Updated Online Services renewal section to reflect the removal of 30-day grace period notice.</w:t>
      </w:r>
    </w:p>
    <w:p>
      <w:pPr>
        <w:pStyle w:val="NormalWeb"/>
        <w:spacing w:before="150"/>
      </w:pPr>
      <w:hyperlink r:id="rId37" w:tgtFrame="_blank" w:history="1">
        <w:r>
          <w:rPr>
            <w:rStyle w:val="Hyperlink"/>
            <w:color w:val="505050"/>
          </w:rPr>
          <w:t>Exchange Server</w:t>
        </w:r>
      </w:hyperlink>
      <w:r>
        <w:t>: Updated terms to support launch of Exchange Server Subscription Editions.</w:t>
      </w:r>
    </w:p>
    <w:p>
      <w:pPr>
        <w:pStyle w:val="NormalWeb"/>
        <w:spacing w:before="150"/>
      </w:pPr>
      <w:hyperlink r:id="rId39" w:tgtFrame="_blank" w:history="1">
        <w:r>
          <w:rPr>
            <w:rStyle w:val="Hyperlink"/>
            <w:color w:val="505050"/>
          </w:rPr>
          <w:t>Skype for Business Server</w:t>
        </w:r>
      </w:hyperlink>
      <w:r>
        <w:t>: Updated terms to support launch of Skype for Business Server Subscription Editions.</w:t>
      </w:r>
    </w:p>
    <w:p>
      <w:pPr>
        <w:pStyle w:val="NormalWeb"/>
        <w:spacing w:before="150"/>
      </w:pPr>
      <w:hyperlink r:id="rId27" w:tgtFrame="_blank" w:history="1">
        <w:r>
          <w:rPr>
            <w:rStyle w:val="Hyperlink"/>
            <w:color w:val="505050"/>
          </w:rPr>
          <w:t>Microsoft Azure</w:t>
        </w:r>
      </w:hyperlink>
      <w:r>
        <w:t>: The Bing Terms of Use link has been revised specifically for Azure AI Foundry customers. With this update we are adding "Grounding with Bing Term of Use" language in Azure AI Foundry section and also revising the link to Bing TOU.</w:t>
      </w:r>
    </w:p>
    <w:p>
      <w:pPr>
        <w:pStyle w:val="NormalWeb"/>
        <w:spacing w:before="150"/>
      </w:pPr>
      <w:hyperlink r:id="rId40" w:tgtFrame="_blank" w:history="1">
        <w:r>
          <w:rPr>
            <w:rStyle w:val="Hyperlink"/>
            <w:color w:val="505050"/>
          </w:rPr>
          <w:t>Microsoft 365</w:t>
        </w:r>
      </w:hyperlink>
      <w:r>
        <w:t>: Added Microsoft 365 unattended licenses as a prerequisite for Windows 365 Enterprise to unblock use cases and achieve parity with AVD. </w:t>
      </w:r>
    </w:p>
    <w:p>
      <w:pPr>
        <w:pStyle w:val="NormalWeb"/>
        <w:spacing w:before="150"/>
      </w:pPr>
      <w:hyperlink r:id="rId41" w:tgtFrame="_blank" w:history="1">
        <w:r>
          <w:rPr>
            <w:rStyle w:val="Hyperlink"/>
            <w:color w:val="505050"/>
          </w:rPr>
          <w:t>Microsoft Defender for Experts</w:t>
        </w:r>
      </w:hyperlink>
      <w:r>
        <w:t>: Updated the EES, EAEAS, License prerequisite table, and added MCA table for Microsoft Defender for Experts Hunting XDR, and Experts for XDR.</w:t>
      </w:r>
    </w:p>
    <w:p>
      <w:pPr>
        <w:pStyle w:val="NormalWeb"/>
        <w:spacing w:before="150"/>
      </w:pPr>
      <w:hyperlink r:id="rId42" w:tgtFrame="_blank" w:history="1">
        <w:r>
          <w:rPr>
            <w:rStyle w:val="Hyperlink"/>
            <w:color w:val="505050"/>
          </w:rPr>
          <w:t>CAL and ML Equivalency Licenses</w:t>
        </w:r>
      </w:hyperlink>
      <w:r>
        <w:t>: Updated table formatting for accessibility and AI consumption.</w:t>
      </w:r>
    </w:p>
    <w:p>
      <w:pPr>
        <w:pStyle w:val="NormalWeb"/>
        <w:spacing w:before="150"/>
      </w:pPr>
      <w:hyperlink r:id="rId28" w:tgtFrame="_blank" w:history="1">
        <w:r>
          <w:rPr>
            <w:rStyle w:val="Hyperlink"/>
            <w:color w:val="505050"/>
          </w:rPr>
          <w:t>Glossary</w:t>
        </w:r>
      </w:hyperlink>
      <w:r>
        <w:t>: Correcting the Azure AI Foundry Models name in Covered Product definition.</w:t>
      </w:r>
    </w:p>
    <w:p>
      <w:pPr>
        <w:pStyle w:val="Heading3"/>
        <w:spacing w:before="150" w:beforeAutospacing="0"/>
        <w:rPr>
          <w:rFonts w:eastAsia="Times New Roman"/>
          <w:color w:val="0078D4"/>
          <w:sz w:val="26"/>
          <w:szCs w:val="26"/>
        </w:rPr>
      </w:pPr>
      <w:r>
        <w:rPr>
          <w:rFonts w:eastAsia="Times New Roman"/>
          <w:color w:val="0078D4"/>
          <w:sz w:val="26"/>
          <w:szCs w:val="26"/>
        </w:rPr>
        <w:t>July 1, 2025 </w:t>
      </w:r>
    </w:p>
    <w:p>
      <w:pPr>
        <w:pStyle w:val="NormalWeb"/>
        <w:spacing w:after="150"/>
      </w:pPr>
      <w:hyperlink r:id="rId25" w:tgtFrame="_blank" w:history="1">
        <w:r>
          <w:rPr>
            <w:rStyle w:val="Hyperlink"/>
            <w:color w:val="505050"/>
          </w:rPr>
          <w:t>Universal License Terms for Online Services</w:t>
        </w:r>
      </w:hyperlink>
      <w:r>
        <w:t>: Added new language to the Responsible Use of Microsoft AI Services clarifying that Microsoft provides starter templates, instructions, and code samples to help build apps or AI agents with Microsoft AI Services. However, customers are responsible for any applications using Microsoft services and for ensuring any developed applications follow all relevant legal and regulatory rules. Additionally, third-party templates or code samples are covered by separate terms set by the third parties.</w:t>
      </w:r>
    </w:p>
    <w:p>
      <w:pPr>
        <w:pStyle w:val="NormalWeb"/>
        <w:spacing w:before="150"/>
      </w:pPr>
      <w:hyperlink r:id="rId31" w:tgtFrame="_blank" w:history="1">
        <w:r>
          <w:rPr>
            <w:rStyle w:val="Hyperlink"/>
            <w:color w:val="505050"/>
          </w:rPr>
          <w:t>Microsoft Dynamics 365 Services</w:t>
        </w:r>
      </w:hyperlink>
      <w:r>
        <w:t>: Updated language for External Users to align with Glossary definition.</w:t>
      </w:r>
    </w:p>
    <w:p>
      <w:pPr>
        <w:pStyle w:val="NormalWeb"/>
        <w:spacing w:before="150"/>
      </w:pPr>
      <w:hyperlink r:id="rId22" w:tgtFrame="_blank" w:history="1">
        <w:r>
          <w:rPr>
            <w:rStyle w:val="Hyperlink"/>
            <w:color w:val="505050"/>
          </w:rPr>
          <w:t>Microsoft Power Platform</w:t>
        </w:r>
      </w:hyperlink>
      <w:r>
        <w:t>: Added new clause for Microsoft Copilot Studio when used with Grounding and Bing Search and Grounding and Bing Custom Search.</w:t>
      </w:r>
    </w:p>
    <w:p>
      <w:pPr>
        <w:pStyle w:val="Heading3"/>
        <w:spacing w:before="150" w:beforeAutospacing="0"/>
        <w:rPr>
          <w:rFonts w:eastAsia="Times New Roman"/>
          <w:color w:val="0078D4"/>
          <w:sz w:val="26"/>
          <w:szCs w:val="26"/>
        </w:rPr>
      </w:pPr>
      <w:r>
        <w:rPr>
          <w:rFonts w:eastAsia="Times New Roman"/>
          <w:color w:val="0078D4"/>
          <w:sz w:val="26"/>
          <w:szCs w:val="26"/>
        </w:rPr>
        <w:t>June 1, 2025</w:t>
      </w:r>
    </w:p>
    <w:p>
      <w:pPr>
        <w:pStyle w:val="NormalWeb"/>
        <w:spacing w:after="150"/>
      </w:pPr>
      <w:hyperlink r:id="rId25" w:history="1">
        <w:r>
          <w:rPr>
            <w:rStyle w:val="Hyperlink"/>
            <w:color w:val="505050"/>
          </w:rPr>
          <w:t>Universal License Terms for Online Services</w:t>
        </w:r>
      </w:hyperlink>
      <w:r>
        <w:t>: Updated the Online Services Purchasing Rules section of the Universal Terms for Online Services to be clear about which "Add-ons" must be purchased under the same licensing agreement as their Qualifying License or base User SL by specifying it applies Cloud Add-ons to SA, and not every SL that has a pre-requisite.</w:t>
      </w:r>
    </w:p>
    <w:p>
      <w:pPr>
        <w:pStyle w:val="NormalWeb"/>
        <w:spacing w:before="150"/>
      </w:pPr>
      <w:hyperlink r:id="rId26" w:history="1">
        <w:r>
          <w:rPr>
            <w:rStyle w:val="Hyperlink"/>
            <w:color w:val="505050"/>
          </w:rPr>
          <w:t>Privacy &amp; Security Terms</w:t>
        </w:r>
      </w:hyperlink>
      <w:r>
        <w:t>: Added Microsoft Dragon Copilot to the Security Practices and Policies and Location of Customer Data at Rest clauses for Core Online Services. Dragon Copilot was also added to the EDUB commitments.</w:t>
      </w:r>
    </w:p>
    <w:p>
      <w:pPr>
        <w:pStyle w:val="NormalWeb"/>
        <w:spacing w:before="150"/>
      </w:pPr>
      <w:hyperlink r:id="rId27" w:history="1">
        <w:r>
          <w:rPr>
            <w:rStyle w:val="Hyperlink"/>
            <w:color w:val="505050"/>
          </w:rPr>
          <w:t>Microsoft Azure</w:t>
        </w:r>
      </w:hyperlink>
      <w:r>
        <w:t>: Added Azure App Service Plan to MCA availability table. Added Microphone section in Service Specific Terms for Azure Communication Services that requires that developers notify their end users when a microphone is being accessed. Updated Microsoft Entra ID External User Allowance clause for clarity and added new clause for Microsoft Entra ID Governance to specify that Entra ID Governance for External Identities may be used only for External Users. Added terms for Azure AI Foundry service, which both replaces certain existing Azure AI services (including Azure AI Studio) and includes new features. Renamed Azure OpenAI Service to Azure AI Foundry Models and added terms for additional models that are available via Azure AI Foundry and designated as Azure Direct Models.</w:t>
      </w:r>
    </w:p>
    <w:p>
      <w:pPr>
        <w:pStyle w:val="NormalWeb"/>
        <w:spacing w:before="150"/>
      </w:pPr>
      <w:hyperlink r:id="rId22" w:history="1">
        <w:r>
          <w:rPr>
            <w:rStyle w:val="Hyperlink"/>
            <w:color w:val="505050"/>
          </w:rPr>
          <w:t>Microsoft Power Platform</w:t>
        </w:r>
      </w:hyperlink>
      <w:r>
        <w:t>: Microsoft Copilot Studio has been added as a Covered Product to the Customer Copyright Commitment.</w:t>
      </w:r>
    </w:p>
    <w:p>
      <w:pPr>
        <w:pStyle w:val="NormalWeb"/>
        <w:spacing w:before="150"/>
      </w:pPr>
      <w:hyperlink r:id="rId43" w:history="1">
        <w:r>
          <w:rPr>
            <w:rStyle w:val="Hyperlink"/>
            <w:color w:val="505050"/>
          </w:rPr>
          <w:t>Glossary</w:t>
        </w:r>
      </w:hyperlink>
      <w:r>
        <w:t>: Replaced Add-on with Cloud Add-on to SA, added Azure Direct Model, and updated Covered Product.</w:t>
      </w:r>
    </w:p>
    <w:p>
      <w:pPr>
        <w:pStyle w:val="Heading3"/>
        <w:spacing w:before="150" w:beforeAutospacing="0"/>
        <w:rPr>
          <w:rFonts w:eastAsia="Times New Roman"/>
          <w:color w:val="0078D4"/>
          <w:sz w:val="26"/>
          <w:szCs w:val="26"/>
        </w:rPr>
      </w:pPr>
      <w:r>
        <w:rPr>
          <w:rFonts w:eastAsia="Times New Roman"/>
          <w:color w:val="0078D4"/>
          <w:sz w:val="26"/>
          <w:szCs w:val="26"/>
        </w:rPr>
        <w:t>May 1, 2025</w:t>
      </w:r>
    </w:p>
    <w:p>
      <w:pPr>
        <w:pStyle w:val="NormalWeb"/>
        <w:spacing w:after="150"/>
      </w:pPr>
      <w:r>
        <w:rPr>
          <w:rStyle w:val="Strong"/>
          <w:u w:val="single"/>
        </w:rPr>
        <w:t>General</w:t>
      </w:r>
      <w:r>
        <w:t xml:space="preserve">: Added hidden offer products under MCA Availability tables for </w:t>
      </w:r>
      <w:hyperlink r:id="rId23" w:tgtFrame="_blank" w:history="1">
        <w:r>
          <w:rPr>
            <w:rStyle w:val="Hyperlink"/>
            <w:color w:val="505050"/>
          </w:rPr>
          <w:t>Microsoft 365</w:t>
        </w:r>
      </w:hyperlink>
      <w:r>
        <w:t xml:space="preserve">, </w:t>
      </w:r>
      <w:hyperlink r:id="rId44" w:tgtFrame="_blank" w:history="1">
        <w:r>
          <w:rPr>
            <w:rStyle w:val="Hyperlink"/>
            <w:color w:val="505050"/>
          </w:rPr>
          <w:t>Microsoft 365 Applications</w:t>
        </w:r>
      </w:hyperlink>
      <w:r>
        <w:t xml:space="preserve">, and </w:t>
      </w:r>
      <w:hyperlink r:id="rId45" w:tgtFrame="_blank" w:history="1">
        <w:r>
          <w:rPr>
            <w:rStyle w:val="Hyperlink"/>
            <w:color w:val="505050"/>
          </w:rPr>
          <w:t>Workplace Analytics</w:t>
        </w:r>
      </w:hyperlink>
      <w:r>
        <w:t>.</w:t>
      </w:r>
    </w:p>
    <w:p>
      <w:pPr>
        <w:pStyle w:val="NormalWeb"/>
        <w:spacing w:before="150"/>
      </w:pPr>
      <w:hyperlink r:id="rId46" w:tgtFrame="_blank" w:history="1">
        <w:r>
          <w:rPr>
            <w:rStyle w:val="Hyperlink"/>
            <w:color w:val="505050"/>
          </w:rPr>
          <w:t>Universal License Terms for Online Services</w:t>
        </w:r>
      </w:hyperlink>
      <w:r>
        <w:t>: Updates to Microsoft Generative AI Services Use of Content for Training language for clarity. Also updated Customer Copyright Commitment to clarify when a Customer's obligations to defend Microsoft against third-party intellectual property claims under a Customer's volume license agreement will not apply.</w:t>
      </w:r>
    </w:p>
    <w:p>
      <w:pPr>
        <w:pStyle w:val="NormalWeb"/>
        <w:spacing w:before="150"/>
      </w:pPr>
      <w:hyperlink r:id="rId23" w:tgtFrame="_blank" w:history="1">
        <w:r>
          <w:rPr>
            <w:rStyle w:val="Hyperlink"/>
            <w:color w:val="505050"/>
          </w:rPr>
          <w:t>Microsoft 365</w:t>
        </w:r>
      </w:hyperlink>
      <w:r>
        <w:t>: Added Remote Network Bandwidth to Availability and Prerequisite Tables. Included a clause to specify the minimum purchase needed for additional bandwidth.</w:t>
      </w:r>
    </w:p>
    <w:p>
      <w:pPr>
        <w:pStyle w:val="NormalWeb"/>
        <w:spacing w:before="150"/>
      </w:pPr>
      <w:hyperlink r:id="rId32" w:tgtFrame="_blank" w:history="1">
        <w:r>
          <w:rPr>
            <w:rStyle w:val="Hyperlink"/>
            <w:color w:val="505050"/>
          </w:rPr>
          <w:t>Microsoft Dragon Copilot</w:t>
        </w:r>
      </w:hyperlink>
      <w:r>
        <w:t>: New product added to Microsoft Product Terms. Dragon Copilot was added to Availability and Prerequisite Tables. Added new clauses on Healthcare Intended Use, Healthcare Required Authorizations, Third-Party Electronic Health Record Applications, and Enterprise AI Services Code of Conduct. Added additional language to the "Exceptions to the DPA" table under the Privacy and Security Terms.</w:t>
      </w:r>
    </w:p>
    <w:p>
      <w:pPr>
        <w:pStyle w:val="Heading3"/>
        <w:spacing w:before="150" w:beforeAutospacing="0"/>
        <w:rPr>
          <w:rFonts w:eastAsia="Times New Roman"/>
          <w:color w:val="0078D4"/>
          <w:sz w:val="26"/>
          <w:szCs w:val="26"/>
        </w:rPr>
      </w:pPr>
      <w:r>
        <w:rPr>
          <w:rFonts w:eastAsia="Times New Roman"/>
          <w:color w:val="0078D4"/>
          <w:sz w:val="26"/>
          <w:szCs w:val="26"/>
        </w:rPr>
        <w:t>April 1, 2025</w:t>
      </w:r>
    </w:p>
    <w:p>
      <w:pPr>
        <w:pStyle w:val="NormalWeb"/>
        <w:spacing w:after="150"/>
      </w:pPr>
      <w:r>
        <w:t xml:space="preserve">General: The Microsoft Enterprise AI Services Code of Conduct, effective February 26, 2025, applies to all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and unifies and replaces the previous codes for Microsoft Generative AI Services, Azure AI Vision Face API, and Azure AI Speech text to speech. All references to the previous Code of Conduct(s) have been updated.</w:t>
      </w:r>
    </w:p>
    <w:p>
      <w:pPr>
        <w:pStyle w:val="NormalWeb"/>
        <w:spacing w:before="150"/>
      </w:pPr>
      <w:hyperlink r:id="rId46" w:tgtFrame="_blank" w:history="1">
        <w:r>
          <w:rPr>
            <w:rStyle w:val="Hyperlink"/>
            <w:color w:val="505050"/>
          </w:rPr>
          <w:t>Universal License Terms for Online Services</w:t>
        </w:r>
      </w:hyperlink>
      <w:r>
        <w:t>: Frontline Worker Use Rights have moved to the Universal Terms for Online Services from product specific pages. Relevant products that apply to the Use Rights covered by the Universal Terms are indicated in the Product Condition table in product specific pages, and a new definition for "Frontline Worker License" has been introduced in the Glossary. Updated Government Customer terms language for clarity.</w:t>
      </w:r>
    </w:p>
    <w:p>
      <w:pPr>
        <w:pStyle w:val="NormalWeb"/>
        <w:spacing w:before="150"/>
      </w:pPr>
      <w:hyperlink r:id="rId26" w:tgtFrame="_blank" w:history="1">
        <w:r>
          <w:rPr>
            <w:rStyle w:val="Hyperlink"/>
            <w:color w:val="505050"/>
          </w:rPr>
          <w:t>Privacy &amp; Security Terms</w:t>
        </w:r>
      </w:hyperlink>
      <w:r>
        <w:t>: Added Microsoft 365 Copilot for Sales to Core Online Services.</w:t>
      </w:r>
    </w:p>
    <w:p>
      <w:pPr>
        <w:pStyle w:val="NormalWeb"/>
        <w:spacing w:before="150"/>
      </w:pPr>
      <w:hyperlink r:id="rId38" w:tgtFrame="_blank" w:history="1">
        <w:r>
          <w:rPr>
            <w:rStyle w:val="Hyperlink"/>
            <w:color w:val="505050"/>
          </w:rPr>
          <w:t>Windows Desktop Operating System</w:t>
        </w:r>
      </w:hyperlink>
      <w:r>
        <w:t>: Launch Windows 10 ESU Cloud Managed SKUs.</w:t>
      </w:r>
    </w:p>
    <w:p>
      <w:pPr>
        <w:pStyle w:val="NormalWeb"/>
        <w:spacing w:before="150"/>
      </w:pPr>
      <w:hyperlink r:id="rId47" w:tgtFrame="_blank" w:history="1">
        <w:r>
          <w:rPr>
            <w:rStyle w:val="Hyperlink"/>
            <w:color w:val="505050"/>
          </w:rPr>
          <w:t>Microsoft 365</w:t>
        </w:r>
      </w:hyperlink>
      <w:r>
        <w:t>: Removed Microsoft Entra Permissions Management, Microsoft Viva Topics and Secure Access Essentials from Availability and Prerequisite tables. Added Frontline Worker Licenses to Product Conditions.</w:t>
      </w:r>
    </w:p>
    <w:p>
      <w:pPr>
        <w:pStyle w:val="NormalWeb"/>
        <w:spacing w:before="150"/>
      </w:pPr>
      <w:hyperlink r:id="rId27" w:tgtFrame="_blank" w:history="1">
        <w:r>
          <w:rPr>
            <w:rStyle w:val="Hyperlink"/>
            <w:color w:val="505050"/>
          </w:rPr>
          <w:t>Microsoft Azure</w:t>
        </w:r>
      </w:hyperlink>
      <w:r>
        <w:t>: Added Frontline Worker Licenses to Product Conditions.</w:t>
      </w:r>
    </w:p>
    <w:p>
      <w:pPr>
        <w:pStyle w:val="NormalWeb"/>
        <w:spacing w:before="150"/>
      </w:pPr>
      <w:hyperlink r:id="rId31" w:tgtFrame="_blank" w:history="1">
        <w:r>
          <w:rPr>
            <w:rStyle w:val="Hyperlink"/>
            <w:color w:val="505050"/>
          </w:rPr>
          <w:t>Microsoft Dynamics 365 Services</w:t>
        </w:r>
      </w:hyperlink>
      <w:r>
        <w:t>: Removed Dynamics 365 Fraud Protection and Fraud Protection Additional Capacity from Availability tables and Restrictions of Use.</w:t>
      </w:r>
    </w:p>
    <w:p>
      <w:pPr>
        <w:pStyle w:val="NormalWeb"/>
        <w:spacing w:before="150"/>
      </w:pPr>
      <w:hyperlink r:id="rId30" w:tgtFrame="_blank" w:history="1">
        <w:r>
          <w:rPr>
            <w:rStyle w:val="Hyperlink"/>
            <w:color w:val="505050"/>
          </w:rPr>
          <w:t>Audio Services</w:t>
        </w:r>
      </w:hyperlink>
      <w:r>
        <w:t>: Updated link to Learn document for messaging policy.</w:t>
      </w:r>
    </w:p>
    <w:p>
      <w:pPr>
        <w:pStyle w:val="NormalWeb"/>
        <w:spacing w:before="150"/>
      </w:pPr>
      <w:hyperlink r:id="rId33" w:tgtFrame="_blank" w:history="1">
        <w:r>
          <w:rPr>
            <w:rStyle w:val="Hyperlink"/>
            <w:color w:val="505050"/>
          </w:rPr>
          <w:t>Windows 365</w:t>
        </w:r>
      </w:hyperlink>
      <w:r>
        <w:t>: Updated Windows 365 Frontline terms and grant Windows 365 access rights for Windows CPC OS. Added Windows 365 Disaster Recovery Plus Add-on to Availability Table.</w:t>
      </w:r>
    </w:p>
    <w:p>
      <w:pPr>
        <w:pStyle w:val="NormalWeb"/>
        <w:spacing w:before="150"/>
      </w:pPr>
      <w:hyperlink r:id="rId48" w:tgtFrame="_blank" w:history="1">
        <w:r>
          <w:rPr>
            <w:rStyle w:val="Hyperlink"/>
            <w:color w:val="505050"/>
          </w:rPr>
          <w:t>Professional Services</w:t>
        </w:r>
      </w:hyperlink>
      <w:r>
        <w:t>: Updated Professional Services terms.</w:t>
      </w:r>
    </w:p>
    <w:p>
      <w:pPr>
        <w:pStyle w:val="NormalWeb"/>
        <w:spacing w:before="150"/>
      </w:pPr>
      <w:hyperlink r:id="rId43" w:tgtFrame="_blank" w:history="1">
        <w:r>
          <w:rPr>
            <w:rStyle w:val="Hyperlink"/>
            <w:color w:val="505050"/>
          </w:rPr>
          <w:t>Glossary</w:t>
        </w:r>
      </w:hyperlink>
      <w:r>
        <w:t>: Added Frontline Worker License and Microsoft AI Service.</w:t>
      </w:r>
    </w:p>
    <w:p>
      <w:pPr>
        <w:pStyle w:val="Heading3"/>
        <w:spacing w:before="150" w:beforeAutospacing="0"/>
        <w:rPr>
          <w:rFonts w:eastAsia="Times New Roman"/>
          <w:color w:val="0078D4"/>
          <w:sz w:val="26"/>
          <w:szCs w:val="26"/>
        </w:rPr>
      </w:pPr>
      <w:r>
        <w:rPr>
          <w:rFonts w:eastAsia="Times New Roman"/>
          <w:color w:val="0078D4"/>
          <w:sz w:val="26"/>
          <w:szCs w:val="26"/>
        </w:rPr>
        <w:t>March 12, 2025</w:t>
      </w:r>
    </w:p>
    <w:p>
      <w:pPr>
        <w:pStyle w:val="NormalWeb"/>
        <w:spacing w:after="150"/>
      </w:pPr>
      <w:hyperlink r:id="rId23" w:tgtFrame="_blank" w:history="1">
        <w:r>
          <w:rPr>
            <w:rStyle w:val="Hyperlink"/>
            <w:color w:val="505050"/>
          </w:rPr>
          <w:t>Microsoft 365</w:t>
        </w:r>
      </w:hyperlink>
      <w:r>
        <w:t>: Updated Data Handling terms and query data terms for M365 Copilot and Copilot Chat. Added language to clarify that server OSEs need a separate Microsoft Defender for Endpoint, Microsoft Defender for Business, or Microsoft Defender Vulnerability Management for server license(s).</w:t>
      </w:r>
    </w:p>
    <w:p>
      <w:pPr>
        <w:pStyle w:val="Heading3"/>
        <w:spacing w:before="150" w:beforeAutospacing="0"/>
        <w:rPr>
          <w:rFonts w:eastAsia="Times New Roman"/>
          <w:color w:val="0078D4"/>
          <w:sz w:val="26"/>
          <w:szCs w:val="26"/>
        </w:rPr>
      </w:pPr>
      <w:r>
        <w:rPr>
          <w:rFonts w:eastAsia="Times New Roman"/>
          <w:color w:val="0078D4"/>
          <w:sz w:val="26"/>
          <w:szCs w:val="26"/>
        </w:rPr>
        <w:t>March 5, 2025</w:t>
      </w:r>
    </w:p>
    <w:p>
      <w:pPr>
        <w:pStyle w:val="NormalWeb"/>
        <w:spacing w:after="150"/>
      </w:pPr>
      <w:hyperlink r:id="rId26" w:tgtFrame="_blank" w:history="1">
        <w:r>
          <w:rPr>
            <w:rStyle w:val="Hyperlink"/>
            <w:color w:val="505050"/>
          </w:rPr>
          <w:t>Privacy &amp; Security Terms</w:t>
        </w:r>
      </w:hyperlink>
      <w:r>
        <w:t>: Added Dynamics 365 Contact Center to the list of Core Online Services.</w:t>
      </w:r>
    </w:p>
    <w:p>
      <w:pPr>
        <w:pStyle w:val="NormalWeb"/>
        <w:spacing w:before="150"/>
      </w:pPr>
      <w:hyperlink r:id="rId23" w:tgtFrame="_blank" w:history="1">
        <w:r>
          <w:rPr>
            <w:rStyle w:val="Hyperlink"/>
            <w:color w:val="505050"/>
          </w:rPr>
          <w:t>Microsoft 365</w:t>
        </w:r>
      </w:hyperlink>
      <w:r>
        <w:t>: Microsoft Business Premium 365 has been added as a prerequisite to Microsoft 365 E5 Security.</w:t>
      </w:r>
    </w:p>
    <w:p>
      <w:pPr>
        <w:pStyle w:val="Heading3"/>
        <w:spacing w:before="150" w:beforeAutospacing="0"/>
        <w:rPr>
          <w:rFonts w:eastAsia="Times New Roman"/>
          <w:color w:val="0078D4"/>
          <w:sz w:val="26"/>
          <w:szCs w:val="26"/>
        </w:rPr>
      </w:pPr>
      <w:r>
        <w:rPr>
          <w:rFonts w:eastAsia="Times New Roman"/>
          <w:color w:val="0078D4"/>
          <w:sz w:val="26"/>
          <w:szCs w:val="26"/>
        </w:rPr>
        <w:t>March 1, 2025</w:t>
      </w:r>
    </w:p>
    <w:p>
      <w:pPr>
        <w:pStyle w:val="NormalWeb"/>
        <w:spacing w:after="150"/>
      </w:pPr>
      <w:hyperlink r:id="rId46" w:tgtFrame="_blank" w:history="1">
        <w:r>
          <w:rPr>
            <w:rStyle w:val="Hyperlink"/>
            <w:color w:val="505050"/>
          </w:rPr>
          <w:t>Universal License Terms for Online Services</w:t>
        </w:r>
      </w:hyperlink>
      <w:r>
        <w:t>: Updated Acceptable Use Policy terms.</w:t>
      </w:r>
    </w:p>
    <w:p>
      <w:pPr>
        <w:pStyle w:val="NormalWeb"/>
        <w:spacing w:before="150"/>
      </w:pPr>
      <w:hyperlink r:id="rId26" w:tgtFrame="_blank" w:history="1">
        <w:r>
          <w:rPr>
            <w:rStyle w:val="Hyperlink"/>
            <w:color w:val="505050"/>
          </w:rPr>
          <w:t>Privacy &amp; Security Terms</w:t>
        </w:r>
      </w:hyperlink>
      <w:r>
        <w:t>: Added Microsoft 365 Copilot Chat to the list of EU Data Boundary Services.</w:t>
      </w:r>
    </w:p>
    <w:p>
      <w:pPr>
        <w:pStyle w:val="NormalWeb"/>
        <w:spacing w:before="150"/>
      </w:pPr>
      <w:hyperlink r:id="rId23" w:tgtFrame="_blank" w:history="1">
        <w:r>
          <w:rPr>
            <w:rStyle w:val="Hyperlink"/>
            <w:color w:val="505050"/>
          </w:rPr>
          <w:t>Microsoft 365</w:t>
        </w:r>
      </w:hyperlink>
      <w:r>
        <w:t xml:space="preserve">: Updated Microsoft 365 Copilot Chat Data Handling headline to </w:t>
      </w:r>
      <w:r>
        <w:rPr>
          <w:i/>
          <w:iCs/>
        </w:rPr>
        <w:t xml:space="preserve">Microsoft 365 Copilot and </w:t>
      </w:r>
      <w:r>
        <w:t>Microsoft 365 Copilot Chat Data Handling to enable data handling terms for both Copilot and Copilot Chat.</w:t>
      </w:r>
    </w:p>
    <w:p>
      <w:pPr>
        <w:pStyle w:val="NormalWeb"/>
        <w:spacing w:before="150"/>
      </w:pPr>
      <w:hyperlink r:id="rId27" w:tgtFrame="_blank" w:history="1">
        <w:r>
          <w:rPr>
            <w:rStyle w:val="Hyperlink"/>
            <w:color w:val="505050"/>
          </w:rPr>
          <w:t>Microsoft Azure</w:t>
        </w:r>
      </w:hyperlink>
      <w:r>
        <w:t>: Extend Azure Local to include smaller, more affordable devices than traditional servers. Added exception to commitment on location of data processing for optional model fine-tuning feature in Azure OpenAI Service.</w:t>
      </w:r>
    </w:p>
    <w:p w:rsidR="00ED5159" w:rsidP="00ED5159">
      <w:pPr>
        <w:pStyle w:val="ProductList-OfferingGroupHeading"/>
        <w:outlineLvl w:val="1"/>
      </w:pPr>
      <w:r>
        <w:t>Universal License Terms</w:t>
      </w:r>
      <w:r>
        <w:fldChar w:fldCharType="begin"/>
      </w:r>
      <w:r>
        <w:instrText xml:space="preserve"> TC </w:instrText>
      </w:r>
      <w:bookmarkStart w:id="7" w:name="_Toc256000003"/>
      <w:r>
        <w:instrText>"</w:instrText>
      </w:r>
      <w:bookmarkStart w:id="8" w:name="_Toc2"/>
      <w:r>
        <w:instrText>Universal License Terms</w:instrText>
      </w:r>
      <w:bookmarkEnd w:id="8"/>
      <w:r>
        <w:instrText>"</w:instrText>
      </w:r>
      <w:bookmarkEnd w:id="7"/>
      <w:r>
        <w:instrText xml:space="preserve"> \l 2</w:instrText>
      </w:r>
      <w:r>
        <w:fldChar w:fldCharType="end"/>
      </w:r>
    </w:p>
    <w:p w:rsidR="00ED5159" w:rsidP="00ED5159">
      <w:pPr>
        <w:pStyle w:val="ProductList-Offering2Heading"/>
        <w:outlineLvl w:val="2"/>
      </w:pPr>
      <w:r>
        <w:t>For Online Services</w:t>
      </w:r>
      <w:r>
        <w:fldChar w:fldCharType="begin"/>
      </w:r>
      <w:r>
        <w:instrText xml:space="preserve"> TC </w:instrText>
      </w:r>
      <w:bookmarkStart w:id="9" w:name="_Toc256000004"/>
      <w:r>
        <w:instrText>"</w:instrText>
      </w:r>
      <w:r>
        <w:instrText>For Online Services</w:instrText>
      </w:r>
      <w:r>
        <w:instrText>"</w:instrText>
      </w:r>
      <w:bookmarkEnd w:id="9"/>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here but not defined in the </w:t>
      </w:r>
      <w:hyperlink r:id="rId49" w:history="1">
        <w:r>
          <w:rPr>
            <w:rStyle w:val="Hyperlink"/>
            <w:color w:val="505050"/>
          </w:rPr>
          <w:t>Glossary</w:t>
        </w:r>
      </w:hyperlink>
      <w:r>
        <w:t xml:space="preserve"> will have the definitions provided in Customer's licensing agreement.</w:t>
      </w:r>
    </w:p>
    <w:p>
      <w:pPr>
        <w:pStyle w:val="Heading3"/>
        <w:spacing w:before="150" w:beforeAutospacing="0"/>
        <w:rPr>
          <w:rFonts w:eastAsia="Times New Roman"/>
          <w:color w:val="0078D4"/>
          <w:sz w:val="26"/>
          <w:szCs w:val="26"/>
        </w:rPr>
      </w:pPr>
      <w:r>
        <w:rPr>
          <w:rFonts w:eastAsia="Times New Roman"/>
          <w:color w:val="0078D4"/>
          <w:sz w:val="26"/>
          <w:szCs w:val="26"/>
        </w:rPr>
        <w:t>Data Processing and Security</w:t>
      </w:r>
    </w:p>
    <w:p>
      <w:pPr>
        <w:pStyle w:val="NormalWeb"/>
        <w:spacing w:after="150"/>
      </w:pPr>
      <w:r>
        <w:t xml:space="preserve">The parties agree that these terms govern Customer's use of the Online Services and that the </w:t>
      </w:r>
      <w:hyperlink w:anchor="_Toc20" w:tooltip="Data Protection Addendum (DPA) means the Microsoft Products and Services Data Protection Addendum published at https://aka.ms/DPA." w:history="1">
        <w:r>
          <w:rPr>
            <w:rStyle w:val="Hyperlink"/>
            <w:color w:val="505050"/>
          </w:rPr>
          <w:t>DPA</w:t>
        </w:r>
      </w:hyperlink>
      <w:r>
        <w:t xml:space="preserve"> (defined in the </w:t>
      </w:r>
      <w:hyperlink r:id="rId49" w:history="1">
        <w:r>
          <w:rPr>
            <w:rStyle w:val="Hyperlink"/>
            <w:color w:val="505050"/>
          </w:rPr>
          <w:t>Glossary</w:t>
        </w:r>
      </w:hyperlink>
      <w:r>
        <w:t xml:space="preserve">) sets forth their obligations with respect to the processing and security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20" w:tooltip="Personal Data means any information relating to an identified or identifiable natural person." w:history="1">
        <w:r>
          <w:rPr>
            <w:rStyle w:val="Hyperlink"/>
            <w:color w:val="505050"/>
          </w:rPr>
          <w:t>Personal Data</w:t>
        </w:r>
      </w:hyperlink>
      <w:r>
        <w:t xml:space="preserve"> by the Online Services. The parties also agree that, unless a separate Professional Services agreement exists, these terms govern the provision of Professional Services, including but not limited to the terms in the </w:t>
      </w:r>
      <w:hyperlink r:id="rId50" w:history="1">
        <w:r>
          <w:rPr>
            <w:rStyle w:val="Hyperlink"/>
            <w:color w:val="505050"/>
          </w:rPr>
          <w:t>Professional Services</w:t>
        </w:r>
      </w:hyperlink>
      <w:r>
        <w:t xml:space="preserve"> section and terms in the </w:t>
      </w:r>
      <w:hyperlink w:anchor="_Toc20" w:tooltip="Data Protection Addendum (DPA) means the Microsoft Products and Services Data Protection Addendum published at https://aka.ms/DPA." w:history="1">
        <w:r>
          <w:rPr>
            <w:rStyle w:val="Hyperlink"/>
            <w:color w:val="505050"/>
          </w:rPr>
          <w:t>DPA</w:t>
        </w:r>
      </w:hyperlink>
      <w:r>
        <w:t xml:space="preserve"> for the processing and security of Professional Services Data and </w:t>
      </w:r>
      <w:hyperlink w:anchor="_Toc20" w:tooltip="Personal Data means any information relating to an identified or identifiable natural person." w:history="1">
        <w:r>
          <w:rPr>
            <w:rStyle w:val="Hyperlink"/>
            <w:color w:val="505050"/>
          </w:rPr>
          <w:t>Personal Data</w:t>
        </w:r>
      </w:hyperlink>
      <w:r>
        <w:t xml:space="preserve"> in connection with that provision. Separate terms, including different privacy and security terms, govern Customer's use of Non-Microsoft Products (as defined below). In the event of any conflict or inconsistency between the </w:t>
      </w:r>
      <w:hyperlink w:anchor="_Toc20"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DPA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Level Agreements</w:t>
      </w:r>
    </w:p>
    <w:p>
      <w:pPr>
        <w:pStyle w:val="NormalWeb"/>
        <w:spacing w:after="150"/>
      </w:pPr>
      <w:r>
        <w:t xml:space="preserve">Many Online Services offer a Service Level Agreement (SLA). For more information regarding the Online Services SLAs, please refer to </w:t>
      </w:r>
      <w:hyperlink r:id="rId51" w:tgtFrame="_blank" w:history="1">
        <w:r>
          <w:rPr>
            <w:rStyle w:val="Hyperlink"/>
            <w:color w:val="505050"/>
          </w:rPr>
          <w:t>https://aka.ms/CSLA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Applicable Product Terms and Updates for Online Services</w:t>
      </w:r>
    </w:p>
    <w:p>
      <w:pPr>
        <w:pStyle w:val="NormalWeb"/>
        <w:spacing w:after="150"/>
      </w:pPr>
      <w:r>
        <w:t>When Customer renews or purchases a new subscription to an Online Service, the then-current terms will apply and will not change during Customer's subscription for that Online Service. When Microsoft introduces features, supplements or related software that are new (i.e., that were not previously included with the subscription), Microsoft may provide terms or make updates to the terms that apply to Customer's use of those new features, supplements or related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Electronic Notices</w:t>
      </w:r>
    </w:p>
    <w:p>
      <w:pPr>
        <w:pStyle w:val="NormalWeb"/>
        <w:spacing w:after="150"/>
      </w:pPr>
      <w:r>
        <w:t>Microsoft may provide Customer with information and notices about Online Services electronically, including via email, through the portal for the Online Service, or through a web site that Microsoft identifies. Notice is given as of the date it is made available by Microsoft.</w:t>
      </w:r>
    </w:p>
    <w:p>
      <w:pPr>
        <w:pStyle w:val="Heading3"/>
        <w:spacing w:before="150" w:beforeAutospacing="0"/>
        <w:rPr>
          <w:rFonts w:eastAsia="Times New Roman"/>
          <w:color w:val="0078D4"/>
          <w:sz w:val="26"/>
          <w:szCs w:val="26"/>
        </w:rPr>
      </w:pPr>
      <w:r>
        <w:rPr>
          <w:rFonts w:eastAsia="Times New Roman"/>
          <w:color w:val="0078D4"/>
          <w:sz w:val="26"/>
          <w:szCs w:val="26"/>
        </w:rPr>
        <w:t>Licensing the Online Services</w:t>
      </w:r>
    </w:p>
    <w:p>
      <w:pPr>
        <w:pStyle w:val="NormalWeb"/>
        <w:spacing w:after="150"/>
      </w:pPr>
      <w:r>
        <w:t xml:space="preserve">Customer must acquire and assign the appropriate subscription licenses required for its use of each Online Service. Usage exceeding the Online Service's documented entitlement(s) and/or usage limits require additional purchase of licenses to cover overage. Each user that accesses the Online Service must be assigned a User SL or access the Online Service only through a device that has been assigned a Device SL, unless specified otherwise in the Online Service-specific Terms. </w:t>
      </w:r>
      <w:hyperlink r:id="rId52" w:tgtFrame="_blank" w:history="1">
        <w:r>
          <w:rPr>
            <w:rStyle w:val="Hyperlink"/>
            <w:color w:val="505050"/>
          </w:rPr>
          <w:t>Subscription License Suites</w:t>
        </w:r>
      </w:hyperlink>
      <w:r>
        <w:t xml:space="preserve"> describes SL Suites that also fulfill requirements for User SLs. Customer has no right to use an Online Service after the SL for that Online Service ends.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to Assign Frontline Worker Licenses</w:t>
      </w:r>
    </w:p>
    <w:p>
      <w:pPr>
        <w:pStyle w:val="NormalWeb"/>
        <w:spacing w:after="150"/>
      </w:pPr>
      <w:r>
        <w:t xml:space="preserve">Microsoft </w:t>
      </w:r>
      <w:hyperlink w:anchor="_Toc20" w:tooltip="Frontline Worker License means a license for a Microsoft Product designated with an " w:history="1">
        <w:r>
          <w:rPr>
            <w:rStyle w:val="Hyperlink"/>
            <w:color w:val="505050"/>
          </w:rPr>
          <w:t>Frontline Worker Licenses</w:t>
        </w:r>
      </w:hyperlink>
      <w:r>
        <w:t xml:space="preserve"> may only be assigned to users who satisfy one or more of the following conditions:</w:t>
      </w:r>
    </w:p>
    <w:p>
      <w:pPr>
        <w:numPr>
          <w:ilvl w:val="0"/>
          <w:numId w:val="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Uses a primary work device with a single screen smaller than 10.9", or </w:t>
      </w:r>
    </w:p>
    <w:p>
      <w:pPr>
        <w:numPr>
          <w:ilvl w:val="0"/>
          <w:numId w:val="2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Share their primary work device with other users licensed with a </w:t>
      </w:r>
      <w:hyperlink w:anchor="_Toc20"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during or across shifts.</w:t>
      </w:r>
    </w:p>
    <w:p>
      <w:pPr>
        <w:numPr>
          <w:ilvl w:val="1"/>
          <w:numId w:val="2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Other users licensed with a </w:t>
      </w:r>
      <w:hyperlink w:anchor="_Toc20"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xml:space="preserve"> must also use the device as their primary work device; and</w:t>
      </w:r>
    </w:p>
    <w:p>
      <w:pPr>
        <w:numPr>
          <w:ilvl w:val="1"/>
          <w:numId w:val="2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Any software or service accessed from the shared device requires the device or users to be assigned a license that includes use of those software or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Reassignment</w:t>
      </w:r>
    </w:p>
    <w:p>
      <w:pPr>
        <w:pStyle w:val="NormalWeb"/>
        <w:spacing w:after="150"/>
      </w:pPr>
      <w:r>
        <w:t>Most, but not all, SLs may be reassigned. Except as permitted in this paragraph or in the Online Service-specific Terms, Customer may not reassign an SL on a short-term basis (i.e., within 90 days of the last assignment). Customer may reassign an SL on a short-term basis to cover a user's absence or the unavailability of a device that is out of service. Reassignment of an SL for any other purpose must be for the remaining term of that License. When Customer reassigns an SL from one device or user to another, Customer must block access and remove any related software from the former device or from the former user's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Multiplexing</w:t>
      </w:r>
    </w:p>
    <w:p>
      <w:pPr>
        <w:pStyle w:val="NormalWeb"/>
        <w:spacing w:after="150"/>
      </w:pPr>
      <w:r>
        <w:t>Hardware or software that a Customer uses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does not reduce the number of Licenses of any type that Customer needs.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Services Step-up Availability and License Assignment</w:t>
      </w:r>
    </w:p>
    <w:p>
      <w:pPr>
        <w:pStyle w:val="NormalWeb"/>
        <w:spacing w:after="150"/>
      </w:pPr>
      <w:r>
        <w:t>Some licensing programs allow customers to step-up an existing online service to a higher edition any time during the agreement and enrollment (if any) term. Such higher edition licenses may be acquired using Step-up SKUs with the following requirements: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 higher edition license acquired using a Step-up SKU can only be assigned to a licensed user of a qualifying base license of the same online service or a suite license that includes the same qualifying base online service,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higher edition license is acquired, customers may not separate it from the qualifying base online service license,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Step up SKUs must be purchased under the same licensing agreement and enrollment (if any), under which the qualifying base online service User SL was acquired.</w:t>
      </w:r>
    </w:p>
    <w:p>
      <w:pPr>
        <w:pStyle w:val="Heading3"/>
        <w:spacing w:before="150" w:beforeAutospacing="0"/>
        <w:rPr>
          <w:rFonts w:eastAsia="Times New Roman"/>
          <w:color w:val="0078D4"/>
          <w:sz w:val="26"/>
          <w:szCs w:val="26"/>
        </w:rPr>
      </w:pPr>
      <w:r>
        <w:rPr>
          <w:rFonts w:eastAsia="Times New Roman"/>
          <w:color w:val="0078D4"/>
          <w:sz w:val="26"/>
          <w:szCs w:val="26"/>
        </w:rPr>
        <w:t>Using the Online Services</w:t>
      </w:r>
    </w:p>
    <w:p>
      <w:pPr>
        <w:pStyle w:val="NormalWeb"/>
        <w:spacing w:after="150"/>
      </w:pPr>
      <w:r>
        <w:t>Customer may use the Online Services and related software as expressly permitted in Customer's licensing agreement. Microsoft reserves all other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Neither Customer, nor those that access an Online Service through Customer, may use an Online Service:</w:t>
      </w:r>
    </w:p>
    <w:p>
      <w:pPr>
        <w:numPr>
          <w:ilvl w:val="0"/>
          <w:numId w:val="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to try to gain unauthorized access to or disrupt any service, device, data, account or network, including by intentionally evading or disrupting restrictions in </w:t>
      </w:r>
      <w:hyperlink w:anchor="_Toc20"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spam or distribute malware;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mine cryptocurrency;</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that could harm the Online Service or impair anyone else's use of it;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any application or situation where failure of the Online Service could lead to the death or serious bodily injury of any person, or to severe physical or environmental damage, except in accordance with the High-Risk Use section below; or</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assist or encourage anyone to do any of the above.</w:t>
      </w:r>
    </w:p>
    <w:p>
      <w:pPr>
        <w:pStyle w:val="NormalWeb"/>
        <w:spacing w:before="150"/>
      </w:pPr>
      <w:r>
        <w:t>Without limiting Microsoft's other remedies, violations of the Acceptable Use Policy in this section may result in suspension of the Online Service. If Microsoft suspends the Online Service, Microsoft will suspend only to the extent reasonably necessary. Unless Microsoft believes an immediate suspension is required, Microsoft will provide reasonable notice before suspending an Online Service for the reasons stated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Responsible Use of Microsoft AI Services</w:t>
      </w:r>
    </w:p>
    <w:p>
      <w:pPr>
        <w:pStyle w:val="NormalWeb"/>
        <w:spacing w:after="150"/>
      </w:pPr>
      <w:r>
        <w:t xml:space="preserve">Customer must use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in accordance with the Acceptable Use Policy and the Microsoft Enterprise AI Services Code of Conduct (</w:t>
      </w:r>
      <w:hyperlink r:id="rId53" w:tgtFrame="_blank" w:history="1">
        <w:r>
          <w:rPr>
            <w:rStyle w:val="Hyperlink"/>
            <w:color w:val="505050"/>
          </w:rPr>
          <w:t>https://aka.ms/AI-CoC</w:t>
        </w:r>
      </w:hyperlink>
      <w:r>
        <w:t xml:space="preserve">). Without limiting its other remedies, Microsoft may limit Customer's access to or use of a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if Microsoft has a reasonable basis to believe that Customer's use of a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or </w:t>
      </w:r>
      <w:hyperlink w:anchor="_Toc20" w:tooltip="Output Content means any data, text, sound, video, image, code, or other content generated by a Microsoft Generative AI Service in response to Input." w:history="1">
        <w:r>
          <w:rPr>
            <w:rStyle w:val="Hyperlink"/>
            <w:color w:val="505050"/>
          </w:rPr>
          <w:t>Output Content</w:t>
        </w:r>
      </w:hyperlink>
      <w:r>
        <w:t xml:space="preserve"> violates the Acceptable Use Policy or the Microsoft Enterprise AI Services Code of Conduct (</w:t>
      </w:r>
      <w:hyperlink r:id="rId53" w:tgtFrame="_blank" w:history="1">
        <w:r>
          <w:rPr>
            <w:rStyle w:val="Hyperlink"/>
            <w:color w:val="505050"/>
          </w:rPr>
          <w:t>https://aka.ms/AI-CoC</w:t>
        </w:r>
      </w:hyperlink>
      <w:r>
        <w:t>).</w:t>
      </w:r>
    </w:p>
    <w:p>
      <w:pPr>
        <w:pStyle w:val="NormalWeb"/>
        <w:spacing w:before="150"/>
      </w:pPr>
      <w:r>
        <w:t xml:space="preserve">Starter templates, instructions, and code samples that Microsoft makes available for use with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designed to assist Customers in accelerating their development or applications and/or AI agents for specific scenarios. Customer is solely responsible for any application or AI agent it creates using or for use with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Services</w:t>
        </w:r>
      </w:hyperlink>
      <w:r>
        <w:t>, including complying with any legal, regulatory, or licensing requirements applicable to the resulting application of AI agent or its use.</w:t>
      </w:r>
    </w:p>
    <w:p>
      <w:pPr>
        <w:pStyle w:val="NormalWeb"/>
        <w:spacing w:before="150"/>
      </w:pPr>
      <w:r>
        <w:t xml:space="preserve">Third-party agent templates, instructions, and code samples that Microsoft makes available for use with </w:t>
      </w:r>
      <w:hyperlink w:anchor="_Toc20"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of </w:t>
      </w:r>
      <w:hyperlink r:id="rId54" w:anchor="clause-1318-h3-1" w:history="1">
        <w:r>
          <w:rPr>
            <w:rStyle w:val="Hyperlink"/>
            <w:color w:val="505050"/>
          </w:rPr>
          <w:t>Non-Microsoft Products</w:t>
        </w:r>
      </w:hyperlink>
      <w:r>
        <w:rPr>
          <w:rStyle w:val="Strong"/>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High-Risk Use</w:t>
      </w:r>
    </w:p>
    <w:p>
      <w:pPr>
        <w:pStyle w:val="NormalWeb"/>
        <w:spacing w:after="150"/>
      </w:pPr>
      <w:r>
        <w:t>WARNING:   Modern technologies, and especially platform technologies, may be used in new and innovative ways, and Customer must consider whether its specific use of these technologies is safe. The Online Services are not designed or intended to support any use in which a service interruption, defect, error, or other failure of an Online Service could result in the death or serious bodily injury of any person or in physical or environmental damage (collectively, "High-Risk Use"). Accordingly, Customer must design and implement every application such that, in the event of any interruption, defect, error, or other failure of the Online Service, the safety of people, property, and the environment are not reduced below a level that is reasonable, appropriate, and legal, whether in general or for a specific industry. Customer's High-Risk Use of the Online Services is at its own risk. Customer agrees to defend, indemnify and hold Microsoft harmless from and against all damages, costs and attorneys' fees in connection with any claims arising from a High-Risk Use associated with the Online Services, including any claims based in strict liability or that Microsoft was negligent in designing or providing the Online Service(s) to Customer. The foregoing indemnification obligation is in addition to any defense obligation set forth in Customer's licensing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Medical Device Disclaimer</w:t>
      </w:r>
    </w:p>
    <w:p>
      <w:pPr>
        <w:pStyle w:val="NormalWeb"/>
        <w:spacing w:after="150"/>
      </w:pPr>
      <w:r>
        <w:t>Customer acknowledges that the Online Services (1) are not designed, intended or made available as a medical device(s), and (2) are not designed or intended to be a substitute for professional medical advice, diagnosis, treatment, or judgment and should not be used to replace or as a substitute for professional medical advice, diagnosis, treatment, or judgment. Customer is solely responsible for displaying and/or obtaining appropriate consents, warnings, disclaimers, and acknowledgements to end users of Customer's implementation of the Online Services.</w:t>
      </w:r>
    </w:p>
    <w:p>
      <w:pPr>
        <w:pStyle w:val="Heading3"/>
        <w:spacing w:before="150" w:beforeAutospacing="0"/>
        <w:rPr>
          <w:rFonts w:eastAsia="Times New Roman"/>
          <w:color w:val="0078D4"/>
          <w:sz w:val="26"/>
          <w:szCs w:val="26"/>
        </w:rPr>
      </w:pPr>
      <w:r>
        <w:rPr>
          <w:rFonts w:eastAsia="Times New Roman"/>
          <w:color w:val="0078D4"/>
          <w:sz w:val="26"/>
          <w:szCs w:val="26"/>
        </w:rPr>
        <w:t>Data Protection and Security</w:t>
      </w:r>
    </w:p>
    <w:p>
      <w:pPr>
        <w:pStyle w:val="NormalWeb"/>
        <w:spacing w:after="150"/>
      </w:pPr>
      <w:r>
        <w:t xml:space="preserve">The terms of the </w:t>
      </w:r>
      <w:hyperlink w:anchor="_Toc20" w:tooltip="Data Protection Addendum (DPA) means the Microsoft Products and Services Data Protection Addendum published at https://aka.ms/DPA." w:history="1">
        <w:r>
          <w:rPr>
            <w:rStyle w:val="Hyperlink"/>
            <w:color w:val="505050"/>
          </w:rPr>
          <w:t>DPA</w:t>
        </w:r>
      </w:hyperlink>
      <w:r>
        <w:t xml:space="preserve"> (</w:t>
      </w:r>
      <w:hyperlink r:id="rId55" w:tgtFrame="_blank" w:history="1">
        <w:r>
          <w:rPr>
            <w:rStyle w:val="Hyperlink"/>
            <w:color w:val="505050"/>
          </w:rPr>
          <w:t>http://aka.ms/DPA</w:t>
        </w:r>
      </w:hyperlink>
      <w:r>
        <w:t xml:space="preserve">) apply to Online Services except for those Online Services specifically identified in the </w:t>
      </w:r>
      <w:hyperlink r:id="rId56" w:tgtFrame="_blank" w:history="1">
        <w:r>
          <w:rPr>
            <w:rStyle w:val="Hyperlink"/>
            <w:color w:val="505050"/>
          </w:rPr>
          <w:t>Privacy &amp; Security Terms</w:t>
        </w:r>
      </w:hyperlink>
      <w:r>
        <w:t xml:space="preserve"> as excluded from or as exceptions to the DPA. For Core Online Services and EU Data Boundary Services, details on security practices and location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at rest are also set forth in the </w:t>
      </w:r>
      <w:hyperlink r:id="rId56" w:tgtFrame="_blank" w:history="1">
        <w:r>
          <w:rPr>
            <w:rStyle w:val="Hyperlink"/>
            <w:color w:val="505050"/>
          </w:rPr>
          <w:t>Privacy &amp; Security 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Software with the Online Service</w:t>
      </w:r>
    </w:p>
    <w:p>
      <w:pPr>
        <w:pStyle w:val="NormalWeb"/>
        <w:spacing w:after="150"/>
      </w:pPr>
      <w:r>
        <w:t>Customer may need to install certain Microsoft software to use the Online Service. If so, the following terms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Software License Terms</w:t>
      </w:r>
    </w:p>
    <w:p>
      <w:pPr>
        <w:pStyle w:val="NormalWeb"/>
        <w:spacing w:after="150"/>
      </w:pPr>
      <w:r>
        <w:t>Customer may install and use the software only for use with the Online Service. The Online Service-specific Terms may limit the number of copies of the software Customer may use or the number of devices on which Customer may use it. Customer's right to use the software begins when the Online Service is activated and ends when Customer's right to use the Online Service ends. Customer must uninstall the software when Customer's right to use it ends. Microsoft may disable it at that time.</w:t>
      </w:r>
    </w:p>
    <w:p>
      <w:pPr>
        <w:pStyle w:val="NormalWeb"/>
        <w:spacing w:before="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Validation, Automatic Updates, and Collection for Software</w:t>
      </w:r>
    </w:p>
    <w:p>
      <w:pPr>
        <w:pStyle w:val="NormalWeb"/>
        <w:spacing w:after="150"/>
      </w:pPr>
      <w:r>
        <w:t xml:space="preserve">Microsoft may automatically check the version of any of its software. Devices on which the software is installed may periodically provide information to enable Microsoft to verify that the software is properly licensed. This information includes the software version, the end user's user account, product ID information, a machine ID, and the internet protocol address of the device. If the software is not properly licensed, its functionality will be affected. Customer may only obtain updates or upgrades for the software from Microsoft or authorized sources. By using the software, Customer consents to the transmission of the information described in this section. Microsoft may recommend or download to Customer's devices updates, supplements, or extensions to this software, with or without notice. Some Online Services may require, or may be enhanced by, the installation of local software (e.g., agents, device management applications) ("Apps"). The Apps may collect diagnostic data (as defined in the Product Documentation) about the use and performance of the Apps, which may be transmitted to Microsoft, to the extent any </w:t>
      </w:r>
      <w:hyperlink w:anchor="_Toc20" w:tooltip="Personal Data means any information relating to an identified or identifiable natural person." w:history="1">
        <w:r>
          <w:rPr>
            <w:rStyle w:val="Hyperlink"/>
            <w:color w:val="505050"/>
          </w:rPr>
          <w:t>Personal Data</w:t>
        </w:r>
      </w:hyperlink>
      <w:r>
        <w:t xml:space="preserve"> is contained therein, and used for the purposes described in the </w:t>
      </w:r>
      <w:hyperlink r:id="rId58" w:tgtFrame="_blank" w:history="1">
        <w:r>
          <w:rPr>
            <w:rStyle w:val="Hyperlink"/>
            <w:color w:val="505050"/>
          </w:rPr>
          <w:t>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Third-party Software Components</w:t>
      </w:r>
    </w:p>
    <w:p>
      <w:pPr>
        <w:pStyle w:val="NormalWeb"/>
        <w:spacing w:after="150"/>
      </w:pPr>
      <w:r>
        <w:t>The software may contain third party software components. Unless otherwise disclosed in that software, Microsoft, not the third party, licenses these components to Customer under Microsoft's license terms and notices.</w:t>
      </w:r>
    </w:p>
    <w:p>
      <w:pPr>
        <w:pStyle w:val="Heading3"/>
        <w:spacing w:before="150" w:beforeAutospacing="0"/>
        <w:rPr>
          <w:rFonts w:eastAsia="Times New Roman"/>
          <w:color w:val="0078D4"/>
          <w:sz w:val="26"/>
          <w:szCs w:val="26"/>
        </w:rPr>
      </w:pPr>
      <w:r>
        <w:rPr>
          <w:rFonts w:eastAsia="Times New Roman"/>
          <w:color w:val="0078D4"/>
          <w:sz w:val="26"/>
          <w:szCs w:val="26"/>
        </w:rPr>
        <w:t>Technical Limitations</w:t>
      </w:r>
    </w:p>
    <w:p>
      <w:pPr>
        <w:pStyle w:val="NormalWeb"/>
        <w:spacing w:after="150"/>
      </w:pPr>
      <w:r>
        <w:t>Customer must comply with, and may not work around, any technical limitations in an Online Service that only allow Customer to use it in certain ways. Customer may not download or otherwise remove copies of software or source code from an Online Service except as explicitly authorized.</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When Bing is optionally available through an Online Service,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61" w:tgtFrame="_blank" w:history="1">
        <w:r>
          <w:rPr>
            <w:rStyle w:val="Hyperlink"/>
            <w:color w:val="505050"/>
          </w:rPr>
          <w:t>https://www.bingmapsportal.com/terms/EndUserTerms</w:t>
        </w:r>
      </w:hyperlink>
      <w:r>
        <w:t>), except that noncommercial use limitations in those terms do not apply to Products available for a fee through Microsoft volume license. The Data Protection Addendum does not apply to use of Bing functionality as a connected service with any Online Service, or component of Online Service.</w:t>
      </w:r>
    </w:p>
    <w:p>
      <w:pPr>
        <w:pStyle w:val="Heading3"/>
        <w:spacing w:before="150" w:beforeAutospacing="0"/>
        <w:rPr>
          <w:rFonts w:eastAsia="Times New Roman"/>
          <w:color w:val="0078D4"/>
          <w:sz w:val="26"/>
          <w:szCs w:val="26"/>
        </w:rPr>
      </w:pPr>
      <w:r>
        <w:rPr>
          <w:rFonts w:eastAsia="Times New Roman"/>
          <w:color w:val="0078D4"/>
          <w:sz w:val="26"/>
          <w:szCs w:val="26"/>
        </w:rPr>
        <w:t>Import/Export Services</w:t>
      </w:r>
    </w:p>
    <w:p>
      <w:pPr>
        <w:pStyle w:val="NormalWeb"/>
        <w:spacing w:after="150"/>
      </w:pPr>
      <w:r>
        <w:t>Customer’s use of any Import/Export Service is conditioned upon its compliance with all instructions provided by Microsoft regarding the preparation, treatment and shipment of physical media containing its data (“storage media”). Customer is solely responsible for ensuring the storage media and data are provided in compliance with all laws and regulations. Microsoft has no duty with respect to the storage media and no liability for lost, damaged or destroyed storage media. All storage media shipped to Microsoft must be shipped DAP Microsoft DCS Data Center (INCOTERMS 2010). Storage media shipped to Customer will be shipped DAP Customer Dock (INCOTERMS 2010).</w:t>
      </w:r>
    </w:p>
    <w:p>
      <w:pPr>
        <w:pStyle w:val="Heading3"/>
        <w:spacing w:before="150" w:beforeAutospacing="0"/>
        <w:rPr>
          <w:rFonts w:eastAsia="Times New Roman"/>
          <w:color w:val="0078D4"/>
          <w:sz w:val="26"/>
          <w:szCs w:val="26"/>
        </w:rPr>
      </w:pPr>
      <w:r>
        <w:rPr>
          <w:rFonts w:eastAsia="Times New Roman"/>
          <w:color w:val="0078D4"/>
          <w:sz w:val="26"/>
          <w:szCs w:val="26"/>
        </w:rPr>
        <w:t>Font Components</w:t>
      </w:r>
    </w:p>
    <w:p>
      <w:pPr>
        <w:pStyle w:val="NormalWeb"/>
        <w:spacing w:after="150"/>
      </w:pPr>
      <w:r>
        <w:t>While Customer uses an Online Service, Customer may use the fonts installed by that Online Service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Changes to and Availability of the Online Services</w:t>
      </w:r>
    </w:p>
    <w:p>
      <w:pPr>
        <w:pStyle w:val="NormalWeb"/>
        <w:spacing w:after="150"/>
      </w:pPr>
      <w:r>
        <w:t>Microsoft may make commercially reasonable changes to each Online Service from time to time. Microsoft may modify or terminate an Online Service in any country where Microsoft is subject to a government regulation, obligation or other requirement that (1) is not generally applicable to businesses operating there, (2) presents a hardship for Microsoft to continue operating the Online Service without modification, and/or (3) causes Microsoft to believe these terms or the Online Service may conflict with any such requirement or obligation. If Microsoft terminates an Online Service for regulatory reasons, Customers will receive a credit for any amount paid in advance for the period after termination. </w:t>
      </w:r>
    </w:p>
    <w:p>
      <w:pPr>
        <w:pStyle w:val="NormalWeb"/>
        <w:spacing w:before="150"/>
      </w:pPr>
      <w:r>
        <w:t xml:space="preserve">Availability, functionality, and language versions for each Online Service may vary by country. For information on availability, Customer may refer to </w:t>
      </w:r>
      <w:hyperlink r:id="rId62" w:tgtFrame="_blank" w:history="1">
        <w:r>
          <w:rPr>
            <w:rStyle w:val="Hyperlink"/>
            <w:color w:val="505050"/>
          </w:rPr>
          <w:t>https://go.microsoft.com/fwlink/?linkid=870295</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availability </w:t>
      </w:r>
    </w:p>
    <w:p>
      <w:pPr>
        <w:pStyle w:val="NormalWeb"/>
        <w:spacing w:after="150"/>
      </w:pPr>
      <w:hyperlink w:anchor="_Toc20"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may be available for purchase as Azure meters, which allow customers to pay as you go for certain Online Services as outlined in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NormalWeb"/>
        <w:spacing w:before="150"/>
      </w:pPr>
      <w:r>
        <w:t>These Microsoft services are not Azure products and thus the Azure terms do not apply. The product specific licensing terms for these services apply, in addition to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Microsoft Generative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Capacity Limitations</w:t>
      </w:r>
    </w:p>
    <w:p>
      <w:pPr>
        <w:pStyle w:val="NormalWeb"/>
        <w:spacing w:after="150"/>
      </w:pPr>
      <w:r>
        <w:t xml:space="preserve">Excessive use of a </w:t>
      </w:r>
      <w:hyperlink w:anchor="_Toc2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may result in temporary throttling of Customer's access to the </w:t>
      </w:r>
      <w:hyperlink w:anchor="_Toc2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Reverse Engineering</w:t>
      </w:r>
    </w:p>
    <w:p>
      <w:pPr>
        <w:pStyle w:val="NormalWeb"/>
        <w:spacing w:after="150"/>
      </w:pPr>
      <w:r>
        <w:t xml:space="preserve">Customer may not use a </w:t>
      </w:r>
      <w:hyperlink w:anchor="_Toc2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to discover any underlying components of the models, algorithms, and systems, such as exfiltrating the weights of models.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Extracting Data</w:t>
      </w:r>
    </w:p>
    <w:p>
      <w:pPr>
        <w:pStyle w:val="NormalWeb"/>
        <w:spacing w:after="150"/>
      </w:pPr>
      <w:r>
        <w:t xml:space="preserve">Customer may not use web scraping, web harvesting, or other data extraction methods to extract data from a </w:t>
      </w:r>
      <w:hyperlink w:anchor="_Toc2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Content for Training</w:t>
      </w:r>
    </w:p>
    <w:p>
      <w:pPr>
        <w:numPr>
          <w:ilvl w:val="0"/>
          <w:numId w:val="2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Microsoft</w:t>
      </w:r>
      <w:r>
        <w:rPr>
          <w:rFonts w:ascii="Segoe UI" w:eastAsia="Times New Roman" w:hAnsi="Segoe UI" w:cs="Segoe UI"/>
          <w:color w:val="505050"/>
          <w:sz w:val="18"/>
          <w:szCs w:val="18"/>
        </w:rPr>
        <w:t xml:space="preserve">. </w:t>
      </w:r>
      <w:hyperlink w:anchor="_Toc20"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Services</w:t>
        </w:r>
      </w:hyperlink>
      <w:r>
        <w:rPr>
          <w:rFonts w:ascii="Segoe UI" w:eastAsia="Times New Roman" w:hAnsi="Segoe UI" w:cs="Segoe UI"/>
          <w:color w:val="505050"/>
          <w:sz w:val="18"/>
          <w:szCs w:val="18"/>
        </w:rPr>
        <w:t xml:space="preserve"> will not use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to train any generative AI foundation model, except pursuant to Customer's documented instructions.</w:t>
      </w:r>
    </w:p>
    <w:p>
      <w:pPr>
        <w:numPr>
          <w:ilvl w:val="0"/>
          <w:numId w:val="2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Customer</w:t>
      </w:r>
      <w:r>
        <w:rPr>
          <w:rFonts w:ascii="Segoe UI" w:eastAsia="Times New Roman" w:hAnsi="Segoe UI" w:cs="Segoe UI"/>
          <w:color w:val="505050"/>
          <w:sz w:val="18"/>
          <w:szCs w:val="18"/>
        </w:rPr>
        <w:t xml:space="preserve">. Customer will not use and will not direct or enable third parties to use, a </w:t>
      </w:r>
      <w:hyperlink w:anchor="_Toc20"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the express purpose of creating synthetic training data to develop or train AI models or systems that have substantially similar functionality to a Microsoft AI service, except as expressly permitted in the service-specific terms for Azure Direct Models in Microsoft Foundry. The restrictions in this section do not prevent the use of a </w:t>
      </w:r>
      <w:hyperlink w:anchor="_Toc20"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use as an input to dynamic AI models or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Output Content</w:t>
      </w:r>
    </w:p>
    <w:p>
      <w:pPr>
        <w:pStyle w:val="NormalWeb"/>
        <w:spacing w:after="150"/>
      </w:pPr>
      <w:hyperlink w:anchor="_Toc20" w:tooltip="Output Content means any data, text, sound, video, image, code, or other content generated by a Microsoft Generative AI Service in response to Input." w:history="1">
        <w:r>
          <w:rPr>
            <w:rStyle w:val="Hyperlink"/>
            <w:color w:val="505050"/>
          </w:rPr>
          <w:t>Output Content</w:t>
        </w:r>
      </w:hyperlink>
      <w:r>
        <w:t xml:space="preserve"> is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Microsoft does not own Customer's </w:t>
      </w:r>
      <w:hyperlink w:anchor="_Toc20"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Copyright Commitment</w:t>
      </w:r>
    </w:p>
    <w:p>
      <w:pPr>
        <w:pStyle w:val="NormalWeb"/>
        <w:spacing w:after="150"/>
      </w:pPr>
      <w:r>
        <w:t xml:space="preserve">Microsoft's obligation to defend Customer against third-party intellectual property claims under Customer's volume licensing agreement will apply, and Customer's obligations to defend Microsoft against third-party intellectual property claims under Customer's volume licensing agreement will not apply, to the extent that such claims are based on Customer's use or distribution of </w:t>
      </w:r>
      <w:hyperlink w:anchor="_Toc20" w:tooltip="Output Content means any data, text, sound, video, image, code, or other content generated by a Microsoft Generative AI Service in response to Input." w:history="1">
        <w:r>
          <w:rPr>
            <w:rStyle w:val="Hyperlink"/>
            <w:color w:val="505050"/>
          </w:rPr>
          <w:t>Output Content</w:t>
        </w:r>
      </w:hyperlink>
      <w:r>
        <w:t xml:space="preserve"> of a </w:t>
      </w:r>
      <w:hyperlink w:anchor="_Toc2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if all the following additional conditions are met: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While using the </w:t>
      </w:r>
      <w:hyperlink w:anchor="_Toc2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to produce the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 Customer must not have disabled, evaded, disrupted, or interfered with the content filters, restrictions in </w:t>
      </w:r>
      <w:hyperlink w:anchor="_Toc20"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that are part of the </w:t>
      </w:r>
      <w:hyperlink w:anchor="_Toc2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does not modify, use, or distribute the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in a manner that it knows, or should know, is likely to infringe or misappropriate any proprietary right of a third party.</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has sufficient rights to use the </w:t>
      </w:r>
      <w:hyperlink w:anchor="_Toc20"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in connection with the </w:t>
      </w:r>
      <w:hyperlink w:anchor="_Toc2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including, without limitation, any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that Customer used to </w:t>
      </w:r>
      <w:hyperlink w:anchor="_Toc20" w:tooltip="Customize means to expose a model to Customer Data and instruct the model to use that Customer Data so that the model produces tailored Output Content that is more relevant to a specific customer. See Glossary for full definition." w:history="1">
        <w:r>
          <w:rPr>
            <w:rStyle w:val="Hyperlink"/>
            <w:rFonts w:ascii="Segoe UI" w:eastAsia="Times New Roman" w:hAnsi="Segoe UI" w:cs="Segoe UI"/>
            <w:color w:val="505050"/>
            <w:sz w:val="18"/>
            <w:szCs w:val="18"/>
          </w:rPr>
          <w:t>Customize</w:t>
        </w:r>
      </w:hyperlink>
      <w:r>
        <w:rPr>
          <w:rFonts w:ascii="Segoe UI" w:eastAsia="Times New Roman" w:hAnsi="Segoe UI" w:cs="Segoe UI"/>
          <w:color w:val="505050"/>
          <w:sz w:val="18"/>
          <w:szCs w:val="18"/>
        </w:rPr>
        <w:t xml:space="preserve"> the model that produced the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claim does not allege that the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as used in commerce or the course of trade, violates a third party's trademark or related rights.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Azure OpenAI in Microsoft Foundry Models and any other </w:t>
      </w:r>
      <w:hyperlink w:anchor="_Toc2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with configurable </w:t>
      </w:r>
      <w:hyperlink w:anchor="_Toc20"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Customer also must have implemented all mitigations required by the Azure OpenAI documentation (published at </w:t>
      </w:r>
      <w:hyperlink r:id="rId64" w:tgtFrame="_blank" w:history="1">
        <w:r>
          <w:rPr>
            <w:rStyle w:val="Hyperlink"/>
            <w:rFonts w:ascii="Segoe UI" w:eastAsia="Times New Roman" w:hAnsi="Segoe UI" w:cs="Segoe UI"/>
            <w:color w:val="505050"/>
            <w:sz w:val="18"/>
            <w:szCs w:val="18"/>
          </w:rPr>
          <w:t>https://learn.microsoft.com/legal/cognitive-services/openai/customer-copyright-commitment</w:t>
        </w:r>
      </w:hyperlink>
      <w:r>
        <w:rPr>
          <w:rFonts w:ascii="Segoe UI" w:eastAsia="Times New Roman" w:hAnsi="Segoe UI" w:cs="Segoe UI"/>
          <w:color w:val="505050"/>
          <w:sz w:val="18"/>
          <w:szCs w:val="18"/>
        </w:rPr>
        <w:t xml:space="preserve">) in the offering that delivered the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pStyle w:val="Heading3"/>
        <w:spacing w:before="150" w:beforeAutospacing="0"/>
        <w:rPr>
          <w:rFonts w:eastAsia="Times New Roman"/>
          <w:color w:val="0078D4"/>
          <w:sz w:val="26"/>
          <w:szCs w:val="26"/>
        </w:rPr>
      </w:pPr>
      <w:r>
        <w:rPr>
          <w:rFonts w:eastAsia="Times New Roman"/>
          <w:color w:val="0078D4"/>
          <w:sz w:val="26"/>
          <w:szCs w:val="26"/>
        </w:rPr>
        <w:t>Dataverse  </w:t>
      </w:r>
    </w:p>
    <w:p>
      <w:pPr>
        <w:pStyle w:val="NormalWeb"/>
        <w:spacing w:after="150"/>
      </w:pPr>
      <w:r>
        <w:t>Dataverse structures a variety of data and business logic to support interconnected applications and processes. Dataverse Instances provided with Microsoft 365 licenses includes various features and integrates data that may or may not be available for the product or service Customer is licensed with. Access to Dataverse, through an individual product or service, does not grant access to unrelated products, services, features, or data that users are not licensed for. Users only have rights to access data, services, and features within Dataverse for which they are properly licensed for.</w:t>
      </w:r>
    </w:p>
    <w:p>
      <w:pPr>
        <w:pStyle w:val="Heading3"/>
        <w:spacing w:before="150" w:beforeAutospacing="0"/>
        <w:rPr>
          <w:rFonts w:eastAsia="Times New Roman"/>
          <w:color w:val="0078D4"/>
          <w:sz w:val="26"/>
          <w:szCs w:val="26"/>
        </w:rPr>
      </w:pPr>
      <w:r>
        <w:rPr>
          <w:rFonts w:eastAsia="Times New Roman"/>
          <w:color w:val="0078D4"/>
          <w:sz w:val="26"/>
          <w:szCs w:val="26"/>
        </w:rPr>
        <w:t>Online Services with Distributable Code</w:t>
      </w:r>
    </w:p>
    <w:p>
      <w:pPr>
        <w:pStyle w:val="NormalWeb"/>
        <w:spacing w:after="150"/>
      </w:pPr>
      <w:r>
        <w:t>Certain Online Services may contain Software components. The Distributable Code terms below apply to Online Services that contain Software components. </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Other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Microsoft may make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available to Customer through Customer's use of the </w:t>
      </w:r>
      <w:hyperlink w:anchor="_Toc20"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(such as through a store or gallery, or as search results) or a Microsoft online store (such as the Microsoft Store for Business or Microsoft Store for Education). If Customer installs or uses any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with an </w:t>
      </w:r>
      <w:hyperlink w:anchor="_Toc2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Customer may not do so in any way that would subject Microsoft's intellectual property or technology to obligations beyond those expressly included in Customer's licensing agreement. For Customer's convenience, Microsoft may include charges for certain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as part of Customer's bill for </w:t>
      </w:r>
      <w:hyperlink w:anchor="_Toc20"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Microsoft, however, assumes no responsibility or liability whatsoever for any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Customer is solely responsible for any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that it installs or uses with an </w:t>
      </w:r>
      <w:hyperlink w:anchor="_Toc2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or acquires or manages through a Microsoft online store. Customer's use of any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shall be governed by the license, service, and/or privacy terms between Customer and the publisher of the </w:t>
      </w:r>
      <w:hyperlink w:anchor="_Toc20"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(if any).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Previews</w:t>
      </w:r>
    </w:p>
    <w:p>
      <w:pPr>
        <w:pStyle w:val="NormalWeb"/>
        <w:spacing w:after="150"/>
      </w:pPr>
      <w:hyperlink w:anchor="_Toc20"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PROVIDED "AS-IS," "WITH ALL FAULTS," AND "AS AVAILABLE," as described herein. Unless otherwise noted in a separate agreement, </w:t>
      </w:r>
      <w:hyperlink w:anchor="_Toc20"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not included in the SLA for the corresponding </w:t>
      </w:r>
      <w:hyperlink w:anchor="_Toc20"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and may not be covered by customer support. We may change or discontinue </w:t>
      </w:r>
      <w:hyperlink w:anchor="_Toc20"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at any time without notice. We may also choose not to make a Preview service generally commercially available. Certain </w:t>
      </w:r>
      <w:hyperlink w:anchor="_Toc20"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subject to supplemental preview terms published by Microsoft.</w:t>
      </w:r>
    </w:p>
    <w:p>
      <w:pPr>
        <w:pStyle w:val="NormalWeb"/>
        <w:spacing w:before="150"/>
      </w:pPr>
      <w:r>
        <w:t>Providing "Feedback" (suggestions, comments, feedback, ideas, or know-how, in any form) to Microsoft about Preview services is voluntary.  Microsoft is under no obligation to post or use any Feedback. By providing Feedback to Microsoft, Customer (and anyone providing Feedback through Customer) irrevocably and perpetually grant to Microsoft and its Affiliates, under all of its (and their) owned or controlled intellectual property rights, a worldwide, non-exclusive, fully paid-up, royalty-free, transferable, sub-licensable right and license to make, use, reproduce, prepare derivative works based upon, distribute, publicly perform, publicly display, transmit, and otherwise commercialize the Feedback (including by combining or interfacing products, services or technologies that depend on or incorporate Feedback with other products, services or technologies of Microsoft or others),  without attribution  in any way and for any purpose.</w:t>
      </w:r>
    </w:p>
    <w:p>
      <w:pPr>
        <w:pStyle w:val="NormalWeb"/>
        <w:spacing w:before="150"/>
      </w:pPr>
      <w:r>
        <w:t>Customer warrants that 1) it will not provide Feedback that is subject to a license requiring Microsoft to license anything to third parties because Microsoft exercises any of the above rights in Customer's Feedback; and 2) it owns or otherwise controls all of the rights to such Feedback and that no such Feedback is subject to any third-party rights (including any personality or publicity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Free</w:t>
      </w:r>
    </w:p>
    <w:p>
      <w:pPr>
        <w:pStyle w:val="NormalWeb"/>
        <w:spacing w:after="150"/>
      </w:pPr>
      <w:r>
        <w:t xml:space="preserve">As described in </w:t>
      </w:r>
      <w:hyperlink r:id="rId65" w:tgtFrame="_blank" w:history="1">
        <w:r>
          <w:rPr>
            <w:rStyle w:val="Hyperlink"/>
            <w:color w:val="505050"/>
          </w:rPr>
          <w:t>https://docs.microsoft.com/en-us/azure/active-directory/fundamentals/active-directory-whatis</w:t>
        </w:r>
      </w:hyperlink>
      <w:r>
        <w:t>, most Online Services include an instance of Microsoft Entra ID, a cloud-based user authentication capability ("Microsoft Entra ID Free"). After Customer configures and uses the first such Online Service, that instance of Microsoft Entra ID Free, as configured by Customer for its users, may power the user authentication features for each later-acquired subscription of an Online Service. </w:t>
      </w:r>
    </w:p>
    <w:p>
      <w:pPr>
        <w:pStyle w:val="NormalWeb"/>
        <w:spacing w:before="150"/>
      </w:pPr>
      <w:r>
        <w:t>Customer's instance of Microsoft Entra ID Free will also enable authenticated users to interact with Microsoft or a third party in contexts outside of the Online Services ("Other Microsoft Entra ID-dependent Services"), specifically where Microsoft or that third party requires an A Microsoft Entra ID user account. With respect to the operation of Microsoft Entra ID Free for Other Microsoft Entra ID-dependent Services, Microsoft remains a data processor, and this use of Microsoft Entra ID Free constitutes Customer's authoritative instruction to Microsoft that such use is permitted. With respect to the operation of the Other Microsoft Entra ID-dependent Service, refer to its applicable agreement and privacy policy to determine the role of the provider of the Other Microsoft Entra ID-dependent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Competitive Benchmarking</w:t>
      </w:r>
    </w:p>
    <w:p>
      <w:pPr>
        <w:pStyle w:val="NormalWeb"/>
        <w:spacing w:after="150"/>
      </w:pPr>
      <w:r>
        <w:t>If Customer offers a product or service competitive to an Online Service, by using the Online Service, Customer waives any restrictions on competitive use and benchmark testing in the terms governing its competitive products and services. If Customer offers a product or service competitive to an Online Service and discloses, directly or through third parties, any benchmarks or comparative tests or evaluations (each, a "Benchmark") of any Online Service, Customer will, upon request from Microsoft, provide: (a) all information necessary to replicate such Benchmark; and (b) access to Customer's competitive products and services for Microsoft, directly or through third parties, to perform and disclose Benchmarks. If Customer does not intend to waive such restrictions in its terms of use and agree to these terms, Customer is not allowed to use the Online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If Customer is a government entity, then the following terms apply to any Online Service provided to Customer at no charge (including free trials or Previews):</w:t>
      </w:r>
    </w:p>
    <w:p>
      <w:pPr>
        <w:numPr>
          <w:ilvl w:val="0"/>
          <w:numId w:val="2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waives any and all entitlement to compensation from Customer for the Online Service.</w:t>
      </w:r>
    </w:p>
    <w:p>
      <w:pPr>
        <w:numPr>
          <w:ilvl w:val="0"/>
          <w:numId w:val="2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compliance with applicable laws and regulations, Microsoft and Customer acknowledge that the Online Services are for the sole benefit and use of Customer and not provided for the personal use or benefit of any individual government employee.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Waiver of end-user consumer protection provisions</w:t>
      </w:r>
    </w:p>
    <w:p>
      <w:pPr>
        <w:pStyle w:val="NormalWeb"/>
        <w:spacing w:after="150"/>
      </w:pPr>
      <w:r>
        <w:t>Customer agrees to waive any and all entitlements that would otherwise be applicable under the European Electronic Communications Code (Directive 2018/1972) Article 102 paragraphs 1, 3, and 5; Article 105 paragraph 1; and Article 107 paragraphs 1 and 3.</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Security Products Data Handling</w:t>
      </w:r>
    </w:p>
    <w:p>
      <w:pPr>
        <w:pStyle w:val="NormalWeb"/>
        <w:spacing w:after="150"/>
      </w:pPr>
      <w:r>
        <w:t xml:space="preserve">Products purchased by Customer may share data, including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among the Products as described in product documentation. Data copied to a Product is governed by the Product Terms applicable to that Product. </w:t>
      </w:r>
    </w:p>
    <w:p>
      <w:pPr>
        <w:pStyle w:val="Heading3"/>
        <w:spacing w:before="150" w:beforeAutospacing="0"/>
        <w:rPr>
          <w:rFonts w:eastAsia="Times New Roman"/>
          <w:color w:val="0078D4"/>
          <w:sz w:val="26"/>
          <w:szCs w:val="26"/>
        </w:rPr>
      </w:pPr>
      <w:r>
        <w:rPr>
          <w:rFonts w:eastAsia="Times New Roman"/>
          <w:color w:val="0078D4"/>
          <w:sz w:val="26"/>
          <w:szCs w:val="26"/>
        </w:rPr>
        <w:t>Online Services Regional Availability</w:t>
      </w:r>
    </w:p>
    <w:p>
      <w:pPr>
        <w:pStyle w:val="NormalWeb"/>
        <w:spacing w:after="150"/>
      </w:pPr>
      <w:r>
        <w:t xml:space="preserve">Visit </w:t>
      </w:r>
      <w:hyperlink r:id="rId66" w:tgtFrame="_blank" w:history="1">
        <w:r>
          <w:rPr>
            <w:rStyle w:val="Hyperlink"/>
            <w:color w:val="505050"/>
          </w:rPr>
          <w:t>https://www.microsoft.com/en-us/microsoft-365/business/international-availability</w:t>
        </w:r>
      </w:hyperlink>
      <w:r>
        <w:t xml:space="preserve"> for a list of countries and regions in which the Online Services are available.</w:t>
      </w:r>
    </w:p>
    <w:p>
      <w:pPr>
        <w:pStyle w:val="Heading3"/>
        <w:spacing w:before="150" w:beforeAutospacing="0"/>
        <w:rPr>
          <w:rFonts w:eastAsia="Times New Roman"/>
          <w:color w:val="0078D4"/>
          <w:sz w:val="26"/>
          <w:szCs w:val="26"/>
        </w:rPr>
      </w:pPr>
      <w:r>
        <w:rPr>
          <w:rFonts w:eastAsia="Times New Roman"/>
          <w:color w:val="0078D4"/>
          <w:sz w:val="26"/>
          <w:szCs w:val="26"/>
        </w:rPr>
        <w:t>Online Services Purchasing Rules</w:t>
      </w:r>
    </w:p>
    <w:p>
      <w:pPr>
        <w:pStyle w:val="NormalWeb"/>
        <w:spacing w:after="150"/>
      </w:pPr>
      <w:r>
        <w:t>The following purchasing rules apply to purchasing Online Services:</w:t>
      </w:r>
    </w:p>
    <w:p>
      <w:pPr>
        <w:numPr>
          <w:ilvl w:val="0"/>
          <w:numId w:val="2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Subscription terms vary by purchasing program. Under the Enterprise Agreement program, the subscription terms for Online Services other than Microsoft Azure must be coterminous, ending on the date of Customer's Enrollment end date.</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If Customer makes additional purchases of an Online Service, the end of the subscription term of the additional purchase must align with Customer's existing subscription term for the same Online Service. This provision does not apply to Azure reservations.</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not reduce the number of users or devices covered by its Online Services subscription during the term of their Online Services subscription except as permitted in Customer's licensing agreement.</w:t>
      </w:r>
    </w:p>
    <w:p>
      <w:pPr>
        <w:numPr>
          <w:ilvl w:val="0"/>
          <w:numId w:val="27"/>
        </w:numPr>
        <w:spacing w:before="100" w:beforeAutospacing="1" w:line="240" w:lineRule="auto"/>
        <w:ind w:left="600"/>
        <w:rPr>
          <w:rFonts w:ascii="Segoe UI" w:eastAsia="Times New Roman" w:hAnsi="Segoe UI" w:cs="Segoe UI"/>
          <w:color w:val="505050"/>
          <w:sz w:val="18"/>
          <w:szCs w:val="18"/>
        </w:rPr>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as specified in the Cloud Add-ons to SA section of each respective product section, and </w:t>
      </w:r>
      <w:hyperlink w:anchor="_Toc20"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must be purchased under the same licensing agreement as their Qualifying License or base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20" w:tooltip="Step-up means a license purchased in addition to (and associated with) a previously acquired base license." w:history="1">
        <w:r>
          <w:rPr>
            <w:rStyle w:val="Hyperlink"/>
            <w:rFonts w:ascii="Segoe UI" w:eastAsia="Times New Roman" w:hAnsi="Segoe UI" w:cs="Segoe UI"/>
            <w:color w:val="505050"/>
            <w:sz w:val="18"/>
            <w:szCs w:val="18"/>
          </w:rPr>
          <w:t>Step-ups</w:t>
        </w:r>
      </w:hyperlink>
      <w:r>
        <w:rPr>
          <w:rFonts w:ascii="Segoe UI" w:eastAsia="Times New Roman" w:hAnsi="Segoe UI" w:cs="Segoe UI"/>
          <w:color w:val="505050"/>
          <w:sz w:val="18"/>
          <w:szCs w:val="18"/>
        </w:rPr>
        <w:t xml:space="preserve"> expire upon the earlier of the expiration of the </w:t>
      </w:r>
      <w:hyperlink w:anchor="_Toc20"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or base User SL.</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are priced monthly.</w:t>
      </w:r>
    </w:p>
    <w:p>
      <w:pPr>
        <w:pStyle w:val="Heading3"/>
        <w:spacing w:before="150" w:beforeAutospacing="0"/>
        <w:rPr>
          <w:rFonts w:eastAsia="Times New Roman"/>
          <w:color w:val="0078D4"/>
          <w:sz w:val="26"/>
          <w:szCs w:val="26"/>
        </w:rPr>
      </w:pPr>
      <w:r>
        <w:rPr>
          <w:rFonts w:eastAsia="Times New Roman"/>
          <w:color w:val="0078D4"/>
          <w:sz w:val="26"/>
          <w:szCs w:val="26"/>
        </w:rPr>
        <w:t>Online Services Renewal</w:t>
      </w:r>
    </w:p>
    <w:p>
      <w:pPr>
        <w:pStyle w:val="NormalWeb"/>
        <w:spacing w:after="150"/>
      </w:pPr>
      <w:hyperlink w:anchor="_Toc2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with auto-renewal will automatically renew the day after their subscription term expires. Customers may turn off auto-renewal any time before their subscription term expires in the Microsoft 365 admin center (</w:t>
      </w:r>
      <w:hyperlink r:id="rId67" w:tgtFrame="_blank" w:history="1">
        <w:r>
          <w:rPr>
            <w:rStyle w:val="Hyperlink"/>
            <w:color w:val="505050"/>
          </w:rPr>
          <w:t>https://learn.microsoft.com/microsoft-365/commerce/subscriptions/renew-your-subscription</w:t>
        </w:r>
      </w:hyperlink>
      <w:r>
        <w:t xml:space="preserve">). </w:t>
      </w:r>
      <w:hyperlink w:anchor="_Toc2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subscriptions for government and academic customers will not be automatically renewed unless Customer chooses the auto-renewal option.</w:t>
      </w:r>
    </w:p>
    <w:p>
      <w:pPr>
        <w:pStyle w:val="NormalWeb"/>
        <w:spacing w:before="150"/>
      </w:pPr>
      <w:r>
        <w:t xml:space="preserve">For </w:t>
      </w:r>
      <w:hyperlink w:anchor="_Toc2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not renewed at the end of their subscription term, access to the applicable </w:t>
      </w:r>
      <w:hyperlink w:anchor="_Toc20"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will continue following expiration for 30 days and may continue thereafter for successive one-month periods until cancelled ("Extended Term"). Microsoft reserves the right to invoice Customer for the Extended Term at the then-current published price for a monthly subscription plus a three (3) percent uplift for certain Products. If it does, Microsoft will provide Customer with an opportunity to opt out of the Extended Term prior to the Subscription expiration date and request instead that the applicable Subscription either be renewed automatically or disabled immediately upon expiration. Customer will have 90 days to extract </w:t>
      </w:r>
      <w:hyperlink w:anchor="_Toc20" w:tgtFrame="_blank"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a disabled account, but the Subscription cannot be reactivated. </w:t>
      </w:r>
    </w:p>
    <w:p w:rsidR="00ED5159" w:rsidP="00ED5159">
      <w:pPr>
        <w:pStyle w:val="ProductList-Offering2Heading"/>
        <w:outlineLvl w:val="2"/>
      </w:pPr>
      <w:r>
        <w:t>For all Software</w:t>
      </w:r>
      <w:r>
        <w:fldChar w:fldCharType="begin"/>
      </w:r>
      <w:r>
        <w:instrText xml:space="preserve"> TC </w:instrText>
      </w:r>
      <w:bookmarkStart w:id="10" w:name="_Toc256000005"/>
      <w:r>
        <w:instrText>"</w:instrText>
      </w:r>
      <w:r>
        <w:instrText>For all Software</w:instrText>
      </w:r>
      <w:r>
        <w:instrText>"</w:instrText>
      </w:r>
      <w:bookmarkEnd w:id="1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Universal License Terms</w:t>
      </w:r>
    </w:p>
    <w:p>
      <w:pPr>
        <w:pStyle w:val="NormalWeb"/>
        <w:spacing w:after="150"/>
      </w:pPr>
      <w:r>
        <w:t xml:space="preserve">Universal License Terms apply to all </w:t>
      </w:r>
      <w:hyperlink r:id="rId68" w:history="1">
        <w:r>
          <w:rPr>
            <w:rStyle w:val="Hyperlink"/>
            <w:color w:val="505050"/>
          </w:rPr>
          <w:t>software Products</w:t>
        </w:r>
      </w:hyperlink>
      <w:r>
        <w:t xml:space="preserve"> licensed through Microsoft Volume Licensing (except where specifically noted in the License Model Terms and/or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in the Product Terms but not defined in the </w:t>
      </w:r>
      <w:hyperlink r:id="rId69" w:history="1">
        <w:r>
          <w:rPr>
            <w:rStyle w:val="Hyperlink"/>
            <w:color w:val="505050"/>
          </w:rPr>
          <w:t>Glossary</w:t>
        </w:r>
      </w:hyperlink>
      <w:r>
        <w:t xml:space="preserve"> will have the definition provided in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Customer’s Use Rights</w:t>
      </w:r>
    </w:p>
    <w:p>
      <w:pPr>
        <w:pStyle w:val="NormalWeb"/>
        <w:spacing w:after="150"/>
      </w:pPr>
      <w:r>
        <w:t xml:space="preserve">If Customer complies with its volume licensing agreement, it may use the software as expressly permitted in the Product Terms. Customer needs a </w:t>
      </w:r>
      <w:hyperlink w:anchor="_Toc20" w:tooltip="License means the right to download, install, access and use a Product." w:history="1">
        <w:r>
          <w:rPr>
            <w:rStyle w:val="Hyperlink"/>
            <w:color w:val="505050"/>
          </w:rPr>
          <w:t>License</w:t>
        </w:r>
      </w:hyperlink>
      <w:r>
        <w:t xml:space="preserve"> for each Product and separately licensed functionality used on a device or by a user.</w:t>
      </w:r>
    </w:p>
    <w:p>
      <w:pPr>
        <w:pStyle w:val="Heading3"/>
        <w:spacing w:before="150" w:beforeAutospacing="0"/>
        <w:rPr>
          <w:rFonts w:eastAsia="Times New Roman"/>
          <w:color w:val="0078D4"/>
          <w:sz w:val="26"/>
          <w:szCs w:val="26"/>
        </w:rPr>
      </w:pPr>
      <w:r>
        <w:rPr>
          <w:rFonts w:eastAsia="Times New Roman"/>
          <w:color w:val="0078D4"/>
          <w:sz w:val="26"/>
          <w:szCs w:val="26"/>
        </w:rPr>
        <w:t>Rights to Use Other Versions and Lower Editions</w:t>
      </w:r>
    </w:p>
    <w:p>
      <w:pPr>
        <w:pStyle w:val="NormalWeb"/>
        <w:spacing w:after="150"/>
      </w:pPr>
      <w:r>
        <w:t xml:space="preserve">For any permitted copy or </w:t>
      </w:r>
      <w:hyperlink w:anchor="_Toc20" w:tooltip="Instance means an image of software that is created by executing the software's setup or install procedure or by duplicating an existing Instance." w:history="1">
        <w:r>
          <w:rPr>
            <w:rStyle w:val="Hyperlink"/>
            <w:color w:val="505050"/>
          </w:rPr>
          <w:t>Instance</w:t>
        </w:r>
      </w:hyperlink>
      <w:r>
        <w:t xml:space="preserve">, Customer may create, store, install, run or access in place of the version licensed, a copy or </w:t>
      </w:r>
      <w:hyperlink w:anchor="_Toc20" w:tooltip="Instance means an image of software that is created by executing the software's setup or install procedure or by duplicating an existing Instance." w:history="1">
        <w:r>
          <w:rPr>
            <w:rStyle w:val="Hyperlink"/>
            <w:color w:val="505050"/>
          </w:rPr>
          <w:t>Instance</w:t>
        </w:r>
      </w:hyperlink>
      <w:r>
        <w:t xml:space="preserve"> of a prior version, different permitted language version, different available platform version (for example, 32 bit or 64 bit) or a permitted lower edition. The use rights for the licensed version still apply. </w:t>
      </w:r>
      <w:hyperlink w:anchor="_Toc20" w:tooltip="License means the right to download, install, access and use a Product." w:history="1">
        <w:r>
          <w:rPr>
            <w:rStyle w:val="Hyperlink"/>
            <w:color w:val="505050"/>
          </w:rPr>
          <w:t>Licenses</w:t>
        </w:r>
      </w:hyperlink>
      <w:r>
        <w:t xml:space="preserve"> for prior versions and lower editions do not satisfy the licensing requirements for a Product.</w:t>
      </w:r>
    </w:p>
    <w:p>
      <w:pPr>
        <w:pStyle w:val="Heading3"/>
        <w:spacing w:before="150" w:beforeAutospacing="0"/>
        <w:rPr>
          <w:rFonts w:eastAsia="Times New Roman"/>
          <w:color w:val="0078D4"/>
          <w:sz w:val="26"/>
          <w:szCs w:val="26"/>
        </w:rPr>
      </w:pPr>
      <w:r>
        <w:rPr>
          <w:rFonts w:eastAsia="Times New Roman"/>
          <w:color w:val="0078D4"/>
          <w:sz w:val="26"/>
          <w:szCs w:val="26"/>
        </w:rPr>
        <w:t>Third Party Software</w:t>
      </w:r>
    </w:p>
    <w:p>
      <w:pPr>
        <w:pStyle w:val="NormalWeb"/>
        <w:spacing w:after="150"/>
      </w:pPr>
      <w:r>
        <w:t>The software may contain third party proprietary or open source programs or components that are licensed under separate terms that are presented to Customer during installation or in the "ThirdPartyNotices" file accompanying the software. The software may also contain third party open source programs that Microsoft, not the third party, licenses to Customer under Microsoft’s license terms.</w:t>
      </w:r>
    </w:p>
    <w:p>
      <w:pPr>
        <w:pStyle w:val="Heading3"/>
        <w:spacing w:before="150" w:beforeAutospacing="0"/>
        <w:rPr>
          <w:rFonts w:eastAsia="Times New Roman"/>
          <w:color w:val="0078D4"/>
          <w:sz w:val="26"/>
          <w:szCs w:val="26"/>
        </w:rPr>
      </w:pPr>
      <w:r>
        <w:rPr>
          <w:rFonts w:eastAsia="Times New Roman"/>
          <w:color w:val="0078D4"/>
          <w:sz w:val="26"/>
          <w:szCs w:val="26"/>
        </w:rPr>
        <w:t>Pre-Release Code, Updates or Supplements, Additional Functionality</w:t>
      </w:r>
    </w:p>
    <w:p>
      <w:pPr>
        <w:pStyle w:val="NormalWeb"/>
        <w:spacing w:after="150"/>
      </w:pPr>
      <w:r>
        <w:t>Microsoft may offer updates or supplements to the Products. Customer may use the updates or supplements to the Products, pre-release code, additional functionality and optional add-on services to the Products, subject to specific terms (if any) that accompany them. Some Products require automatic updates, as described in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Restrictions</w:t>
      </w:r>
    </w:p>
    <w:p>
      <w:pPr>
        <w:pStyle w:val="NormalWeb"/>
        <w:spacing w:after="150"/>
      </w:pPr>
      <w:r>
        <w:t xml:space="preserve">Customer may not (and is not licensed to) use the Products to offer commercial hosting services to third parties, work around any technical limitations in the Products or restrictions in Product documentation, or separate the software for use in more than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under a single License (even if the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are on the same physical hardware system), unless expressly permitted by Microsoft. Rights to access the software on any device do not give Customer any right to implement Microsoft patents or other Microsoft intellectual property in the device itself or in any other software or devices.</w:t>
      </w:r>
    </w:p>
    <w:p>
      <w:pPr>
        <w:pStyle w:val="Heading3"/>
        <w:spacing w:before="150" w:beforeAutospacing="0"/>
        <w:rPr>
          <w:rFonts w:eastAsia="Times New Roman"/>
          <w:color w:val="0078D4"/>
          <w:sz w:val="26"/>
          <w:szCs w:val="26"/>
        </w:rPr>
      </w:pPr>
      <w:r>
        <w:rPr>
          <w:rFonts w:eastAsia="Times New Roman"/>
          <w:color w:val="0078D4"/>
          <w:sz w:val="26"/>
          <w:szCs w:val="26"/>
        </w:rPr>
        <w:t>Use of Products After End of Support Period</w:t>
      </w:r>
    </w:p>
    <w:p>
      <w:pPr>
        <w:pStyle w:val="NormalWeb"/>
        <w:spacing w:after="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3"/>
        <w:spacing w:before="150" w:beforeAutospacing="0"/>
        <w:rPr>
          <w:rFonts w:eastAsia="Times New Roman"/>
          <w:color w:val="0078D4"/>
          <w:sz w:val="26"/>
          <w:szCs w:val="26"/>
        </w:rPr>
      </w:pPr>
      <w:r>
        <w:rPr>
          <w:rFonts w:eastAsia="Times New Roman"/>
          <w:color w:val="0078D4"/>
          <w:sz w:val="26"/>
          <w:szCs w:val="26"/>
        </w:rPr>
        <w:t>Software Assurance</w:t>
      </w:r>
    </w:p>
    <w:p>
      <w:pPr>
        <w:pStyle w:val="NormalWeb"/>
        <w:spacing w:after="150"/>
      </w:pPr>
      <w:r>
        <w:t xml:space="preserve">SA coverage may grant additional use rights to Customer. These additional rights end at the expiration of the SA coverage for the </w:t>
      </w:r>
      <w:hyperlink w:anchor="_Toc20" w:tooltip="License means the right to download, install, access and use a Product." w:history="1">
        <w:r>
          <w:rPr>
            <w:rStyle w:val="Hyperlink"/>
            <w:color w:val="505050"/>
          </w:rPr>
          <w:t>License</w:t>
        </w:r>
      </w:hyperlink>
      <w:r>
        <w:t>, unless otherwise noted in the benefit description.</w:t>
      </w:r>
    </w:p>
    <w:p>
      <w:pPr>
        <w:pStyle w:val="Heading3"/>
        <w:spacing w:before="150" w:beforeAutospacing="0"/>
        <w:rPr>
          <w:rFonts w:eastAsia="Times New Roman"/>
          <w:color w:val="0078D4"/>
          <w:sz w:val="26"/>
          <w:szCs w:val="26"/>
        </w:rPr>
      </w:pPr>
      <w:r>
        <w:rPr>
          <w:rFonts w:eastAsia="Times New Roman"/>
          <w:color w:val="0078D4"/>
          <w:sz w:val="26"/>
          <w:szCs w:val="26"/>
        </w:rPr>
        <w:t>Outsourcing Software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Dedicated Devices </w:t>
      </w:r>
    </w:p>
    <w:p>
      <w:pPr>
        <w:pStyle w:val="NormalWeb"/>
        <w:spacing w:after="150"/>
      </w:pPr>
      <w:r>
        <w:t xml:space="preserve">Customers may use licensed copies of the software on devices that are under the day-to-day management and control of </w:t>
      </w:r>
      <w:hyperlink w:anchor="_Toc20"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provided all such devices are and remain fully dedicated to Customer's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Flexible Virtualization Benefit</w:t>
      </w:r>
    </w:p>
    <w:p>
      <w:pPr>
        <w:pStyle w:val="NormalWeb"/>
        <w:spacing w:after="150"/>
      </w:pPr>
      <w:r>
        <w:t xml:space="preserve">Customers with subscription licenses or </w:t>
      </w:r>
      <w:hyperlink w:anchor="_Toc20" w:tooltip="License means the right to download, install, access and use a Product." w:history="1">
        <w:r>
          <w:rPr>
            <w:rStyle w:val="Hyperlink"/>
            <w:color w:val="505050"/>
          </w:rPr>
          <w:t>Licenses</w:t>
        </w:r>
      </w:hyperlink>
      <w:r>
        <w:t xml:space="preserve"> with active Software Assurance (including </w:t>
      </w:r>
      <w:hyperlink w:anchor="_Toc20" w:tooltip="CAL means client access license, which may be assigned by user or device, as appropriate. (Refer to Glossary for full definition)" w:history="1">
        <w:r>
          <w:rPr>
            <w:rStyle w:val="Hyperlink"/>
            <w:color w:val="505050"/>
          </w:rPr>
          <w:t>CALs</w:t>
        </w:r>
      </w:hyperlink>
      <w:r>
        <w:t xml:space="preserve">) may use licensed copies of the software on devices, including shared </w:t>
      </w:r>
      <w:hyperlink w:anchor="_Toc20" w:tooltip="Server means a physical hardware system capable of running server software." w:history="1">
        <w:r>
          <w:rPr>
            <w:rStyle w:val="Hyperlink"/>
            <w:color w:val="505050"/>
          </w:rPr>
          <w:t>Servers</w:t>
        </w:r>
      </w:hyperlink>
      <w:r>
        <w:t xml:space="preserve">, that are under the day-to-day management and control of </w:t>
      </w:r>
      <w:hyperlink w:anchor="_Toc20"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Cloud Solution Provider-Hosters</w:t>
      </w:r>
    </w:p>
    <w:p>
      <w:pPr>
        <w:pStyle w:val="NormalWeb"/>
        <w:spacing w:after="150"/>
      </w:pPr>
      <w:r>
        <w:t xml:space="preserve">Customers with subscription licenses or </w:t>
      </w:r>
      <w:hyperlink w:anchor="_Toc20" w:tooltip="License means the right to download, install, access and use a Product." w:history="1">
        <w:r>
          <w:rPr>
            <w:rStyle w:val="Hyperlink"/>
            <w:color w:val="505050"/>
          </w:rPr>
          <w:t>Licenses</w:t>
        </w:r>
      </w:hyperlink>
      <w:r>
        <w:t xml:space="preserve"> with active Software Assurance (including </w:t>
      </w:r>
      <w:hyperlink w:anchor="_Toc20" w:tooltip="CAL means client access license, which may be assigned by user or device, as appropriate. (Refer to Glossary for full definition)" w:history="1">
        <w:r>
          <w:rPr>
            <w:rStyle w:val="Hyperlink"/>
            <w:color w:val="505050"/>
          </w:rPr>
          <w:t>CALs</w:t>
        </w:r>
      </w:hyperlink>
      <w:r>
        <w:t>) may access their licensed copies of software that is provided by a Cloud Solution Provider-Hoster and installed on that partner's devices.</w:t>
      </w:r>
    </w:p>
    <w:p>
      <w:pPr>
        <w:pStyle w:val="NormalWeb"/>
        <w:spacing w:before="150"/>
      </w:pPr>
      <w:r>
        <w:t>Except as expressly permitted here or elsewhere in these Product Terms, Customer is not permitted to use or access software on devices that are under the management or control of a third party. Customer is responsible for all of the obligations under its volume licensing agreement regardless of the physical location of the hardware upon which the software is used.</w:t>
      </w:r>
    </w:p>
    <w:p>
      <w:pPr>
        <w:pStyle w:val="Heading3"/>
        <w:spacing w:before="150" w:beforeAutospacing="0"/>
        <w:rPr>
          <w:rFonts w:eastAsia="Times New Roman"/>
          <w:color w:val="0078D4"/>
          <w:sz w:val="26"/>
          <w:szCs w:val="26"/>
        </w:rPr>
      </w:pPr>
      <w:r>
        <w:rPr>
          <w:rFonts w:eastAsia="Times New Roman"/>
          <w:color w:val="0078D4"/>
          <w:sz w:val="26"/>
          <w:szCs w:val="26"/>
        </w:rPr>
        <w:t>License Assignment and Reassignment</w:t>
      </w:r>
    </w:p>
    <w:p>
      <w:pPr>
        <w:pStyle w:val="NormalWeb"/>
        <w:spacing w:after="150"/>
      </w:pPr>
      <w:r>
        <w:t xml:space="preserve">Before Customer uses software under a </w:t>
      </w:r>
      <w:hyperlink w:anchor="_Toc20" w:tooltip="License means the right to download, install, access and use a Product." w:history="1">
        <w:r>
          <w:rPr>
            <w:rStyle w:val="Hyperlink"/>
            <w:color w:val="505050"/>
          </w:rPr>
          <w:t>License</w:t>
        </w:r>
      </w:hyperlink>
      <w:r>
        <w:t xml:space="preserve">, it must assign that </w:t>
      </w:r>
      <w:hyperlink w:anchor="_Toc20" w:tooltip="License means the right to download, install, access and use a Product." w:history="1">
        <w:r>
          <w:rPr>
            <w:rStyle w:val="Hyperlink"/>
            <w:color w:val="505050"/>
          </w:rPr>
          <w:t>License</w:t>
        </w:r>
      </w:hyperlink>
      <w:r>
        <w:t xml:space="preserve"> to a device or user, as appropriate. Customer may reassign a </w:t>
      </w:r>
      <w:hyperlink w:anchor="_Toc20" w:tooltip="License means the right to download, install, access and use a Product." w:history="1">
        <w:r>
          <w:rPr>
            <w:rStyle w:val="Hyperlink"/>
            <w:color w:val="505050"/>
          </w:rPr>
          <w:t>License</w:t>
        </w:r>
      </w:hyperlink>
      <w:r>
        <w:t xml:space="preserve"> to another device or user, but not less than 90 days since the last reassignment of that same </w:t>
      </w:r>
      <w:hyperlink w:anchor="_Toc20" w:tooltip="License means the right to download, install, access and use a Product." w:history="1">
        <w:r>
          <w:rPr>
            <w:rStyle w:val="Hyperlink"/>
            <w:color w:val="505050"/>
          </w:rPr>
          <w:t>License</w:t>
        </w:r>
      </w:hyperlink>
      <w:r>
        <w:t xml:space="preserve">, unless the reassignment is due to (i) permanent hardware failure or loss, (ii) termination of the user’s employment or contract or (iii) temporary reallocation of </w:t>
      </w:r>
      <w:hyperlink w:anchor="_Toc20" w:tooltip="CAL means client access license, which may be assigned by user or device, as appropriate. (Refer to Glossary for full definition)" w:history="1">
        <w:r>
          <w:rPr>
            <w:rStyle w:val="Hyperlink"/>
            <w:color w:val="505050"/>
          </w:rPr>
          <w:t>CALs</w:t>
        </w:r>
      </w:hyperlink>
      <w:r>
        <w:t xml:space="preserve">, 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and user or device </w:t>
      </w:r>
      <w:hyperlink w:anchor="_Toc20" w:tooltip="SL means subscription License that allows access to software or a hosted service for a defined period of time." w:history="1">
        <w:r>
          <w:rPr>
            <w:rStyle w:val="Hyperlink"/>
            <w:color w:val="505050"/>
          </w:rPr>
          <w:t>SLs</w:t>
        </w:r>
      </w:hyperlink>
      <w:r>
        <w:t xml:space="preserve"> to cover a user’s absence or the unavailability of a device that is out of service. Customer must remove the software or block access from the former device or to the former user. SA coverage and any Licenses that are granted or acquired in connection with SA coverage may be reassigned only with the underlying qualifying License. Additional terms apply to the reassignment of Windows desktop operating system per device licenses, as detailed in the </w:t>
      </w:r>
      <w:hyperlink r:id="rId70" w:history="1">
        <w:r>
          <w:rPr>
            <w:rStyle w:val="Hyperlink"/>
            <w:color w:val="505050"/>
          </w:rPr>
          <w:t>Windows Product Entry</w:t>
        </w:r>
      </w:hyperlink>
    </w:p>
    <w:p>
      <w:pPr>
        <w:pStyle w:val="Heading3"/>
        <w:spacing w:before="150" w:beforeAutospacing="0"/>
        <w:rPr>
          <w:rFonts w:eastAsia="Times New Roman"/>
          <w:color w:val="0078D4"/>
          <w:sz w:val="26"/>
          <w:szCs w:val="26"/>
        </w:rPr>
      </w:pPr>
      <w:r>
        <w:rPr>
          <w:rFonts w:eastAsia="Times New Roman"/>
          <w:color w:val="0078D4"/>
          <w:sz w:val="26"/>
          <w:szCs w:val="26"/>
        </w:rPr>
        <w:t>Technical Measures</w:t>
      </w:r>
    </w:p>
    <w:p>
      <w:pPr>
        <w:pStyle w:val="NormalWeb"/>
        <w:spacing w:after="150"/>
      </w:pPr>
      <w:r>
        <w:t>Microsoft may use technical measures to enforce terms that restrict Customer's use of certain versions of Product and may verify compliance with those terms as provided in Customer's volume license agreement. Some Products are protected by technological measures and require activation or validation, as well as a product key, to install or access them.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Activation and validation</w:t>
      </w:r>
    </w:p>
    <w:p>
      <w:pPr>
        <w:pStyle w:val="NormalWeb"/>
        <w:spacing w:after="150"/>
      </w:pPr>
      <w:r>
        <w:t>Customer shall use the appropriate product key provided by Microsoft for activation and validation of the software Product being installed by the Customer. Customer's right to use the software after the time specified in the software Product may be limited unless it is activated. Customer is not licensed to continue using the software if it has unsuccessfully attempted to activate. Each device that has not activated by a Key Management Service (KMS) must use a Multiple Activation Key (MAK) or Microsoft Entra ID based activation. Customer may not circumvent activation or validation.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Keys</w:t>
      </w:r>
    </w:p>
    <w:p>
      <w:pPr>
        <w:pStyle w:val="NormalWeb"/>
        <w:spacing w:after="150"/>
      </w:pPr>
      <w:r>
        <w:t>An assigned product key is required for licensed use of the software. All product keys are Confidential Information of Microsoft. Notwithstanding anything to the contrary in Customer's volume licensing agreement, Customer may not disclose product keys to third parties. Customer may not provide unsecured access to its key management service (KMS) machines over an uncontrolled network. In the event of unauthorized use or disclosure of product keys or KMS keys, Microsoft may prevent further activations, deactivate or block product keys from activation or validation, and take other appropriate action.</w:t>
      </w:r>
    </w:p>
    <w:p>
      <w:pPr>
        <w:pStyle w:val="Heading3"/>
        <w:spacing w:before="150" w:beforeAutospacing="0"/>
        <w:rPr>
          <w:rFonts w:eastAsia="Times New Roman"/>
          <w:color w:val="0078D4"/>
          <w:sz w:val="26"/>
          <w:szCs w:val="26"/>
        </w:rPr>
      </w:pPr>
      <w:r>
        <w:rPr>
          <w:rFonts w:eastAsia="Times New Roman"/>
          <w:color w:val="0078D4"/>
          <w:sz w:val="26"/>
          <w:szCs w:val="26"/>
        </w:rPr>
        <w:t>Font Components, Images, and Sounds</w:t>
      </w:r>
    </w:p>
    <w:p>
      <w:pPr>
        <w:pStyle w:val="NormalWeb"/>
        <w:spacing w:after="150"/>
      </w:pPr>
      <w:r>
        <w:t xml:space="preserve">While Customer runs the software, it may access and use icons, images, sounds and media included with the software only from a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and may use the fonts included with or installed by that software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Included Technologies</w:t>
      </w:r>
    </w:p>
    <w:p>
      <w:pPr>
        <w:pStyle w:val="NormalWeb"/>
        <w:spacing w:after="150"/>
      </w:pPr>
      <w:r>
        <w:t>Products may include other Microsoft technology components subject to their own license terms, as indicated in the Use Rights section of each Product Entry. If separate terms for these components are not addressed in the Product-Specific License Terms, they may be found in a separate folder in the Product’s installation directory or through the Product’s unified installer.</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For any component of Software that is powered by Bing,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71" w:tgtFrame="_blank" w:history="1">
        <w:r>
          <w:rPr>
            <w:rStyle w:val="Hyperlink"/>
            <w:color w:val="505050"/>
          </w:rPr>
          <w:t>https://www.microsoft.com/maps/bing-maps/product/enduserterms</w:t>
        </w:r>
      </w:hyperlink>
      <w:r>
        <w:t>), except that noncommercial use limitations do not apply to Products available for a fee through Microsoft volume license. The Data Protection Addendum does not apply to use of Bing within Software.</w:t>
      </w:r>
    </w:p>
    <w:p>
      <w:pPr>
        <w:pStyle w:val="Heading3"/>
        <w:spacing w:before="150" w:beforeAutospacing="0"/>
        <w:rPr>
          <w:rFonts w:eastAsia="Times New Roman"/>
          <w:color w:val="0078D4"/>
          <w:sz w:val="26"/>
          <w:szCs w:val="26"/>
        </w:rPr>
      </w:pPr>
      <w:r>
        <w:rPr>
          <w:rFonts w:eastAsia="Times New Roman"/>
          <w:color w:val="0078D4"/>
          <w:sz w:val="26"/>
          <w:szCs w:val="26"/>
        </w:rPr>
        <w:t>Benchmark Testing</w:t>
      </w:r>
    </w:p>
    <w:p>
      <w:pPr>
        <w:pStyle w:val="NormalWeb"/>
        <w:spacing w:after="150"/>
      </w:pPr>
      <w:r>
        <w:t xml:space="preserve">Customer must obtain Microsoft’s prior written approval to disclose to a third party the results of any benchmark test of any </w:t>
      </w:r>
      <w:hyperlink w:anchor="_Toc20" w:tooltip="Server means a physical hardware system capable of running server software." w:history="1">
        <w:r>
          <w:rPr>
            <w:rStyle w:val="Hyperlink"/>
            <w:color w:val="505050"/>
          </w:rPr>
          <w:t>Server</w:t>
        </w:r>
      </w:hyperlink>
      <w:r>
        <w:t xml:space="preserve"> Product or Microsoft Desktop Optimization Pack.</w:t>
      </w:r>
    </w:p>
    <w:p>
      <w:pPr>
        <w:pStyle w:val="Heading3"/>
        <w:spacing w:before="150" w:beforeAutospacing="0"/>
        <w:rPr>
          <w:rFonts w:eastAsia="Times New Roman"/>
          <w:color w:val="0078D4"/>
          <w:sz w:val="26"/>
          <w:szCs w:val="26"/>
        </w:rPr>
      </w:pPr>
      <w:r>
        <w:rPr>
          <w:rFonts w:eastAsia="Times New Roman"/>
          <w:color w:val="0078D4"/>
          <w:sz w:val="26"/>
          <w:szCs w:val="26"/>
        </w:rPr>
        <w:t>Multiplexing</w:t>
      </w:r>
    </w:p>
    <w:p>
      <w:pPr>
        <w:pStyle w:val="NormalWeb"/>
        <w:spacing w:after="150"/>
      </w:pPr>
      <w:r>
        <w:t>Hardware or software that a Customer uses to:</w:t>
      </w:r>
    </w:p>
    <w:p>
      <w:pPr>
        <w:numPr>
          <w:ilvl w:val="0"/>
          <w:numId w:val="2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 xml:space="preserve">does not reduce the number of </w:t>
      </w:r>
      <w:hyperlink w:anchor="_Toc20" w:tooltip="License means the right to download, install, access and use a Product." w:history="1">
        <w:r>
          <w:rPr>
            <w:rStyle w:val="Hyperlink"/>
            <w:color w:val="505050"/>
          </w:rPr>
          <w:t>Licenses</w:t>
        </w:r>
      </w:hyperlink>
      <w:r>
        <w:t xml:space="preserve"> of any type that a customer needs.</w:t>
      </w:r>
    </w:p>
    <w:p>
      <w:pPr>
        <w:pStyle w:val="Heading3"/>
        <w:spacing w:before="150" w:beforeAutospacing="0"/>
        <w:rPr>
          <w:rFonts w:eastAsia="Times New Roman"/>
          <w:color w:val="0078D4"/>
          <w:sz w:val="26"/>
          <w:szCs w:val="26"/>
        </w:rPr>
      </w:pPr>
      <w:r>
        <w:rPr>
          <w:rFonts w:eastAsia="Times New Roman"/>
          <w:color w:val="0078D4"/>
          <w:sz w:val="26"/>
          <w:szCs w:val="26"/>
        </w:rPr>
        <w:t>Administrative and Support Rights</w:t>
      </w:r>
    </w:p>
    <w:p>
      <w:pPr>
        <w:pStyle w:val="NormalWeb"/>
        <w:spacing w:after="150"/>
      </w:pPr>
      <w:r>
        <w:t xml:space="preserve">Customer may allow access to server software running in any permitted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by two users without CALs solely for administrative purposes. Customer may also allow remote access to other Products solely for purposes of providing technical product support to </w:t>
      </w:r>
      <w:hyperlink w:anchor="_Toc20" w:tooltip="Licensed User means the single person to whom a License is assigned." w:history="1">
        <w:r>
          <w:rPr>
            <w:rStyle w:val="Hyperlink"/>
            <w:color w:val="505050"/>
          </w:rPr>
          <w:t>Licensed Users</w:t>
        </w:r>
      </w:hyperlink>
      <w:r>
        <w:t xml:space="preserve"> or on </w:t>
      </w:r>
      <w:hyperlink w:anchor="_Toc20" w:tooltip="Licensed Device means a single physical hardware system to which a License is assigned (see Glossary for full definition)" w:history="1">
        <w:r>
          <w:rPr>
            <w:rStyle w:val="Hyperlink"/>
            <w:color w:val="505050"/>
          </w:rPr>
          <w:t>Licensed Devices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Software Plus Services</w:t>
      </w:r>
    </w:p>
    <w:p>
      <w:pPr>
        <w:pStyle w:val="NormalWeb"/>
        <w:spacing w:after="150"/>
      </w:pPr>
      <w:r>
        <w:t>Microsoft may provide services with Products through software features that connect with Microsoft or service provider computer systems over the Internet. It may change or cancel the services at any time. Customer may not use the services in any way that could harm them or impair anyone else’s use of them. Customer may not use the services to try to gain unauthorized access to any service, data, account or network by any means.</w:t>
      </w:r>
    </w:p>
    <w:p>
      <w:pPr>
        <w:pStyle w:val="Heading3"/>
        <w:spacing w:before="150" w:beforeAutospacing="0"/>
        <w:rPr>
          <w:rFonts w:eastAsia="Times New Roman"/>
          <w:color w:val="0078D4"/>
          <w:sz w:val="26"/>
          <w:szCs w:val="26"/>
        </w:rPr>
      </w:pPr>
      <w:r>
        <w:rPr>
          <w:rFonts w:eastAsia="Times New Roman"/>
          <w:color w:val="0078D4"/>
          <w:sz w:val="26"/>
          <w:szCs w:val="26"/>
        </w:rPr>
        <w:t>Processing of Personal Data; GDPR</w:t>
      </w:r>
    </w:p>
    <w:p>
      <w:pPr>
        <w:pStyle w:val="NormalWeb"/>
        <w:spacing w:after="150"/>
      </w:pPr>
      <w:r>
        <w:t xml:space="preserve">Except as otherwise provided in the </w:t>
      </w:r>
      <w:hyperlink r:id="rId56" w:tgtFrame="_blank" w:history="1">
        <w:r>
          <w:rPr>
            <w:rStyle w:val="Hyperlink"/>
            <w:color w:val="505050"/>
          </w:rPr>
          <w:t>Privacy &amp; Security Terms</w:t>
        </w:r>
      </w:hyperlink>
      <w:r>
        <w:t xml:space="preserve">, to the extent Microsoft is a processor or subprocessor of </w:t>
      </w:r>
      <w:hyperlink w:anchor="_Toc20" w:tooltip="Personal Data means any information relating to an identified or identifiable natural person." w:history="1">
        <w:r>
          <w:rPr>
            <w:rStyle w:val="Hyperlink"/>
            <w:color w:val="505050"/>
          </w:rPr>
          <w:t>Personal Data</w:t>
        </w:r>
      </w:hyperlink>
      <w:r>
        <w:t xml:space="preserve"> in connection with a software Product, Microsoft makes the commitments in the </w:t>
      </w:r>
      <w:hyperlink w:anchor="_Toc20" w:tooltip="Data Protection Addendum (DPA) means the Microsoft Products and Services Data Protection Addendum published at https://aka.ms/DPA." w:history="1">
        <w:r>
          <w:rPr>
            <w:rStyle w:val="Hyperlink"/>
            <w:color w:val="505050"/>
          </w:rPr>
          <w:t>Data Protection Addendum</w:t>
        </w:r>
      </w:hyperlink>
      <w:r>
        <w:t xml:space="preserve">, including for any processing for business operations incident to providing the software Product. When Microsoft is a controller, Microsoft will handle </w:t>
      </w:r>
      <w:hyperlink w:anchor="_Toc20" w:tooltip="Personal Data means any information relating to an identified or identifiable natural person." w:history="1">
        <w:r>
          <w:rPr>
            <w:rStyle w:val="Hyperlink"/>
            <w:color w:val="505050"/>
          </w:rPr>
          <w:t>Personal Data</w:t>
        </w:r>
      </w:hyperlink>
      <w:r>
        <w:t xml:space="preserve"> in accordance with the Product documentation and Microsoft Privacy Statement (</w:t>
      </w:r>
      <w:hyperlink r:id="rId72" w:history="1">
        <w:r>
          <w:rPr>
            <w:rStyle w:val="Hyperlink"/>
            <w:color w:val="505050"/>
          </w:rPr>
          <w:t>aka.ms/privacy</w:t>
        </w:r>
      </w:hyperlink>
      <w:r>
        <w:t xml:space="preserve">), and the </w:t>
      </w:r>
      <w:hyperlink w:anchor="_Toc20" w:tooltip="Data Protection Addendum (DPA) means the Microsoft Products and Services Data Protection Addendum published at https://aka.ms/DPA." w:history="1">
        <w:r>
          <w:rPr>
            <w:rStyle w:val="Hyperlink"/>
            <w:color w:val="505050"/>
          </w:rPr>
          <w:t>Data Protection Addendum</w:t>
        </w:r>
      </w:hyperlink>
      <w:r>
        <w:t xml:space="preserve"> terms do not apply. Please see the Product documentation for details on any processing of </w:t>
      </w:r>
      <w:hyperlink w:anchor="_Toc20" w:tooltip="Personal Data means any information relating to an identified or identifiable natural person." w:history="1">
        <w:r>
          <w:rPr>
            <w:rStyle w:val="Hyperlink"/>
            <w:color w:val="505050"/>
          </w:rPr>
          <w:t>Personal Data</w:t>
        </w:r>
      </w:hyperlink>
      <w:r>
        <w:t xml:space="preserve"> in connection with software Products and Customer's configuration options.</w:t>
      </w:r>
    </w:p>
    <w:p w:rsidR="00ED5159" w:rsidP="00ED5159">
      <w:pPr>
        <w:pStyle w:val="ProductList-OfferingGroupHeading"/>
        <w:outlineLvl w:val="1"/>
      </w:pPr>
      <w:r>
        <w:t>Privacy &amp; Security Terms</w:t>
      </w:r>
      <w:r>
        <w:fldChar w:fldCharType="begin"/>
      </w:r>
      <w:r>
        <w:instrText xml:space="preserve"> TC </w:instrText>
      </w:r>
      <w:bookmarkStart w:id="11" w:name="_Toc256000006"/>
      <w:r>
        <w:instrText>"</w:instrText>
      </w:r>
      <w:r>
        <w:instrText>Privacy &amp; Security Terms</w:instrText>
      </w:r>
      <w:r>
        <w:instrText>"</w:instrText>
      </w:r>
      <w:bookmarkEnd w:id="11"/>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General</w:t>
      </w:r>
    </w:p>
    <w:p>
      <w:pPr>
        <w:pStyle w:val="NormalWeb"/>
        <w:spacing w:after="150"/>
      </w:pPr>
      <w:r>
        <w:t>The Privacy &amp; Security Terms were formerly contained in Attachment 1 to the Online Services Terms.</w:t>
      </w:r>
    </w:p>
    <w:p>
      <w:pPr>
        <w:pStyle w:val="NormalWeb"/>
        <w:spacing w:before="150"/>
      </w:pPr>
      <w:r>
        <w:t xml:space="preserve">The </w:t>
      </w:r>
      <w:hyperlink w:anchor="_Toc20" w:tooltip="Data Protection Addendum (DPA) means the Microsoft Products and Services Data Protection Addendum published at https://aka.ms/DPA." w:history="1">
        <w:r>
          <w:rPr>
            <w:rStyle w:val="Hyperlink"/>
            <w:color w:val="505050"/>
          </w:rPr>
          <w:t>Data Protection Addendum</w:t>
        </w:r>
      </w:hyperlink>
      <w:r>
        <w:t xml:space="preserve">, or </w:t>
      </w:r>
      <w:hyperlink w:anchor="_Toc20" w:tooltip="Data Protection Addendum (DPA) means the Microsoft Products and Services Data Protection Addendum published at https://aka.ms/DPA." w:history="1">
        <w:r>
          <w:rPr>
            <w:rStyle w:val="Hyperlink"/>
            <w:color w:val="505050"/>
          </w:rPr>
          <w:t>DPA</w:t>
        </w:r>
      </w:hyperlink>
      <w:r>
        <w:t xml:space="preserve"> (defined in the Glossary) sets forth the parties obligations with respect to the processing and security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and </w:t>
      </w:r>
      <w:hyperlink w:anchor="_Toc20" w:tooltip="Personal Data means any information relating to an identified or identifiable natural person." w:history="1">
        <w:r>
          <w:rPr>
            <w:rStyle w:val="Hyperlink"/>
            <w:color w:val="505050"/>
          </w:rPr>
          <w:t>Personal Data</w:t>
        </w:r>
      </w:hyperlink>
      <w:r>
        <w:t xml:space="preserve"> by the Products. The </w:t>
      </w:r>
      <w:hyperlink w:anchor="_Toc20" w:tooltip="Data Protection Addendum (DPA) means the Microsoft Products and Services Data Protection Addendum published at https://aka.ms/DPA." w:history="1">
        <w:r>
          <w:rPr>
            <w:rStyle w:val="Hyperlink"/>
            <w:color w:val="505050"/>
          </w:rPr>
          <w:t>Data Protection Addendum</w:t>
        </w:r>
      </w:hyperlink>
      <w:r>
        <w:t xml:space="preserve"> can be downloaded here </w:t>
      </w:r>
      <w:hyperlink r:id="rId73" w:tgtFrame="_blank" w:history="1">
        <w:r>
          <w:rPr>
            <w:rStyle w:val="Hyperlink"/>
            <w:color w:val="505050"/>
          </w:rPr>
          <w:t>https://aka.ms/DPA</w:t>
        </w:r>
      </w:hyperlink>
      <w:r>
        <w:t xml:space="preserve">. In the event of any conflict or inconsistency between the </w:t>
      </w:r>
      <w:hyperlink w:anchor="_Toc20"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w:t>
      </w:r>
      <w:hyperlink w:anchor="_Toc20" w:tooltip="Data Protection Addendum (DPA) means the Microsoft Products and Services Data Protection Addendum published at https://aka.ms/DPA." w:history="1">
        <w:r>
          <w:rPr>
            <w:rStyle w:val="Hyperlink"/>
            <w:color w:val="505050"/>
          </w:rPr>
          <w:t>DPA</w:t>
        </w:r>
      </w:hyperlink>
      <w:r>
        <w:t xml:space="preserve">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Exceptions to the DPA</w:t>
      </w:r>
    </w:p>
    <w:p>
      <w:pPr>
        <w:pStyle w:val="NormalWeb"/>
        <w:spacing w:after="150"/>
      </w:pPr>
      <w:r>
        <w:t>The Privacy and Security Terms in the table below modify or supplement the DPA for each of the identified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010"/>
        <w:gridCol w:w="1199"/>
        <w:gridCol w:w="71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Foundry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DPA does not apply to use of Grounding with Bing Search and/or Grounding with Bing Custom Search through Microsoft Foundry (including when used through Microsoft Foundry Agent service, Responses API in Microsoft Foundry Models, and/or Web Knowledge Source in Microsoft Foundry Knowledge); the </w:t>
            </w:r>
            <w:hyperlink r:id="rId72" w:tgtFrame="_blank" w:history="1">
              <w:r>
                <w:rPr>
                  <w:rStyle w:val="Hyperlink"/>
                  <w:rFonts w:ascii="Segoe UI" w:eastAsia="Times New Roman" w:hAnsi="Segoe UI" w:cs="Segoe UI"/>
                  <w:sz w:val="16"/>
                  <w:szCs w:val="16"/>
                </w:rPr>
                <w:t>Microsoft Privacy Statement</w:t>
              </w:r>
            </w:hyperlink>
            <w:r>
              <w:rPr>
                <w:rFonts w:ascii="Segoe UI" w:eastAsia="Times New Roman" w:hAnsi="Segoe UI" w:cs="Segoe UI"/>
                <w:sz w:val="16"/>
                <w:szCs w:val="16"/>
              </w:rPr>
              <w:t xml:space="preserve"> applies. When using Grounding with Bing Search and/or Grounding with Bing Custom Search, Customer Data will flow outside Customer's compliance and Geo boundary.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Services in Containers</w:t>
            </w:r>
          </w:p>
          <w:p>
            <w:pPr>
              <w:pStyle w:val="NormalWeb"/>
              <w:spacing w:before="150"/>
            </w:pPr>
            <w:r>
              <w:t xml:space="preserve">Because the operating environment of containers installed on Customer's dedicated hardware is not under Microsoft's control, the terms of the </w:t>
            </w:r>
            <w:hyperlink w:anchor="_Toc20" w:tooltip="Data Protection Addendum (DPA) means the Microsoft Products and Services Data Protection Addendum published at https://aka.ms/DPA." w:history="1">
              <w:r>
                <w:rPr>
                  <w:rStyle w:val="Hyperlink"/>
                  <w:color w:val="505050"/>
                </w:rPr>
                <w:t>DPA</w:t>
              </w:r>
            </w:hyperlink>
            <w:r>
              <w:t xml:space="preserve"> do not apply to those containers, except to the extent a) any </w:t>
            </w:r>
            <w:hyperlink w:anchor="_Toc20" w:tooltip="Personal Data means any information relating to an identified or identifiable natural person." w:history="1">
              <w:r>
                <w:rPr>
                  <w:rStyle w:val="Hyperlink"/>
                  <w:color w:val="505050"/>
                </w:rPr>
                <w:t>Personal Data</w:t>
              </w:r>
            </w:hyperlink>
            <w:r>
              <w:t xml:space="preserve"> is collected in connection with a billing endpoint, or b)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provided to Microsoft for custom model training prior to download of the Service operating in the container.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Inactive Services Configurations and Custom Models</w:t>
            </w:r>
          </w:p>
          <w:p>
            <w:pPr>
              <w:pStyle w:val="NormalWeb"/>
              <w:spacing w:before="150"/>
            </w:pPr>
            <w:r>
              <w:t>For the purposes of data retention and deletion, a Services configuration or custom model that has been inactive may at Microsoft's discretion be treated as an Online Service for which the Customer's subscription has expired. A configuration or custom model is inactive if for 90 days (1) no calls are made to it; (2) it has not been modified and does not have a current key assigned to it and; (3) Customer has not signed in to it.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Multi-Cloud Scanning Connectors for Microsoft Purview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To enable interoperability with Customer's deployments with other cloud providers, Microsoft may operate within such other clouds certain optional, discrete data scanner functionality for Customer's data hosted in such other clouds (the "Multi-Cloud Scanning Connectors for Microsoft Purview"). Microsoft will disclose in its documentation how Customer may enable and use the Multi-Cloud Scanning Connectors for Microsoft Purview. For clarity, the Multi-Cloud Scanning Connectors for Microsoft Purview is a separate add-on to Microsoft Purview. The Multi-Cloud Scanning Connectors for Microsoft Purview is not a Microsoft Azure Core Service and the following sections of the </w:t>
            </w:r>
            <w:hyperlink w:anchor="_Toc20" w:tooltip="Data Protection Addendum (DPA) means the Microsoft Products and Services Data Protection Addendum published at https://aka.ms/DPA." w:history="1">
              <w:r>
                <w:rPr>
                  <w:rStyle w:val="Hyperlink"/>
                  <w:color w:val="505050"/>
                </w:rPr>
                <w:t>DPA</w:t>
              </w:r>
            </w:hyperlink>
            <w:r>
              <w:t xml:space="preserve"> do not apply to the Multi-Cloud Scanning Connectors for Microsoft Purview: "Educational Institutions", "CJIS Customer Agreement", "HIPAA Business", and "Appendix A - Security Measures".</w:t>
            </w:r>
          </w:p>
          <w:p>
            <w:pPr>
              <w:pStyle w:val="NormalWeb"/>
              <w:spacing w:before="150"/>
            </w:pPr>
            <w:r>
              <w:t xml:space="preserve">With respect solely to the Multi-Cloud Scanning Connectors for Microsoft Purview, the following modifications to the </w:t>
            </w:r>
            <w:hyperlink w:anchor="_Toc20" w:tooltip="Data Protection Addendum (DPA) means the Microsoft Products and Services Data Protection Addendum published at https://aka.ms/DPA." w:history="1">
              <w:r>
                <w:rPr>
                  <w:rStyle w:val="Hyperlink"/>
                  <w:color w:val="505050"/>
                </w:rPr>
                <w:t>DPA</w:t>
              </w:r>
            </w:hyperlink>
            <w:r>
              <w:t xml:space="preserve"> apply:</w:t>
            </w:r>
          </w:p>
          <w:p>
            <w:pPr>
              <w:numPr>
                <w:ilvl w:val="0"/>
                <w:numId w:val="3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 Access: Microsoft employs least privilege access mechanisms to control access to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(including any </w:t>
            </w:r>
            <w:hyperlink w:anchor="_Toc20"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therein). Microsoft employs role-based access controls to ensure that Microsoft's access to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required for service operations is for an appropriate purpose and approved with management oversight.</w:t>
            </w:r>
          </w:p>
          <w:p>
            <w:pPr>
              <w:numPr>
                <w:ilvl w:val="0"/>
                <w:numId w:val="3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Auditing Compliance: Microsoft's commitments in the Auditing Compliance section of the </w:t>
            </w:r>
            <w:hyperlink w:anchor="_Toc20" w:tooltip="Data Protection Addendum (DPA) means the Microsoft Products and Services Data Protection Addendum published at https://aka.ms/DPA." w:history="1">
              <w:r>
                <w:rPr>
                  <w:rStyle w:val="Hyperlink"/>
                  <w:rFonts w:ascii="Segoe UI" w:eastAsia="Times New Roman" w:hAnsi="Segoe UI" w:cs="Segoe UI"/>
                  <w:color w:val="505050"/>
                  <w:sz w:val="18"/>
                  <w:szCs w:val="18"/>
                </w:rPr>
                <w:t>DPA</w:t>
              </w:r>
            </w:hyperlink>
            <w:r>
              <w:rPr>
                <w:rFonts w:ascii="Segoe UI" w:eastAsia="Times New Roman" w:hAnsi="Segoe UI" w:cs="Segoe UI"/>
                <w:color w:val="505050"/>
                <w:sz w:val="18"/>
                <w:szCs w:val="18"/>
              </w:rPr>
              <w:t xml:space="preserve"> do not extend to third-party computers, computing environments or physical data centers used by the Multi-Cloud Scanning Connectors for Microsoft Purview.</w:t>
            </w:r>
          </w:p>
          <w:p>
            <w:pPr>
              <w:pStyle w:val="NormalWeb"/>
              <w:spacing w:before="150"/>
            </w:pPr>
            <w:r>
              <w:t>Standard data protection terms offered by those other cloud providers govern your use of the Multi-Cloud Scanning Connectors for Microsoft Purview while the add-on is hosted in such other clouds.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App 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privacy statement located at </w:t>
            </w:r>
            <w:hyperlink r:id="rId74" w:tgtFrame="_blank" w:history="1">
              <w:r>
                <w:rPr>
                  <w:rStyle w:val="Hyperlink"/>
                  <w:rFonts w:ascii="Segoe UI" w:eastAsia="Times New Roman" w:hAnsi="Segoe UI" w:cs="Segoe UI"/>
                  <w:sz w:val="16"/>
                  <w:szCs w:val="16"/>
                </w:rPr>
                <w:t>https://aka.ms/actestprivacypolicy</w:t>
              </w:r>
            </w:hyperlink>
            <w:r>
              <w:rPr>
                <w:rFonts w:ascii="Segoe UI" w:eastAsia="Times New Roman" w:hAnsi="Segoe UI" w:cs="Segoe UI"/>
                <w:sz w:val="16"/>
                <w:szCs w:val="16"/>
              </w:rPr>
              <w:t xml:space="preserve"> applies to Customer's use of Visual Studio App Center Test. Customer may not use Visual Studio App Center Test to store or process </w:t>
            </w:r>
            <w:hyperlink w:anchor="_Toc2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2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processing of data in SQL Managed Instance enabled by Azure Arc running in an environment outside of Microsoft's control, except to the extent any </w:t>
            </w:r>
            <w:hyperlink w:anchor="_Toc2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Genomics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The Microsoft Privacy Statement located at </w:t>
            </w:r>
            <w:hyperlink r:id="rId75" w:tgtFrame="_blank" w:history="1">
              <w:r>
                <w:rPr>
                  <w:rStyle w:val="Hyperlink"/>
                  <w:color w:val="505050"/>
                </w:rPr>
                <w:t>https://aka.ms/privacy</w:t>
              </w:r>
            </w:hyperlink>
            <w:r>
              <w:t xml:space="preserve"> applies to Customer's use of Microsoft Genomics and not the </w:t>
            </w:r>
            <w:hyperlink w:anchor="_Toc20" w:tooltip="Data Protection Addendum (DPA) means the Microsoft Products and Services Data Protection Addendum published at https://aka.ms/DPA." w:history="1">
              <w:r>
                <w:rPr>
                  <w:rStyle w:val="Hyperlink"/>
                  <w:color w:val="505050"/>
                </w:rPr>
                <w:t>DPA</w:t>
              </w:r>
            </w:hyperlink>
            <w:r>
              <w:t>, except that this Microsoft Genomics section controls to the extent it conflicts with the Microsoft Privacy Statement.</w:t>
            </w:r>
          </w:p>
          <w:p>
            <w:pPr>
              <w:pStyle w:val="NormalWeb"/>
              <w:spacing w:before="150"/>
            </w:pPr>
            <w:r>
              <w:rPr>
                <w:rStyle w:val="Strong"/>
              </w:rPr>
              <w:t>Broad License Terms</w:t>
            </w:r>
          </w:p>
          <w:p>
            <w:pPr>
              <w:pStyle w:val="NormalWeb"/>
              <w:spacing w:before="150"/>
            </w:pPr>
            <w:r>
              <w:t xml:space="preserve">Microsoft Genomics includes access to the Genetic Analysis Toolkit (GATK) from the Broad Institute, Inc. ("Broad"). Use of the GATK and any related documentation as part of Microsoft Genomics is also subject to Broad's GATK End User License Agreement ("Broad EULA" located here </w:t>
            </w:r>
            <w:hyperlink r:id="rId76" w:tgtFrame="_blank" w:history="1">
              <w:r>
                <w:rPr>
                  <w:rStyle w:val="Hyperlink"/>
                  <w:color w:val="505050"/>
                </w:rPr>
                <w:t>https://software.broadinstitute.org/gatk/eula/index?p=Azure</w:t>
              </w:r>
            </w:hyperlink>
            <w:r>
              <w:t>).</w:t>
            </w:r>
          </w:p>
          <w:p>
            <w:pPr>
              <w:pStyle w:val="NormalWeb"/>
              <w:spacing w:before="150"/>
            </w:pPr>
            <w:r>
              <w:t>Microsoft may collect and share with Broad certain statistical and technical information regarding Customer's usage of the GATK. Customer authorizes Microsoft to report to Broad Customer's status as a user of the GATK in Microsoft Genomics.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2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Azure SQL Edge installed on Customer's </w:t>
            </w:r>
            <w:hyperlink w:anchor="_Toc20"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 xml:space="preserve">, except to the extent any </w:t>
            </w:r>
            <w:hyperlink w:anchor="_Toc2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 because the operating environment of such </w:t>
            </w:r>
            <w:hyperlink w:anchor="_Toc20"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s is not under Microsoft's control.</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Local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will be a controller of </w:t>
            </w:r>
            <w:hyperlink w:anchor="_Toc2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when customers turn on collection of Windows diagnostic data as described in product documentation. When Microsoft is a controller, Microsoft will handle this </w:t>
            </w:r>
            <w:hyperlink w:anchor="_Toc20"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in accordance with the Microsoft Privacy Statement at aka.ms/privacy, and the </w:t>
            </w:r>
            <w:hyperlink w:anchor="_Toc2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terms do not apply.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Stack 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Microsoft will be a controller of </w:t>
            </w:r>
            <w:hyperlink w:anchor="_Toc20" w:tooltip="Personal Data means any information relating to an identified or identifiable natural person." w:history="1">
              <w:r>
                <w:rPr>
                  <w:rStyle w:val="Hyperlink"/>
                  <w:color w:val="505050"/>
                </w:rPr>
                <w:t>Personal Data</w:t>
              </w:r>
            </w:hyperlink>
            <w:r>
              <w:t xml:space="preserve"> when customers turn on collection of Windows diagnostic data as described in the Product documentation. When Microsoft is a controller, Microsoft will handle this </w:t>
            </w:r>
            <w:hyperlink w:anchor="_Toc20" w:tooltip="Personal Data means any information relating to an identified or identifiable natural person." w:history="1">
              <w:r>
                <w:rPr>
                  <w:rStyle w:val="Hyperlink"/>
                  <w:color w:val="505050"/>
                </w:rPr>
                <w:t>Personal Data</w:t>
              </w:r>
            </w:hyperlink>
            <w:r>
              <w:t xml:space="preserve"> in accordance with the Microsoft Privacy Statement at aka.ms/privacy, and the </w:t>
            </w:r>
            <w:hyperlink w:anchor="_Toc20" w:tooltip="Data Protection Addendum (DPA) means the Microsoft Products and Services Data Protection Addendum published at https://aka.ms/DPA." w:history="1">
              <w:r>
                <w:rPr>
                  <w:rStyle w:val="Hyperlink"/>
                  <w:color w:val="505050"/>
                </w:rPr>
                <w:t>DPA</w:t>
              </w:r>
            </w:hyperlink>
            <w:r>
              <w:t xml:space="preserve"> terms do not apply.  </w:t>
            </w:r>
          </w:p>
          <w:p>
            <w:pPr>
              <w:pStyle w:val="NormalWeb"/>
              <w:spacing w:before="150"/>
            </w:pPr>
            <w:r>
              <w:t>If a Microsoft Cloud Agreement or Microsoft Customer Agreement Customer uses Azure Stack Hub software or services that are hosted by a Reseller, such use will be subject to Reseller's privacy practices, which may differ from Microsoft's.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VMware Solution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Professional Services Data Transfer to VMware</w:t>
            </w:r>
          </w:p>
          <w:p>
            <w:pPr>
              <w:pStyle w:val="NormalWeb"/>
              <w:spacing w:before="150"/>
            </w:pPr>
            <w:r>
              <w:t>If customer contacts Microsoft for technical support relating to Azure VMware Solution and Microsoft must engage VMware for assistance with the issue, Microsoft will transfer the Professional Services Data and the Personal Data contained in the support case to VMware. The transfer is made subject to the terms of the Support Transfer Agreement between VMware and Microsoft, which establishes Microsoft and VMware as independent processors of the Professional Services Data. Before any transfer of Professional Services Data to VMware will occur, Microsoft will obtain and record consent from customer for the transfer.</w:t>
            </w:r>
          </w:p>
          <w:p>
            <w:pPr>
              <w:pStyle w:val="NormalWeb"/>
              <w:spacing w:before="150"/>
            </w:pPr>
            <w:r>
              <w:rPr>
                <w:rStyle w:val="Strong"/>
              </w:rPr>
              <w:t>VMware Data Processing Agreement</w:t>
            </w:r>
          </w:p>
          <w:p>
            <w:pPr>
              <w:pStyle w:val="NormalWeb"/>
              <w:spacing w:before="150"/>
            </w:pPr>
            <w:r>
              <w:t>Once Professional Services Data is transferred to VMware (pursuant to the above section), the processing of Professional Services Data, including the Personal Data contained the support case, by VMware as an independent processor will be governed by the VMware Data Processing Agreement for Microsoft AVS Customers Transferred for L3 Support (</w:t>
            </w:r>
            <w:hyperlink r:id="rId77" w:tgtFrame="_blank" w:history="1">
              <w:r>
                <w:rPr>
                  <w:rStyle w:val="Hyperlink"/>
                  <w:color w:val="505050"/>
                </w:rPr>
                <w:t>https://docs.broadcom.com/doc/global-customers-dpa</w:t>
              </w:r>
            </w:hyperlink>
            <w:r>
              <w:t>). Customer also gives authorization to allow its representative(s) who request technical support for Azure VMware Solution to provide consent on its behalf to Microsoft for the transfer of the Professional Services Data to VMware.</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Data Protection Addendum does not apply to Bing Search Services or to any use of Bing within a Product. For any component of a Product that is powered by Bing, as disclosed in the product documentation, the Microsoft Privacy Statement (</w:t>
            </w:r>
            <w:hyperlink r:id="rId60" w:tgtFrame="_blank" w:history="1">
              <w:r>
                <w:rPr>
                  <w:rStyle w:val="Hyperlink"/>
                  <w:rFonts w:ascii="Segoe UI" w:eastAsia="Times New Roman" w:hAnsi="Segoe UI" w:cs="Segoe UI"/>
                  <w:sz w:val="16"/>
                  <w:szCs w:val="16"/>
                </w:rPr>
                <w:t>https://privacy.microsoft.com/privacystatement</w:t>
              </w:r>
            </w:hyperlink>
            <w:r>
              <w:rPr>
                <w:rFonts w:ascii="Segoe UI" w:eastAsia="Times New Roman" w:hAnsi="Segoe UI" w:cs="Segoe UI"/>
                <w:sz w:val="16"/>
                <w:szCs w:val="16"/>
              </w:rPr>
              <w:t>) applies.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Bing Maps Privacy</w:t>
            </w:r>
          </w:p>
          <w:p>
            <w:pPr>
              <w:pStyle w:val="NormalWeb"/>
              <w:spacing w:before="150"/>
            </w:pPr>
            <w:r>
              <w:t>The Microsoft Privacy Statement (</w:t>
            </w:r>
            <w:hyperlink r:id="rId60" w:tgtFrame="_blank" w:history="1">
              <w:r>
                <w:rPr>
                  <w:rStyle w:val="Hyperlink"/>
                  <w:color w:val="505050"/>
                </w:rPr>
                <w:t>https://privacy.microsoft.com/privacystatement</w:t>
              </w:r>
            </w:hyperlink>
            <w:r>
              <w:t>) and privacy terms in the Microsoft Bing Maps Platform API Terms of Use apply to Customer's use of Bing Maps and Bing Maps Mobile Asset Management Platform.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Offerings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Notwithstanding anything to the contrary in Customer's volume licensing agreement (including these Product Terms and the </w:t>
            </w:r>
            <w:hyperlink w:anchor="_Toc2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the GitHub Privacy Statement available at </w:t>
            </w:r>
            <w:hyperlink r:id="rId78" w:tgtFrame="_blank" w:history="1">
              <w:r>
                <w:rPr>
                  <w:rStyle w:val="Hyperlink"/>
                  <w:rFonts w:ascii="Segoe UI" w:eastAsia="Times New Roman" w:hAnsi="Segoe UI" w:cs="Segoe UI"/>
                  <w:sz w:val="16"/>
                  <w:szCs w:val="16"/>
                </w:rPr>
                <w:t>https://aka.ms/github_privacy</w:t>
              </w:r>
            </w:hyperlink>
            <w:r>
              <w:rPr>
                <w:rFonts w:ascii="Segoe UI" w:eastAsia="Times New Roman" w:hAnsi="Segoe UI" w:cs="Segoe UI"/>
                <w:sz w:val="16"/>
                <w:szCs w:val="16"/>
              </w:rPr>
              <w:t xml:space="preserve"> and the GitHub Data Protection Agreement at </w:t>
            </w:r>
            <w:hyperlink r:id="rId79" w:tgtFrame="_blank" w:history="1">
              <w:r>
                <w:rPr>
                  <w:rStyle w:val="Hyperlink"/>
                  <w:rFonts w:ascii="Segoe UI" w:eastAsia="Times New Roman" w:hAnsi="Segoe UI" w:cs="Segoe UI"/>
                  <w:sz w:val="16"/>
                  <w:szCs w:val="16"/>
                </w:rPr>
                <w:t>https://aka.ms/github_dpa</w:t>
              </w:r>
            </w:hyperlink>
            <w:r>
              <w:rPr>
                <w:rFonts w:ascii="Segoe UI" w:eastAsia="Times New Roman" w:hAnsi="Segoe UI" w:cs="Segoe UI"/>
                <w:sz w:val="16"/>
                <w:szCs w:val="16"/>
              </w:rPr>
              <w:t xml:space="preserve"> will apply to Customer's use of GitHub Offerings, including GitHub Enterprise licensed standalone or as Visual Studio Enterprise or Professional with GitHub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If Customer is provisioned outside of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 or North America. If Customer is provisioned in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and Dynamics 365 Finance in Denmark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Bookkeeping Laws and Regulations</w:t>
            </w:r>
          </w:p>
          <w:p>
            <w:pPr>
              <w:pStyle w:val="NormalWeb"/>
              <w:spacing w:before="150"/>
            </w:pPr>
            <w:r>
              <w:t xml:space="preserve">These terms apply only to Customers with an enterprise in Denmark as required under the Bookkeeping Act. The </w:t>
            </w:r>
            <w:hyperlink w:anchor="_Toc20" w:tooltip="Data Protection Addendum (DPA) means the Microsoft Products and Services Data Protection Addendum published at https://aka.ms/DPA." w:history="1">
              <w:r>
                <w:rPr>
                  <w:rStyle w:val="Hyperlink"/>
                  <w:color w:val="505050"/>
                </w:rPr>
                <w:t>DPA</w:t>
              </w:r>
            </w:hyperlink>
            <w:r>
              <w:t xml:space="preserve"> governs how Microsoft handles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 Dynamics 365 Business Central and Dynamics 365 Finance, except for the retention, deletion, and disclosure of Accounting Materials. In the event of any conflict or inconsistency between the </w:t>
            </w:r>
            <w:hyperlink w:anchor="_Toc20"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these terms shall prevail. </w:t>
            </w:r>
          </w:p>
          <w:p>
            <w:pPr>
              <w:pStyle w:val="NormalWeb"/>
              <w:spacing w:before="150"/>
            </w:pPr>
            <w:r>
              <w:rPr>
                <w:rStyle w:val="Strong"/>
              </w:rPr>
              <w:t>Definitions</w:t>
            </w:r>
          </w:p>
          <w:p>
            <w:pPr>
              <w:pStyle w:val="NormalWeb"/>
              <w:spacing w:before="150"/>
            </w:pPr>
            <w:r>
              <w:t xml:space="preserve">"Accounting Materials" means all documents that comprise bookkeeping, including any recorded transactions and receipts and other data (including </w:t>
            </w:r>
            <w:hyperlink w:anchor="_Toc20" w:tooltip="Personal Data means any information relating to an identified or identifiable natural person." w:history="1">
              <w:r>
                <w:rPr>
                  <w:rStyle w:val="Hyperlink"/>
                  <w:color w:val="505050"/>
                </w:rPr>
                <w:t>Personal Data</w:t>
              </w:r>
            </w:hyperlink>
            <w:r>
              <w:t>) for an enterprise that Customer provides or is provided on behalf of Customer in a Digital Standard Bookkeeping System, as required by the Bookkeeping Act. </w:t>
            </w:r>
          </w:p>
          <w:p>
            <w:pPr>
              <w:pStyle w:val="NormalWeb"/>
              <w:spacing w:before="150"/>
            </w:pPr>
            <w:r>
              <w:t>"Bookkeeping Act" means the Danish Bookkeeping Act of 24 May 2022 and any issued executive orders that regulate the bookkeeping and accounting obligations of enterprises, as well as providers of Digital Standard Bookkeeping Systems, in Denmark.</w:t>
            </w:r>
          </w:p>
          <w:p>
            <w:pPr>
              <w:pStyle w:val="NormalWeb"/>
              <w:spacing w:before="150"/>
            </w:pPr>
            <w:r>
              <w:t>"Danish Authority" means any (i) Danish public authority that has the necessary legal right to inspect an enterprise and request its Accounting Materials under the Bookkeeping Act or other relevant laws; or (ii) liquidator, bankruptcy trustee, or reorganizer that has taken over management of the enterprise.</w:t>
            </w:r>
          </w:p>
          <w:p>
            <w:pPr>
              <w:pStyle w:val="NormalWeb"/>
              <w:spacing w:before="150"/>
            </w:pPr>
            <w:r>
              <w:t>"Digital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w:t>
            </w:r>
          </w:p>
          <w:p>
            <w:pPr>
              <w:pStyle w:val="NormalWeb"/>
              <w:spacing w:before="150"/>
            </w:pPr>
            <w:r>
              <w:rPr>
                <w:rStyle w:val="Strong"/>
              </w:rPr>
              <w:t>Data Retention and Deletion of Accounting Materials</w:t>
            </w:r>
          </w:p>
          <w:p>
            <w:pPr>
              <w:pStyle w:val="NormalWeb"/>
              <w:spacing w:before="150"/>
            </w:pPr>
            <w:r>
              <w:t xml:space="preserve">By using Dynamics 365 Business Central or Dynamics 365 Finance, Customer agrees that Microsoft or its affiliates, in accordance with their legal obligation, can copy, store, and retain Customer's Accounting Materials for 5 years from the end of the financial year of the related recorded transactions and receipts ("Retention Period"), even if Customer changes its bookkeeping system, goes bankrupt, or is liquidated, as required by the Bookkeeping Act. Microsoft will store Customer's Accounting Materials at rest in a Microsoft-managed storage in the same location as the primary computer equipment processing the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for these services or the European Union. During the Retention Period, Customer cannot access, extract, correct, or delete any of its Accounting Materials from this storage. Microsoft will use the same security measures to protect Customer's Accounting Materials as it uses to protect other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After the Retention Period ends, Microsoft will delete Customer's Accounting Materials. Microsoft has no liability for the deletion of Customer's Accounting Materials.</w:t>
            </w:r>
          </w:p>
          <w:p>
            <w:pPr>
              <w:pStyle w:val="NormalWeb"/>
              <w:spacing w:before="150"/>
            </w:pPr>
            <w:r>
              <w:rPr>
                <w:rStyle w:val="Strong"/>
              </w:rPr>
              <w:t>Disclosure of Accounting Materials</w:t>
            </w:r>
          </w:p>
          <w:p>
            <w:pPr>
              <w:pStyle w:val="NormalWeb"/>
              <w:spacing w:before="150"/>
            </w:pPr>
            <w:r>
              <w:t>Microsoft will disclose or provide access to Customer's Accounting Materials to Danish Authorities as necessary to satisfy a request compelling such disclosure as required by the Bookkeeping Act. Other data a Customer stores in these Digital Standard Bookkeeping Systems is not subject to disclosure. The Danish Authorities are only authorized to request Accounting Materials from providers of Digital Standard Bookkeeping Systems if obtaining the information directly from the enterprise is not possible. Microsoft has no liability for the disclosure of Customer's Accounting Materials to any Danish Authority.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LinkedIn Sales Navigator</w:t>
            </w:r>
          </w:p>
          <w:p>
            <w:pPr>
              <w:pStyle w:val="NormalWeb"/>
              <w:spacing w:before="150"/>
            </w:pPr>
            <w:r>
              <w:t xml:space="preserve">LinkedIn Sales Navigator is provided by LinkedIn Corporation. Customer may use the LinkedIn Sales Navigator Service only to generate sales leads. Each user of LinkedIn Sales Navigator must be a member of LinkedIn and agree to be bound by the LinkedIn User Agreement available at </w:t>
            </w:r>
            <w:hyperlink r:id="rId80" w:tgtFrame="_blank" w:history="1">
              <w:r>
                <w:rPr>
                  <w:rStyle w:val="Hyperlink"/>
                  <w:color w:val="505050"/>
                </w:rPr>
                <w:t>https://www.linkedin.com/legal/preview/user-agreement</w:t>
              </w:r>
            </w:hyperlink>
            <w:r>
              <w:t xml:space="preserve">. Despite anything to the contrary in Customer's volume licensing agreement (including these Product Terms), the LinkedIn Privacy Policy available at </w:t>
            </w:r>
            <w:hyperlink r:id="rId81" w:tgtFrame="_blank" w:history="1">
              <w:r>
                <w:rPr>
                  <w:rStyle w:val="Hyperlink"/>
                  <w:color w:val="505050"/>
                </w:rPr>
                <w:t>https://www.linkedin.com/legal/privacy-policy</w:t>
              </w:r>
            </w:hyperlink>
            <w:r>
              <w:t xml:space="preserve"> will apply to Customer's use of the LinkedIn Sales Navigator service. LinkedIn Corporation (as data processor) and Customer (as data controller) will comply with the terms of the LinkedIn Data Processing Agreement located at </w:t>
            </w:r>
            <w:hyperlink r:id="rId82" w:tgtFrame="_blank" w:history="1">
              <w:r>
                <w:rPr>
                  <w:rStyle w:val="Hyperlink"/>
                  <w:color w:val="505050"/>
                </w:rPr>
                <w:t>https://legal.linkedin.com/dpa</w:t>
              </w:r>
            </w:hyperlink>
            <w: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Legacy Glint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Customer's access to and use of Legacy Glint Services are governed by the terms set forth in Customer's most recently active LinkedIn Order Form(s) for Legacy Glint Services. No Microsoft terms, including without limitation the Microsoft Product Terms, </w:t>
            </w:r>
            <w:hyperlink w:anchor="_Toc20"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or any agreements between Customer and Microsoft shall apply to Legacy Glint Services.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Other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If Intune Company Portal App is used to manage devices, the terms that apply to Microsoft Intune Online Services (as defined in the Core Online Services table in these Privacy &amp; Security Terms) apply to the use of Intune Company Portal App. Microsoft's commitments related to Intune Company Portal App do not extend to data processing, policies, or practices of third-party providers of mobile platforms on which Intune Company Portal App operates (e.g., Apple, Google).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Managed Devices and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Managed Desktop (MMD) integrates data (including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between other Microsoft Products including Windows, Microsoft Entra ID, Microsoft Intune, Microsoft Defender for Endpoint, Office, and Online Services as configured by Customer, if any (collectively for purposes of this provision the "MMD Integrated Services").  Once data is transferred between the MMD Integrated Services, that data is governed by the Product Terms applicable to the service in which it resides.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 xml:space="preserve">Use of data. </w:t>
            </w:r>
            <w:r>
              <w:t xml:space="preserve">As part of Microsoft's processing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to provide Dragon Copilot, Customer instructs Microsoft (and its Subprocessors)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Process (including via human review)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the purpose of training and developing the AI/ML models (including, without limitation, the generative AI foundational models and speech recognition and natural language understanding models) and features of Dragon Copilot and successor products and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(as defined below) to create de-identified health information in accordance with 45 C.F.R. § 164.514(b) and use and disclose such de-identified health information for any purpose permitted by law. This de-identified health information will be considered as excluded from the definition of Confidential Information under the Customer's volume licensing agreement;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to provide Data Aggregation services to Customer as permitted by 45 C.F.R. § 164.504(e)(2)(i)(B).</w:t>
            </w:r>
          </w:p>
          <w:p>
            <w:pPr>
              <w:pStyle w:val="NormalWeb"/>
              <w:spacing w:before="150"/>
            </w:pPr>
            <w:r>
              <w:t>"</w:t>
            </w:r>
            <w:r>
              <w:rPr>
                <w:rStyle w:val="Strong"/>
              </w:rPr>
              <w:t>Protected Health Information</w:t>
            </w:r>
            <w:r>
              <w:t>" or "</w:t>
            </w:r>
            <w:r>
              <w:rPr>
                <w:rStyle w:val="Strong"/>
              </w:rPr>
              <w:t>PHI</w:t>
            </w:r>
            <w:r>
              <w:t>"</w:t>
            </w:r>
            <w:r>
              <w:rPr>
                <w:rStyle w:val="Strong"/>
              </w:rPr>
              <w:t xml:space="preserve"> </w:t>
            </w:r>
            <w:r>
              <w:t xml:space="preserve">has the definition set forth under the HIPAA Business Associate Agreement available at </w:t>
            </w:r>
            <w:hyperlink r:id="rId83" w:tgtFrame="_blank" w:history="1">
              <w:r>
                <w:rPr>
                  <w:rStyle w:val="Hyperlink"/>
                  <w:color w:val="505050"/>
                </w:rPr>
                <w:t>http://aka.ms/BAA</w:t>
              </w:r>
            </w:hyperlink>
            <w:r>
              <w:t xml:space="preserve"> ("</w:t>
            </w:r>
            <w:r>
              <w:rPr>
                <w:rStyle w:val="Strong"/>
              </w:rPr>
              <w:t>BAA</w:t>
            </w:r>
            <w:r>
              <w:t>").</w:t>
            </w:r>
          </w:p>
          <w:p>
            <w:pPr>
              <w:pStyle w:val="NormalWeb"/>
              <w:spacing w:before="150"/>
            </w:pPr>
            <w:r>
              <w:t>Customer Data may contain PHI. Microsoft may use PHI for the purposes detailed under (1) above in accordance with the use permissions under Section 2.b of the BAA.</w:t>
            </w:r>
          </w:p>
          <w:p>
            <w:pPr>
              <w:pStyle w:val="NormalWeb"/>
              <w:spacing w:before="150"/>
            </w:pPr>
            <w:r>
              <w:t>If Customer does not agree with the instructions above, Customer should not use (or should discontinue its use of) Dragon Copilot.</w:t>
            </w:r>
          </w:p>
          <w:p>
            <w:pPr>
              <w:pStyle w:val="NormalWeb"/>
              <w:spacing w:before="150"/>
            </w:pPr>
            <w:r>
              <w:t xml:space="preserve">For more detail, see </w:t>
            </w:r>
            <w:hyperlink r:id="rId84" w:tgtFrame="_blank" w:history="1">
              <w:r>
                <w:rPr>
                  <w:rStyle w:val="Hyperlink"/>
                  <w:color w:val="505050"/>
                </w:rPr>
                <w:t>https://aka.ms/DragonData</w:t>
              </w:r>
            </w:hyperlink>
            <w:hyperlink r:id="rId84" w:history="1">
              <w:r>
                <w:rPr>
                  <w:rStyle w:val="Hyperlink"/>
                  <w:color w:val="505050"/>
                </w:rPr>
                <w:t>.</w:t>
              </w:r>
            </w:hyperlink>
          </w:p>
          <w:p>
            <w:pPr>
              <w:pStyle w:val="NormalWeb"/>
              <w:spacing w:before="150"/>
            </w:pPr>
            <w:r>
              <w:t>The standard terms regarding "Data Retention and Deletion", including the 90-day retention period following expiration or termination of a Customer's subscription, will apply to free trials of Dragon Copilot.</w:t>
            </w:r>
          </w:p>
          <w:p>
            <w:pPr>
              <w:pStyle w:val="NormalWeb"/>
              <w:spacing w:before="150"/>
            </w:pPr>
            <w:r>
              <w:rPr>
                <w:rStyle w:val="Strong"/>
              </w:rPr>
              <w:t>Nuance Speech Data</w:t>
            </w:r>
          </w:p>
          <w:p>
            <w:pPr>
              <w:pStyle w:val="NormalWeb"/>
              <w:spacing w:before="150"/>
            </w:pPr>
            <w:r>
              <w:t>The following terms apply to customers of Dragon Copilot who are also customers of the Dragon Medical One and/or Dragon Ambient eXperience (DAX) Copilot:</w:t>
            </w:r>
          </w:p>
          <w:p>
            <w:pPr>
              <w:pStyle w:val="NormalWeb"/>
              <w:spacing w:before="150"/>
            </w:pPr>
            <w:r>
              <w:t xml:space="preserve">By using Dragon Copilot, Customer instructs Microsoft to access and process </w:t>
            </w:r>
            <w:hyperlink w:anchor="_Toc20"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solely for the purpose of optimizing, adapting, and enhancing Customer's Dragon Copilot speech recognition experience. Microsoft will process the </w:t>
            </w:r>
            <w:hyperlink w:anchor="_Toc20"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in accordance with Customer's volume licensing agreement, including but not limited to the </w:t>
            </w:r>
            <w:hyperlink r:id="rId73" w:tgtFrame="_blank" w:history="1">
              <w:r>
                <w:rPr>
                  <w:rStyle w:val="Hyperlink"/>
                  <w:color w:val="505050"/>
                </w:rPr>
                <w:t>DPA</w:t>
              </w:r>
            </w:hyperlink>
            <w:r>
              <w:t>.</w:t>
            </w:r>
          </w:p>
          <w:p>
            <w:pPr>
              <w:pStyle w:val="NormalWeb"/>
              <w:spacing w:before="150"/>
            </w:pPr>
            <w:r>
              <w:rPr>
                <w:rStyle w:val="Strong"/>
              </w:rPr>
              <w:t>Dragon Copilot Subprocessors</w:t>
            </w:r>
          </w:p>
          <w:p>
            <w:pPr>
              <w:pStyle w:val="NormalWeb"/>
              <w:spacing w:before="150"/>
            </w:pPr>
            <w:r>
              <w:t xml:space="preserve">Information about Subprocessors used by Microsoft in conjunction with Dragon Copilot can be accessed at </w:t>
            </w:r>
            <w:hyperlink r:id="rId85" w:history="1">
              <w:r>
                <w:rPr>
                  <w:rStyle w:val="Hyperlink"/>
                  <w:color w:val="505050"/>
                </w:rPr>
                <w:t>https://aka.ms/DragonSubprocessors</w:t>
              </w:r>
            </w:hyperlink>
            <w:r>
              <w:t>.</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6"/>
        <w:gridCol w:w="1275"/>
        <w:gridCol w:w="67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Infrastructure and Other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FXT Edge Filer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0"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0"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Subscriptions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0"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for processed data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 Information on connected experiences in Visual Studio, including how to disable access to such experiences, is available here: </w:t>
            </w:r>
            <w:hyperlink r:id="rId86" w:tgtFrame="_blank" w:history="1">
              <w:r>
                <w:rPr>
                  <w:rStyle w:val="Hyperlink"/>
                  <w:color w:val="505050"/>
                </w:rPr>
                <w:t>https://docs.microsoft.com/visualstudio/ide/reference/connected-experiences?view=vs-2019</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diagnostic data processor configuration</w:t>
            </w:r>
          </w:p>
          <w:p>
            <w:pPr>
              <w:pStyle w:val="NormalWeb"/>
              <w:spacing w:before="150"/>
            </w:pPr>
            <w:r>
              <w:t>For Windows 10/11 Enterprise, Pro, and Education editions that support a Windows diagnostic data processor configuration, Microsoft is the processor for Windows diagnostic data collected from a device where such configuration is set. This configuration is set by joining a Microsoft Entra ID account to the device and taking any other necessary steps described in the Product documentation (</w:t>
            </w:r>
            <w:hyperlink r:id="rId87" w:tgtFrame="_blank" w:history="1">
              <w:r>
                <w:rPr>
                  <w:rStyle w:val="Hyperlink"/>
                  <w:color w:val="505050"/>
                </w:rPr>
                <w:t>www.aka.ms/wddprocessor</w:t>
              </w:r>
            </w:hyperlink>
            <w:r>
              <w:t>). Except as provided above, Microsoft will continue to be a controller of </w:t>
            </w:r>
            <w:hyperlink w:anchor="_Toc20" w:tooltip="Personal Data means any information relating to an identified or identifiable natural person." w:history="1">
              <w:r>
                <w:rPr>
                  <w:rStyle w:val="Hyperlink"/>
                  <w:color w:val="505050"/>
                </w:rPr>
                <w:t>Personal Data</w:t>
              </w:r>
            </w:hyperlink>
            <w:r>
              <w:t> processed in connection with your use of Windows, including data processed by Microsoft in connection with Customer's use of service-based capabilities. When Microsoft is a controller, Microsoft will handle the </w:t>
            </w:r>
            <w:hyperlink w:anchor="_Toc20" w:tooltip="Personal Data means any information relating to an identified or identifiable natural person." w:history="1">
              <w:r>
                <w:rPr>
                  <w:rStyle w:val="Hyperlink"/>
                  <w:color w:val="505050"/>
                </w:rPr>
                <w:t>Personal Data</w:t>
              </w:r>
            </w:hyperlink>
            <w:r>
              <w:t> in accordance with the Microsoft Privacy Statement (</w:t>
            </w:r>
            <w:hyperlink r:id="rId88" w:tgtFrame="_blank" w:history="1">
              <w:r>
                <w:rPr>
                  <w:rStyle w:val="Hyperlink"/>
                  <w:color w:val="505050"/>
                </w:rPr>
                <w:t>www.aka.ms/privacy</w:t>
              </w:r>
            </w:hyperlink>
            <w:r>
              <w:t>), and the </w:t>
            </w:r>
            <w:hyperlink w:anchor="_Toc20" w:tooltip="Data Protection Addendum (DPA) means the Microsoft Products and Services Data Protection Addendum published at https://aka.ms/DPA." w:history="1">
              <w:r>
                <w:rPr>
                  <w:rStyle w:val="Hyperlink"/>
                  <w:color w:val="505050"/>
                </w:rPr>
                <w:t>Data Protection Addendum</w:t>
              </w:r>
            </w:hyperlink>
            <w:r>
              <w:t> (</w:t>
            </w:r>
            <w:hyperlink r:id="rId89" w:tgtFrame="_blank" w:history="1">
              <w:r>
                <w:rPr>
                  <w:rStyle w:val="Hyperlink"/>
                  <w:color w:val="505050"/>
                </w:rPr>
                <w:t>www.aka.ms/DPA</w:t>
              </w:r>
            </w:hyperlink>
            <w:r>
              <w:t>) terms do not apply.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Windows Server Standard, Datacenter, and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Server Products data processing</w:t>
            </w:r>
          </w:p>
          <w:p>
            <w:pPr>
              <w:pStyle w:val="NormalWeb"/>
              <w:spacing w:before="150"/>
            </w:pPr>
            <w:r>
              <w:t>Microsoft will be a controller of </w:t>
            </w:r>
            <w:hyperlink w:anchor="_Toc20" w:tooltip="Personal Data means any information relating to an identified or identifiable natural person." w:history="1">
              <w:r>
                <w:rPr>
                  <w:rStyle w:val="Hyperlink"/>
                  <w:color w:val="505050"/>
                </w:rPr>
                <w:t>Personal Data</w:t>
              </w:r>
            </w:hyperlink>
            <w:r>
              <w:t> processed in connection with your use of Windows Server Products. When Microsoft is a controller, Microsoft will handle the </w:t>
            </w:r>
            <w:hyperlink w:anchor="_Toc20"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20" w:tooltip="Data Protection Addendum (DPA) means the Microsoft Products and Services Data Protection Addendum published at https://aka.ms/DPA." w:history="1">
              <w:r>
                <w:rPr>
                  <w:rStyle w:val="Hyperlink"/>
                  <w:color w:val="505050"/>
                </w:rPr>
                <w:t>Data Protection Addendum</w:t>
              </w:r>
            </w:hyperlink>
            <w:r>
              <w:t> terms do not apply. Please see the Product documentation for details on any processing of </w:t>
            </w:r>
            <w:hyperlink w:anchor="_Toc20" w:tooltip="Personal Data means any information relating to an identified or identifiable natural person." w:history="1">
              <w:r>
                <w:rPr>
                  <w:rStyle w:val="Hyperlink"/>
                  <w:color w:val="505050"/>
                </w:rPr>
                <w:t>Personal Data</w:t>
              </w:r>
            </w:hyperlink>
            <w:r>
              <w:t> in connection with Windows Server Products and Customer's configuration options.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Unless stated otherwise, Microsoft is a controller of </w:t>
      </w:r>
      <w:hyperlink w:anchor="_Toc20" w:tooltip="Personal Data means any information relating to an identified or identifiable natural person." w:history="1">
        <w:r>
          <w:rPr>
            <w:rStyle w:val="Hyperlink"/>
            <w:color w:val="505050"/>
          </w:rPr>
          <w:t>Personal Data</w:t>
        </w:r>
      </w:hyperlink>
      <w:r>
        <w:t> processed in connection with Customer's use of Internet-based features in software Products.  When Microsoft is a controller for Internet-based features, Microsoft will handle the </w:t>
      </w:r>
      <w:hyperlink w:anchor="_Toc20"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20" w:tooltip="Data Protection Addendum (DPA) means the Microsoft Products and Services Data Protection Addendum published at https://aka.ms/DPA." w:history="1">
        <w:r>
          <w:rPr>
            <w:rStyle w:val="Hyperlink"/>
            <w:color w:val="505050"/>
          </w:rPr>
          <w:t>Data Protection Addendum</w:t>
        </w:r>
      </w:hyperlink>
      <w:r>
        <w:t> terms do not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Separate terms, including different privacy and security terms, govern Customer's use of Non-Microsoft Products (as defined in the </w:t>
      </w:r>
      <w:hyperlink r:id="rId46"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DPA Terms Geography Exclusions</w:t>
      </w:r>
    </w:p>
    <w:p>
      <w:pPr>
        <w:pStyle w:val="NormalWeb"/>
        <w:spacing w:after="150"/>
      </w:pPr>
      <w:r>
        <w:t xml:space="preserve">For Dynamics 365 and Power Platform online services, the specific terms of the </w:t>
      </w:r>
      <w:hyperlink w:anchor="_Toc20" w:tooltip="Data Protection Addendum (DPA) means the Microsoft Products and Services Data Protection Addendum published at https://aka.ms/DPA." w:history="1">
        <w:r>
          <w:rPr>
            <w:rStyle w:val="Hyperlink"/>
            <w:color w:val="505050"/>
          </w:rPr>
          <w:t>DPA</w:t>
        </w:r>
      </w:hyperlink>
      <w:r>
        <w:t xml:space="preserve"> as noted in Appendix A stating "Microsoft stores copies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data recovery procedures in a different place from where the primary computer equipment processing the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located." do not apply to the following geographies: United Arab Emirates and South Africa.</w:t>
      </w:r>
    </w:p>
    <w:p>
      <w:pPr>
        <w:pStyle w:val="Heading3"/>
        <w:spacing w:before="150" w:beforeAutospacing="0"/>
        <w:rPr>
          <w:rFonts w:eastAsia="Times New Roman"/>
          <w:color w:val="0078D4"/>
          <w:sz w:val="26"/>
          <w:szCs w:val="26"/>
        </w:rPr>
      </w:pPr>
      <w:r>
        <w:rPr>
          <w:rFonts w:eastAsia="Times New Roman"/>
          <w:color w:val="0078D4"/>
          <w:sz w:val="26"/>
          <w:szCs w:val="26"/>
        </w:rPr>
        <w:t>Core Online Services</w:t>
      </w:r>
    </w:p>
    <w:p>
      <w:pPr>
        <w:pStyle w:val="NormalWeb"/>
        <w:spacing w:after="150"/>
      </w:pPr>
      <w:r>
        <w:t>The term "Core Online Services" applies only to the services in the table below, excluding any Previews.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11"/>
        <w:gridCol w:w="81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Dynamics 365 branded plan or application: Dynamics 365 Contact Center, Dynamics 365 Customer Service, Dynamics 365 Customer Insights, Dynamics 365 Field Service, Dynamics 365 Business Central, Dynamics 365 Supply Chain Management, Dynamics 365 Intelligent Order Management, Dynamics 365 Finance, Dynamics 365 Commerce, Dynamics 365 Human Resources, Dynamics 365 Project Operations, and Dynamics 365 Sales. Dynamics 365 Core Services do not include (1) Dynamics 365 Services for supported devices or software, which includes but is not limited to Dynamics 365 for apps, tablets, phones, or any of these; (2) LinkedIn Sales Navigator; or (3) except as expressly defined in the licensing terms for the corresponding service, any other separately-branded service made available with or connected to Dynamics 365 Core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365-branded plan or suite: Customer Lockbox, Exchange Online Archiving, Exchange Online Protection, Exchange Online, Microsoft Bookings, Microsoft Forms, Microsoft Planner, Microsoft Stream (Classic), Microsoft Teams,  Microsoft To-Do, Microsoft Defender for Office 365, Office for the web, OneDrive for work or school, Project, SharePoint, Sway, Viva Insights, Whiteboard, Viva Engage, and Microsoft 365 Copilot. Office 365 Services do not include Microsoft 365 Apps for enterprise, any portion of a PSTN service that operates outside of Microsoft's control, any client software, or any separately branded service made available with an Office 365 or Microsoft 365-branded plan or suite, such as a Bing or a service branded "for Office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Microsoft 365-branded plan or suite: Microsoft Purview Customer Lockbox, Microsoft Purview Data Loss Prevention, Microsoft Purview Customer Key, Microsoft Purview Data Lifecycle Management, Microsoft Purview Information Barriers, Microsoft Purview Privileged Access Management, Microsoft Purview Compliance Manager, Microsoft Purview Information Protection, Microsoft Purview-Insider Risk Management, Microsoft Purview Communication Compliance, Microsoft Purview Records Management, Microsoft Purview eDiscovery, and Microsoft Purview Audit, Microsoft Priva Privacy Risk Management, and Microsoft Priva Subject Rights Request.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Azure AI Content Safety, Anomaly Detector, API Management, App Service (API Apps, Logic Apps, Mobile Apps, WebJobs, Functions), Lab Services, Application Gateway, Azure Monitor, Automation, Azure API for FHIR, Azure App Configuration, Azure Bastion, Azure AI Bot Service, Azure Cache for Redis, Azure AI Search, Azure Communication Services, Azure Container Apps, Azure Container Instances, Azure Container Registry (ACR), Azure Cosmos DB, Azure Data Explorer,  Azure Database for MySQL, Azure Database for PostgreSQL, Azure Databricks, Azure DDOS Protection, Azure DevOps, Azure DNS, Microsoft Entra ID, Azure Event Grid, Microsoft Fabric, Azure Firewall, Azure AI Document Intelligence, Azure Health Data Services,  Azure AI Immersive Reader, Azure Kubernetes Service, Azure Managed Grafana, Azure Machine Learning, Azure AI Metrics Advisor, Azure NetApp Files, Microsoft Foundry Models (includes Azure OpenAI), Azure Red Hat OpenShift, Azure VMware Solution, Microsoft Purview Data Map (Classic), Microsoft Purview Data Catalog (Classic), Microsoft Purview Data Estate Insights (Classic), Microsoft Purview Data Policies (Classic), Azure Resource Manager, Azure Spring Apps, Azure Time Series Insights, Azure AI Video Indexers, Azure Web PubSub, Backup, Batch, Cloud Services, Computer Vision, Content Moderator, Azure AI Custom Vision, Data Factory, Data Lake Analytics, Data Lake Store, Event Hubs, Express Route, Face,  HDInsight, Import/Export, IoT Hub, Key Vault, Language Understanding, Load Balancer, Media Services, Microsoft Azure Portal, Notification Hubs, Azure AI Personalizer, Power BI Embedded, QnA Maker, Microsoft Defender for Cloud, Service Bus, Service Connector, Service Fabric, Azure SignalR Service, Site Recovery, Speech Services, SQL Database, SQL Managed Instance, SQL Server Stretch Database, Storage, StorSimple, Stream Analytics, Synapse Analytics, Text Analytics, Traffic Manager, Azure AI Translator, Virtual Machines, Virtual Machine Scale Sets, Virtual Network, and VPN Gateway.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Dynamics 365 branded plan or suite: Microsoft Power BI, Microsoft Power Apps, Microsoft Power Automate, Microsoft Power Pages, and Microsoft Copilot Studio. Microsoft Power Platform Core Services do not include any client software, including but not limited to Power BI Report Server, the Power BI, PowerApps or Microsoft Power Automate mobile applications, Power BI Desktop, or Power Apps Studio.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 used with a work or school account.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Experts.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for Cloud Apps (formerly Microsoft Cloud App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Endpoint.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XDR.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Sentinel.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Windows 365, excluding the Windows operating system running on Windows 365 Cloud PCs.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Practices and Policies for Core Online Services</w:t>
      </w:r>
    </w:p>
    <w:p>
      <w:pPr>
        <w:pStyle w:val="NormalWeb"/>
        <w:spacing w:after="150"/>
      </w:pPr>
      <w:r>
        <w:t xml:space="preserve">In addition to the security practices and policies for Online Services in the </w:t>
      </w:r>
      <w:hyperlink w:anchor="_Toc20" w:tooltip="Data Protection Addendum (DPA) means the Microsoft Products and Services Data Protection Addendum published at https://aka.ms/DPA." w:history="1">
        <w:r>
          <w:rPr>
            <w:rStyle w:val="Hyperlink"/>
            <w:color w:val="505050"/>
          </w:rPr>
          <w:t>DPA</w:t>
        </w:r>
      </w:hyperlink>
      <w:r>
        <w:t xml:space="preserve">, each Core Online Service also complies with the control standards and frameworks shown in the table below and implements and maintains the security measures set forth in Appendix A of the </w:t>
      </w:r>
      <w:hyperlink w:anchor="_Toc20" w:tooltip="Data Protection Addendum (DPA) means the Microsoft Products and Services Data Protection Addendum published at https://aka.ms/DPA." w:history="1">
        <w:r>
          <w:rPr>
            <w:rStyle w:val="Hyperlink"/>
            <w:color w:val="505050"/>
          </w:rPr>
          <w:t>DPA</w:t>
        </w:r>
      </w:hyperlink>
      <w:r>
        <w:t xml:space="preserve"> for the protection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91"/>
        <w:gridCol w:w="2570"/>
        <w:gridCol w:w="25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1 Type II</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2 Type II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bl>
    <w:p>
      <w:pPr>
        <w:pStyle w:val="NormalWeb"/>
      </w:pPr>
      <w:r>
        <w:t>*</w:t>
      </w:r>
      <w:r>
        <w:rPr>
          <w:i/>
          <w:iCs/>
        </w:rPr>
        <w:t>Current scope is detailed in the audit report and summarized in the Microsoft Trust Center.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at Rest for Core Online Services</w:t>
      </w:r>
    </w:p>
    <w:p>
      <w:pPr>
        <w:pStyle w:val="NormalWeb"/>
        <w:spacing w:after="150"/>
      </w:pPr>
      <w:r>
        <w:t>For the Core Online Services, Microsoft will store Customer Data at rest within certain major geographic areas (each, a Geo) as follows except as otherwise provided in the Online Service-specific terms:</w:t>
      </w:r>
    </w:p>
    <w:p>
      <w:pPr>
        <w:numPr>
          <w:ilvl w:val="0"/>
          <w:numId w:val="3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Office 365 Services.</w:t>
      </w:r>
      <w:r>
        <w:rPr>
          <w:rFonts w:ascii="Segoe UI" w:eastAsia="Times New Roman" w:hAnsi="Segoe UI" w:cs="Segoe UI"/>
          <w:color w:val="505050"/>
          <w:sz w:val="18"/>
          <w:szCs w:val="18"/>
        </w:rPr>
        <w:t xml:space="preserve"> If Customer provisions its tenant in Australia, Brazil, Canada, the European Union, France, Germany, India, Japan, Norway, Qatar, South Africa, South Korea, Sweden, Switzerland, the United Kingdom, the United Arab Emirates, or the United States, Microsoft will store the following Customer Data at rest only within that Geo: (1) Exchange Online mailbox content (e-mail body, calendar entries, and the content of e-mail attachments), (2) SharePoint Online site content and the files stored within that site, (3) files uploaded to OneDrive (work/school), (4) Microsoft Teams chat messages (including private messages, channel messages, meeting messages and images used in chats), and for customers using Microsoft Stream (Classic) (on SharePoint) meeting recordings, and (5) any stored content of interactions with Microsoft 365 Copilot or Microsoft 365 Copilot Chat to the extent not included in the preceding commitments. If Customer purchases an Advanced Data Residency subscription, then Microsoft will store certain Customer Data at rest in the applicable Geo in accordance with this section and the "Advanced Data Residency Commitments" section of the product documentation at </w:t>
      </w:r>
      <w:hyperlink r:id="rId90" w:tgtFrame="_blank" w:history="1">
        <w:r>
          <w:rPr>
            <w:rStyle w:val="Hyperlink"/>
            <w:rFonts w:ascii="Segoe UI" w:eastAsia="Times New Roman" w:hAnsi="Segoe UI" w:cs="Segoe UI"/>
            <w:color w:val="505050"/>
            <w:sz w:val="18"/>
            <w:szCs w:val="18"/>
          </w:rPr>
          <w:t>https://aka.ms/adroverview</w:t>
        </w:r>
      </w:hyperlink>
      <w:r>
        <w:rPr>
          <w:rFonts w:ascii="Segoe UI" w:eastAsia="Times New Roman" w:hAnsi="Segoe UI" w:cs="Segoe UI"/>
          <w:color w:val="505050"/>
          <w:sz w:val="18"/>
          <w:szCs w:val="18"/>
        </w:rPr>
        <w:t>. </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Intune Online Services</w:t>
      </w:r>
      <w:r>
        <w:rPr>
          <w:rFonts w:ascii="Segoe UI" w:eastAsia="Times New Roman" w:hAnsi="Segoe UI" w:cs="Segoe UI"/>
          <w:color w:val="505050"/>
          <w:sz w:val="18"/>
          <w:szCs w:val="18"/>
        </w:rPr>
        <w:t xml:space="preserve">. For Microsoft Intune online services, Microsoft stores Customer Data at rest within particular Geos as described in these terms </w:t>
      </w:r>
      <w:hyperlink r:id="rId91" w:tgtFrame="_blank" w:history="1">
        <w:r>
          <w:rPr>
            <w:rStyle w:val="Hyperlink"/>
            <w:rFonts w:ascii="Segoe UI" w:eastAsia="Times New Roman" w:hAnsi="Segoe UI" w:cs="Segoe UI"/>
            <w:color w:val="505050"/>
            <w:sz w:val="18"/>
            <w:szCs w:val="18"/>
          </w:rPr>
          <w:t>https://learn.microsoft.com/intune/intune-service/protect/privacy-data-store-process</w:t>
        </w:r>
      </w:hyperlink>
      <w:r>
        <w:rPr>
          <w:rFonts w:ascii="Segoe UI" w:eastAsia="Times New Roman" w:hAnsi="Segoe UI" w:cs="Segoe UI"/>
          <w:color w:val="505050"/>
          <w:sz w:val="18"/>
          <w:szCs w:val="18"/>
        </w:rPr>
        <w: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Power Platform Core Services</w:t>
      </w:r>
      <w:r>
        <w:rPr>
          <w:rFonts w:ascii="Segoe UI" w:eastAsia="Times New Roman" w:hAnsi="Segoe UI" w:cs="Segoe UI"/>
          <w:color w:val="505050"/>
          <w:sz w:val="18"/>
          <w:szCs w:val="18"/>
        </w:rPr>
        <w:t>. When Customer provisions a Power Platform Core Service to be deployed within an available Geo, then, for that service, Microsoft will store Customer Data at rest within that specified Geo, except as described in the Microsoft Power Platform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Azure Core Services</w:t>
      </w:r>
      <w:r>
        <w:rPr>
          <w:rFonts w:ascii="Segoe UI" w:eastAsia="Times New Roman" w:hAnsi="Segoe UI" w:cs="Segoe UI"/>
          <w:color w:val="505050"/>
          <w:sz w:val="18"/>
          <w:szCs w:val="18"/>
        </w:rPr>
        <w:t xml:space="preserve">.  Customer may configure certain Azure services to be deployed within a specific Geo. See </w:t>
      </w:r>
      <w:hyperlink r:id="rId92" w:tgtFrame="_blank" w:history="1">
        <w:r>
          <w:rPr>
            <w:rStyle w:val="Hyperlink"/>
            <w:rFonts w:ascii="Segoe UI" w:eastAsia="Times New Roman" w:hAnsi="Segoe UI" w:cs="Segoe UI"/>
            <w:color w:val="505050"/>
            <w:sz w:val="18"/>
            <w:szCs w:val="18"/>
          </w:rPr>
          <w:t>https://azure.microsoft.com/en-us/explore/global-infrastructure/products-by-region/table</w:t>
        </w:r>
      </w:hyperlink>
      <w:r>
        <w:rPr>
          <w:rFonts w:ascii="Segoe UI" w:eastAsia="Times New Roman" w:hAnsi="Segoe UI" w:cs="Segoe UI"/>
          <w:color w:val="505050"/>
          <w:sz w:val="18"/>
          <w:szCs w:val="18"/>
        </w:rPr>
        <w:t xml:space="preserve">, or a successor site. If Customer configures a particular service to be deployed within a Geo then, for that service, Microsoft will store Customer Data at rest within the specified Geo. Certain services may not enable Customer to configure deployment in a particular Geo or outside the United States and may store backups in other locations. Refer to the </w:t>
      </w:r>
      <w:hyperlink r:id="rId93" w:tgtFrame="_blank" w:history="1">
        <w:r>
          <w:rPr>
            <w:rStyle w:val="Hyperlink"/>
            <w:rFonts w:ascii="Segoe UI" w:eastAsia="Times New Roman" w:hAnsi="Segoe UI" w:cs="Segoe UI"/>
            <w:color w:val="505050"/>
            <w:sz w:val="18"/>
            <w:szCs w:val="18"/>
          </w:rPr>
          <w:t>Microsoft Trust Center</w:t>
        </w:r>
      </w:hyperlink>
      <w:r>
        <w:rPr>
          <w:rFonts w:ascii="Segoe UI" w:eastAsia="Times New Roman" w:hAnsi="Segoe UI" w:cs="Segoe UI"/>
          <w:color w:val="505050"/>
          <w:sz w:val="18"/>
          <w:szCs w:val="18"/>
        </w:rPr>
        <w:t xml:space="preserve"> (which Microsoft may update from time to time, but Microsoft will not add exceptions for existing Services in general release) for more details.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365 Copilot for Sales.</w:t>
      </w:r>
      <w:r>
        <w:rPr>
          <w:rFonts w:ascii="Segoe UI" w:eastAsia="Times New Roman" w:hAnsi="Segoe UI" w:cs="Segoe UI"/>
          <w:color w:val="505050"/>
          <w:sz w:val="18"/>
          <w:szCs w:val="18"/>
        </w:rPr>
        <w:t>  When Microsoft 365 Copilot for Sales generates Customer Data, and if a Customer provisions a Dynamics 365 Core Service to be deployed within an available Geo, then that Customer Data is stored at rest within that specified Geo, except as described in the Microsoft Dynamics 365 Trust Center. When Microsoft 365 Copilot for Sales generates Customer Data, and a Customer is using a third-party customer relationship management system, Microsoft 365 Copilot for Sales stores that Customer Data at rest according to where the Customer provisioned its tenant, as described above, in Office 365 Services. Underlying Customer Data associated with Office 365 Services and Microsoft Dynamics 365 (and not generated by Microsoft 365 Copilot for Sales) remains subject to the respective statements above for those services.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Cloud Apps</w:t>
      </w:r>
      <w:r>
        <w:rPr>
          <w:rFonts w:ascii="Segoe UI" w:eastAsia="Times New Roman" w:hAnsi="Segoe UI" w:cs="Segoe UI"/>
          <w:color w:val="505050"/>
          <w:sz w:val="18"/>
          <w:szCs w:val="18"/>
        </w:rPr>
        <w:t>. If Customer provisions its tenant in the European Union or the United States, Microsoft will store Customer Data at rest only within that Geo, except as described in the Microsoft Defender for Cloud Apps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Dynamics 365 Core Services</w:t>
      </w:r>
      <w:r>
        <w:rPr>
          <w:rFonts w:ascii="Segoe UI" w:eastAsia="Times New Roman" w:hAnsi="Segoe UI" w:cs="Segoe UI"/>
          <w:color w:val="505050"/>
          <w:sz w:val="18"/>
          <w:szCs w:val="18"/>
        </w:rPr>
        <w:t>. When Customer provisions a Dynamics 365 Core Service to be deployed within an available Geo, then, for that service, Microsoft will store Customer Data at rest within that specified Geo, except as described in the Microsoft Dynamics 365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Endpoint Services</w:t>
      </w:r>
      <w:r>
        <w:rPr>
          <w:rFonts w:ascii="Segoe UI" w:eastAsia="Times New Roman" w:hAnsi="Segoe UI" w:cs="Segoe UI"/>
          <w:color w:val="505050"/>
          <w:sz w:val="18"/>
          <w:szCs w:val="18"/>
        </w:rPr>
        <w:t>. When Customer provisions a Microsoft Defender for Endpoint tenant to be deployed within an available Geo, then, for that service, Microsoft will store Customer Data at rest within that specified Geo except as noted in the Microsoft Defender for Endpoint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Microsoft Defender for Identity. </w:t>
      </w:r>
      <w:r>
        <w:rPr>
          <w:rFonts w:ascii="Segoe UI" w:eastAsia="Times New Roman" w:hAnsi="Segoe UI" w:cs="Segoe UI"/>
          <w:color w:val="505050"/>
          <w:sz w:val="18"/>
          <w:szCs w:val="18"/>
        </w:rPr>
        <w:t>When Customer provisions a Microsoft Defender for Identity tenant to be deployed within an available Geo, then, for that service, Microsoft will store Customer Data at rest within that specified Geo except as noted in the Microsoft Defender for Identity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XDR</w:t>
      </w:r>
      <w:r>
        <w:rPr>
          <w:rFonts w:ascii="Segoe UI" w:eastAsia="Times New Roman" w:hAnsi="Segoe UI" w:cs="Segoe UI"/>
          <w:color w:val="505050"/>
          <w:sz w:val="18"/>
          <w:szCs w:val="18"/>
        </w:rPr>
        <w:t>. When Customer provisions a Microsoft Defender XDR tenant to be deployed within an available Geo, then, for that service, Microsoft will store Customer Data at rest within that specified Geo except as noted in the Microsoft Defender XDR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Except as described in the Microsoft Dragon Copilot product documentation: (1) for Customers with a Microsoft 365/Microsoft Entra ID tenant deployed in the US, Canada, France or Germany, Microsoft will store Customer Data at rest within that Geo for Microsoft Dragon Copilot; (2) for Customers with a Microsoft 365/Microsoft Entra ID tenant deployed in Ireland or Belgium, Microsoft will store Customer Data at rest in France for Microsoft Dragon Copilot; and (3) for Customers with a Microsoft 365/Microsoft Entra ID tenant deployed in Austria or the Netherlands, Microsoft will store Customer Data at rest in Germany for Microsoft Dragon Copilot.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Windows 365</w:t>
      </w:r>
      <w:r>
        <w:rPr>
          <w:rFonts w:ascii="Segoe UI" w:eastAsia="Times New Roman" w:hAnsi="Segoe UI" w:cs="Segoe UI"/>
          <w:color w:val="505050"/>
          <w:sz w:val="18"/>
          <w:szCs w:val="18"/>
        </w:rPr>
        <w:t>. When a Windows 365 tenant is deployed within an available Geo, then, for that tenant, Microsoft will store Customer Data at rest within that specified Geo. If Customer provisions Windows 365 Cloud PCs within the same tenant to different available Geos, then, for each Cloud PC, Microsoft will store Cloud PC Customer Data at rest within that specified Geo.</w:t>
      </w:r>
    </w:p>
    <w:p>
      <w:pPr>
        <w:pStyle w:val="Heading3"/>
        <w:spacing w:before="150" w:beforeAutospacing="0"/>
        <w:rPr>
          <w:rFonts w:eastAsia="Times New Roman"/>
          <w:color w:val="0078D4"/>
          <w:sz w:val="26"/>
          <w:szCs w:val="26"/>
        </w:rPr>
      </w:pPr>
      <w:r>
        <w:rPr>
          <w:rFonts w:eastAsia="Times New Roman"/>
          <w:color w:val="0078D4"/>
          <w:sz w:val="26"/>
          <w:szCs w:val="26"/>
        </w:rPr>
        <w:t>EU Data Boundary Services</w:t>
      </w:r>
    </w:p>
    <w:p>
      <w:pPr>
        <w:pStyle w:val="NormalWeb"/>
        <w:spacing w:after="150"/>
      </w:pPr>
      <w:r>
        <w:t>The term "EU Data Boundary" means the Microsoft computers, computing environment, and physical data centers located solely in the European Union (EU) and the European Free Trade Association (EFTA). The term "EU Data Boundary Services" applies only to the Online Services in the table below, excluding any Previews. </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99"/>
        <w:gridCol w:w="5131"/>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EU Data Boundary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Ind w:w="600" w:type="dxa"/>
          <w:tblCellMar>
            <w:top w:w="15" w:type="dxa"/>
            <w:left w:w="15" w:type="dxa"/>
            <w:bottom w:w="15" w:type="dxa"/>
            <w:right w:w="15" w:type="dxa"/>
          </w:tblCellMar>
        </w:tblPrEx>
        <w:tc>
          <w:tcPr>
            <w:tcW w:w="3299" w:type="dxa"/>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Azure</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Azure services that enable deployment in a region within the EU Data Boundary (see: </w:t>
            </w:r>
            <w:hyperlink r:id="rId92" w:tgtFrame="_blank" w:history="1">
              <w:r>
                <w:rPr>
                  <w:rStyle w:val="Hyperlink"/>
                  <w:rFonts w:ascii="Segoe UI" w:eastAsia="Times New Roman" w:hAnsi="Segoe UI" w:cs="Segoe UI"/>
                  <w:sz w:val="16"/>
                  <w:szCs w:val="16"/>
                </w:rPr>
                <w:t>https://azure.microsoft.com/explore/global-infrastructure/products-by-region/table</w:t>
              </w:r>
            </w:hyperlink>
            <w:r>
              <w:rPr>
                <w:rFonts w:ascii="Segoe UI" w:eastAsia="Times New Roman" w:hAnsi="Segoe UI" w:cs="Segoe UI"/>
                <w:sz w:val="16"/>
                <w:szCs w:val="16"/>
              </w:rPr>
              <w:t>) and the following non-regional services: Azure Active Directory B2C, Azure Advisor, Azure Bot Service, Cloud Shell, Azure Communication Services, Azure Data Box, Azure DNS, Microsoft Entra ID, Microsoft Fabric, Azure Kubernetes Service on Azure Local, Azure Lighthouse, Azure Managed Applications, Azure Migrate, Azure Monitor, Azure Resource Manager, Azure Resource Mover, Azure Service Health, Azure Sphere, Azure Stack Edge, Azure Local, Azure Stack Hub, Azure Virtual Desktop, Azure VM Image Builder, Power BI Embedded, Traffic Manager, Translator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Dynamics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Dynamics 365 Commerce, Dynamics 365 Customer Insights, Dynamics 365 Customer Service, Dynamics 365 Customer Voice, Dynamics 365 Field Service, Dynamics 365 Finance, Dynamics 365 Guides, Dynamics 365 Intelligent Order Management, Dynamics 365 Project Operations, Dynamics 365 Remote Assist, Dynamics 365 Sales, Dynamics 365 Supply Chain Management</w:t>
            </w:r>
          </w:p>
        </w:tc>
      </w:tr>
      <w:tr>
        <w:tblPrEx>
          <w:tblW w:w="5000" w:type="pct"/>
          <w:tblInd w:w="600" w:type="dxa"/>
          <w:tblCellMar>
            <w:top w:w="15" w:type="dxa"/>
            <w:left w:w="15" w:type="dxa"/>
            <w:bottom w:w="15" w:type="dxa"/>
            <w:right w:w="15" w:type="dxa"/>
          </w:tblCellMar>
        </w:tblPrEx>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Cloud PC, Customer Lockbox, Exchange Online, Exchange Online Archiving for Exchange Online, Microsoft Bookings, Microsoft Forms, Microsoft MyAnalytics, Microsoft Planner, Microsoft Purview Audit, Microsoft Purview Communication Compliance, Microsoft Purview Compliance Manager, Microsoft Purview Customer Key, Microsoft Purview Customer Lockbox, Microsoft Purview Data Lifecycle Management, Microsoft Purview Data Loss Prevention, Microsoft Purview eDiscovery, Microsoft Purview Information Barriers, Microsoft Purview Information Protection, Microsoft Purview-Insider Risk Management, Microsoft Purview Privileged Access Management, Microsoft Purview Records Management, Microsoft StaffHub, Microsoft Stream (Classic) (on SharePoint), Microsoft Teams,  Microsoft To-Do,  Office for the web, Online Services provided as part of Microsoft 365 Apps, OneDrive (work/school), SharePoint Online, Sway, Whiteboard, Viva Engage, Microsoft 365 Copilot, Microsoft 365 Copilot Chat, Communications Compliance, eDiscovery and Audit, Insider Risk Management, Information Barriers, Microsoft Intune, Priva Privacy Risk Management, Priva Subject Rights Management, Microsoft Viva Answers, Microsoft Viva Connections, Microsoft Viva Engage, Microsoft Viva Glint, Microsoft Viva Goals, Microsoft Viva Insights, Microsoft Viva Learning, and Microsoft Viva Pulse</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Power Platform</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Apps, Microsoft Power Automate, Microsoft Power BI, Microsoft Power Pages, Microsoft Copilot Studio</w:t>
            </w:r>
          </w:p>
        </w:tc>
      </w:tr>
    </w:tbl>
    <w:p>
      <w:pPr>
        <w:rPr>
          <w:rFonts w:eastAsia="Times New Roman"/>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Personal Data, and Professional Services Data for EU Data Boundary Services</w:t>
      </w:r>
    </w:p>
    <w:p>
      <w:pPr>
        <w:pStyle w:val="NormalWeb"/>
        <w:spacing w:after="150"/>
      </w:pPr>
      <w:r>
        <w:t xml:space="preserve">For EU Data Boundary Services, Microsoft will store and process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20" w:tooltip="Personal Data means any information relating to an identified or identifiable natural person." w:history="1">
        <w:r>
          <w:rPr>
            <w:rStyle w:val="Hyperlink"/>
            <w:color w:val="505050"/>
          </w:rPr>
          <w:t>Personal Data</w:t>
        </w:r>
      </w:hyperlink>
      <w:r>
        <w:t xml:space="preserve">, and store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at rest within the EU Data Boundary as detailed below.</w:t>
      </w:r>
    </w:p>
    <w:p>
      <w:pPr>
        <w:pStyle w:val="NormalWeb"/>
        <w:spacing w:before="150"/>
      </w:pPr>
      <w:r>
        <w:t>Customer must configure EU Data Boundary Services as follows:</w:t>
      </w:r>
    </w:p>
    <w:p>
      <w:pPr>
        <w:numPr>
          <w:ilvl w:val="0"/>
          <w:numId w:val="3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Azure</w:t>
      </w:r>
      <w:r>
        <w:rPr>
          <w:rFonts w:ascii="Segoe UI" w:eastAsia="Times New Roman" w:hAnsi="Segoe UI" w:cs="Segoe UI"/>
          <w:color w:val="505050"/>
          <w:sz w:val="18"/>
          <w:szCs w:val="18"/>
        </w:rPr>
        <w:t>, Customer must deploy the service into an Azure region located within the EU Data Boundary. See Data Residency in Azure (</w:t>
      </w:r>
      <w:hyperlink r:id="rId94" w:tgtFrame="_blank" w:history="1">
        <w:r>
          <w:rPr>
            <w:rStyle w:val="Hyperlink"/>
            <w:rFonts w:ascii="Segoe UI" w:eastAsia="Times New Roman" w:hAnsi="Segoe UI" w:cs="Segoe UI"/>
            <w:color w:val="505050"/>
            <w:sz w:val="18"/>
            <w:szCs w:val="18"/>
          </w:rPr>
          <w:t>https://azure.microsoft.com/explore/global-infrastructure/data-residency</w:t>
        </w:r>
      </w:hyperlink>
      <w:r>
        <w:rPr>
          <w:rFonts w:ascii="Segoe UI" w:eastAsia="Times New Roman" w:hAnsi="Segoe UI" w:cs="Segoe UI"/>
          <w:color w:val="505050"/>
          <w:sz w:val="18"/>
          <w:szCs w:val="18"/>
        </w:rPr>
        <w:t>) for more information. For services that do not enable deployment into a specified Azure region, Customer must follow the instructions at Configuring Azure non-regional services for the EU Data Boundary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 xml:space="preserve">). To store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in the EU Data Boundary for Azure, Customer must configure Azure Resource Manager to the EU Data Boundary as described in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Dynamics 365 and Power Platform</w:t>
      </w:r>
      <w:r>
        <w:rPr>
          <w:rFonts w:ascii="Segoe UI" w:eastAsia="Times New Roman" w:hAnsi="Segoe UI" w:cs="Segoe UI"/>
          <w:color w:val="505050"/>
          <w:sz w:val="18"/>
          <w:szCs w:val="18"/>
        </w:rPr>
        <w:t>, if Customer provisions a tenant with a billing address in the EU or EFTA, that tenant will be in-scope for the EU Data Boundary if Customer also creates all of its environments within a Geo inside the EU Data Boundary.</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if Customer provisions a tenant in the EU or EFTA, that tenant will be in-scope for the EU Data Boundary, except for those tenants where Customer has also purchased the Microsoft 365 </w:t>
      </w:r>
      <w:hyperlink r:id="rId96" w:tgtFrame="_blank" w:history="1">
        <w:r>
          <w:rPr>
            <w:rStyle w:val="Hyperlink"/>
            <w:rFonts w:ascii="Segoe UI" w:eastAsia="Times New Roman" w:hAnsi="Segoe UI" w:cs="Segoe UI"/>
            <w:color w:val="505050"/>
            <w:sz w:val="18"/>
            <w:szCs w:val="18"/>
          </w:rPr>
          <w:t>Multi-Geo Capabilities</w:t>
        </w:r>
      </w:hyperlink>
      <w:r>
        <w:rPr>
          <w:rFonts w:ascii="Segoe UI" w:eastAsia="Times New Roman" w:hAnsi="Segoe UI" w:cs="Segoe UI"/>
          <w:color w:val="505050"/>
          <w:sz w:val="18"/>
          <w:szCs w:val="18"/>
        </w:rPr>
        <w:t> add-on that enables customers to expand Microsoft 365 tenant presence to multiple geographic regions or countries (</w:t>
      </w:r>
      <w:hyperlink r:id="rId97" w:tgtFrame="_blank" w:history="1">
        <w:r>
          <w:rPr>
            <w:rStyle w:val="Hyperlink"/>
            <w:rFonts w:ascii="Segoe UI" w:eastAsia="Times New Roman" w:hAnsi="Segoe UI" w:cs="Segoe UI"/>
            <w:color w:val="505050"/>
            <w:sz w:val="18"/>
            <w:szCs w:val="18"/>
          </w:rPr>
          <w:t>https://learn.microsoft.com/microsoft-365/enterprise/microsoft-365-multi-geo?view=o365-worldwide</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365 Copilot for Sale</w:t>
      </w:r>
      <w:r>
        <w:rPr>
          <w:rFonts w:ascii="Segoe UI" w:eastAsia="Times New Roman" w:hAnsi="Segoe UI" w:cs="Segoe UI"/>
          <w:color w:val="505050"/>
          <w:sz w:val="18"/>
          <w:szCs w:val="18"/>
        </w:rPr>
        <w:t xml:space="preserve">s Customers who use Dynamics 365, and where Microsoft 365 Copilot for Sales generates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 xml:space="preserve">Dynamics 365 and Power Platform </w:t>
      </w:r>
      <w:r>
        <w:rPr>
          <w:rFonts w:ascii="Segoe UI" w:eastAsia="Times New Roman" w:hAnsi="Segoe UI" w:cs="Segoe UI"/>
          <w:color w:val="505050"/>
          <w:sz w:val="18"/>
          <w:szCs w:val="18"/>
        </w:rPr>
        <w:t xml:space="preserve">apply to storing and processing of that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Microsoft 365 Copilot for Sales Customers who use third-party customer relationship management systems, and where Microsoft 365 Copilot for Sales generates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xml:space="preserve"> apply to storing and processing of that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Underlying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and </w:t>
      </w:r>
      <w:hyperlink w:anchor="_Toc20"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associated with Microsoft 365 and Dynamics 365 and Power Platform (and not generated by Microsoft 365 Copilot for Sales) remains subject to the respective statements above for Microsoft 365 and Dynamics 365 and Power Platform.</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the EU Data Boundary will be configured automatically for Customers with a Microsoft 365/Microsoft Entra ID tenant deployed in the EU or EFTA.</w:t>
      </w:r>
    </w:p>
    <w:p>
      <w:pPr>
        <w:pStyle w:val="NormalWeb"/>
        <w:spacing w:before="150"/>
      </w:pPr>
      <w:r>
        <w:t xml:space="preserve">Use of EU Data Boundary Services may result in limited transfers of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0" w:tooltip="Personal Data means any information relating to an identified or identifiable natural person." w:history="1">
        <w:r>
          <w:rPr>
            <w:rStyle w:val="Hyperlink"/>
            <w:color w:val="505050"/>
          </w:rPr>
          <w:t>Personal Data</w:t>
        </w:r>
      </w:hyperlink>
      <w:r>
        <w:t xml:space="preserve">, or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outside the EU Data Boundary, as set forth below and further detailed in transparency documentation for the EU Data Boundary located at </w:t>
      </w:r>
      <w:hyperlink r:id="rId98" w:tgtFrame="_blank" w:history="1">
        <w:r>
          <w:rPr>
            <w:rStyle w:val="Hyperlink"/>
            <w:color w:val="505050"/>
          </w:rPr>
          <w:t>https://learn.microsoft.com/en-us/privacy/eudb/eu-data-boundary-learn</w:t>
        </w:r>
      </w:hyperlink>
      <w:r>
        <w:t xml:space="preserve"> or successor location. Any such transfers will be conducted in accordance with the </w:t>
      </w:r>
      <w:hyperlink w:anchor="_Toc20" w:tooltip="Data Protection Addendum (DPA) means the Microsoft Products and Services Data Protection Addendum published at https://aka.ms/DPA." w:history="1">
        <w:r>
          <w:rPr>
            <w:rStyle w:val="Hyperlink"/>
            <w:color w:val="505050"/>
          </w:rPr>
          <w:t>Data Protection Addendum</w:t>
        </w:r>
      </w:hyperlink>
      <w:r>
        <w:t xml:space="preserve"> and the Product Terms.</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Remote Access</w:t>
      </w:r>
      <w:r>
        <w:rPr>
          <w:rFonts w:ascii="Segoe UI" w:eastAsia="Times New Roman" w:hAnsi="Segoe UI" w:cs="Segoe UI"/>
          <w:color w:val="505050"/>
          <w:sz w:val="18"/>
          <w:szCs w:val="18"/>
        </w:rPr>
        <w:t>. Microsoft personnel located outside the EU Data Boundary may remotely access data processing systems in the EU Data Boundary as necessary to operate, troubleshoot, support, and secure the EU Data Boundary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Customer-Initiated Transfers</w:t>
      </w:r>
      <w:r>
        <w:rPr>
          <w:rFonts w:ascii="Segoe UI" w:eastAsia="Times New Roman" w:hAnsi="Segoe UI" w:cs="Segoe UI"/>
          <w:color w:val="505050"/>
          <w:sz w:val="18"/>
          <w:szCs w:val="18"/>
        </w:rPr>
        <w:t>. Customers may initiate transfers outside the EU Data Boundary, such as by accessing EU Data Boundary Services from locations outside the EU Data Boundary, sending an email to a recipient located outside the EU Data Boundary, or use of EU Data Boundary Services in combination with other services not in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Protecting Customers</w:t>
      </w:r>
      <w:r>
        <w:rPr>
          <w:rFonts w:ascii="Segoe UI" w:eastAsia="Times New Roman" w:hAnsi="Segoe UI" w:cs="Segoe UI"/>
          <w:color w:val="505050"/>
          <w:sz w:val="18"/>
          <w:szCs w:val="18"/>
        </w:rPr>
        <w:t>. Microsoft transfers limited data outside of the EU Data Boundary as necessary to detect and protect Customers against security threats.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Directory Data</w:t>
      </w:r>
      <w:r>
        <w:rPr>
          <w:rFonts w:ascii="Segoe UI" w:eastAsia="Times New Roman" w:hAnsi="Segoe UI" w:cs="Segoe UI"/>
          <w:color w:val="505050"/>
          <w:sz w:val="18"/>
          <w:szCs w:val="18"/>
        </w:rPr>
        <w:t>. Microsoft may replicate limited Microsoft Entra directory data from Microsoft Entra ID (including username and email address) outside the EU Data Boundary to provide the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Network Transit</w:t>
      </w:r>
      <w:r>
        <w:rPr>
          <w:rFonts w:ascii="Segoe UI" w:eastAsia="Times New Roman" w:hAnsi="Segoe UI" w:cs="Segoe UI"/>
          <w:color w:val="505050"/>
          <w:sz w:val="18"/>
          <w:szCs w:val="18"/>
        </w:rPr>
        <w:t>. To reduce routing latency and to maintain routing resiliency, Microsoft uses variable network paths that may occasionally result in transit of data outside the EU Data Boundary. </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 and Platform Quality, Resiliency and Management</w:t>
      </w:r>
      <w:r>
        <w:rPr>
          <w:rFonts w:ascii="Segoe UI" w:eastAsia="Times New Roman" w:hAnsi="Segoe UI" w:cs="Segoe UI"/>
          <w:color w:val="505050"/>
          <w:sz w:val="18"/>
          <w:szCs w:val="18"/>
        </w:rPr>
        <w:t xml:space="preserve">. When required to monitor and maintain service quality or to ensure accuracy of statistical measures of service use or performance, pseudonymized </w:t>
      </w:r>
      <w:hyperlink w:anchor="_Toc20"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and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may be transferred outside of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Service-Specific Transfers</w:t>
      </w:r>
      <w:r>
        <w:rPr>
          <w:rFonts w:ascii="Segoe UI" w:eastAsia="Times New Roman" w:hAnsi="Segoe UI" w:cs="Segoe UI"/>
          <w:color w:val="505050"/>
          <w:sz w:val="18"/>
          <w:szCs w:val="18"/>
        </w:rPr>
        <w:t>. See transparency documentation referenced above for information about transfers applicable to specific support activities and EU Data Boundary Services.</w:t>
      </w:r>
    </w:p>
    <w:p>
      <w:pPr>
        <w:pStyle w:val="Heading3"/>
        <w:spacing w:before="150" w:beforeAutospacing="0"/>
        <w:rPr>
          <w:rFonts w:eastAsia="Times New Roman"/>
          <w:color w:val="0078D4"/>
          <w:sz w:val="26"/>
          <w:szCs w:val="26"/>
        </w:rPr>
      </w:pPr>
      <w:r>
        <w:rPr>
          <w:rFonts w:eastAsia="Times New Roman"/>
          <w:color w:val="0078D4"/>
          <w:sz w:val="26"/>
          <w:szCs w:val="26"/>
        </w:rPr>
        <w:t>EU Data Act</w:t>
      </w:r>
    </w:p>
    <w:p>
      <w:pPr>
        <w:pStyle w:val="NormalWeb"/>
        <w:spacing w:after="150"/>
      </w:pPr>
      <w:r>
        <w:t xml:space="preserve">The terms "EU Data Act," "EU Customer," and "EU Data Act Service" are defined in the </w:t>
      </w:r>
      <w:hyperlink w:anchor="_Toc20" w:tooltip="Data Protection Addendum (DPA) means the Microsoft Products and Services Data Protection Addendum published at https://aka.ms/DPA." w:history="1">
        <w:r>
          <w:rPr>
            <w:rStyle w:val="Hyperlink"/>
            <w:color w:val="505050"/>
          </w:rPr>
          <w:t>DPA</w:t>
        </w:r>
      </w:hyperlink>
      <w:r>
        <w:t>.</w:t>
      </w:r>
    </w:p>
    <w:p>
      <w:pPr>
        <w:pStyle w:val="NormalWeb"/>
        <w:spacing w:before="150"/>
      </w:pPr>
      <w:r>
        <w:t xml:space="preserve">Supporting materials on exporting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Online Services, including EU Data Act Services, are available on Microsoft Learn (</w:t>
      </w:r>
      <w:hyperlink r:id="rId99" w:tgtFrame="_blank" w:history="1">
        <w:r>
          <w:rPr>
            <w:rStyle w:val="Hyperlink"/>
            <w:color w:val="505050"/>
          </w:rPr>
          <w:t>https://learn.microsoft.com/</w:t>
        </w:r>
      </w:hyperlink>
      <w:r>
        <w:t xml:space="preserve">); visit </w:t>
      </w:r>
      <w:hyperlink r:id="rId100" w:tgtFrame="_blank" w:history="1">
        <w:r>
          <w:rPr>
            <w:rStyle w:val="Hyperlink"/>
            <w:color w:val="505050"/>
          </w:rPr>
          <w:t>aka.ms/customerdataexport</w:t>
        </w:r>
      </w:hyperlink>
      <w:r>
        <w:t xml:space="preserve"> to learn more.</w:t>
      </w:r>
    </w:p>
    <w:p>
      <w:pPr>
        <w:pStyle w:val="NormalWeb"/>
        <w:spacing w:before="150"/>
      </w:pPr>
      <w:r>
        <w:t xml:space="preserve">EU Customer's agreement, including the security practices and policies in the </w:t>
      </w:r>
      <w:hyperlink w:anchor="_Toc20" w:tooltip="Data Protection Addendum (DPA) means the Microsoft Products and Services Data Protection Addendum published at https://aka.ms/DPA." w:history="1">
        <w:r>
          <w:rPr>
            <w:rStyle w:val="Hyperlink"/>
            <w:color w:val="505050"/>
          </w:rPr>
          <w:t>DPA</w:t>
        </w:r>
      </w:hyperlink>
      <w:r>
        <w:t xml:space="preserve">, describes security measures Microsoft takes to protect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Information related to how Microsoft responds to government data access requests and Microsoft ICT infrastructure used to provide EU Data Act Services can be found at: </w:t>
      </w:r>
      <w:hyperlink r:id="rId101" w:tgtFrame="_blank" w:history="1">
        <w:r>
          <w:rPr>
            <w:rStyle w:val="Hyperlink"/>
            <w:color w:val="505050"/>
          </w:rPr>
          <w:t>aka.ms/governmentaccessrequests</w:t>
        </w:r>
      </w:hyperlink>
      <w:r>
        <w:t>.</w:t>
      </w:r>
    </w:p>
    <w:p w:rsidR="00ED5159" w:rsidP="00ED5159">
      <w:pPr>
        <w:pStyle w:val="ProductList-OfferingGroupHeading"/>
        <w:outlineLvl w:val="1"/>
      </w:pPr>
      <w:r>
        <w:t>CAL Suites and CAL Suite Bridges</w:t>
      </w:r>
      <w:r>
        <w:fldChar w:fldCharType="begin"/>
      </w:r>
      <w:r>
        <w:instrText xml:space="preserve"> TC </w:instrText>
      </w:r>
      <w:bookmarkStart w:id="12" w:name="_Toc256000007"/>
      <w:r>
        <w:instrText>"</w:instrText>
      </w:r>
      <w:r>
        <w:instrText>CAL Suites and CAL Suite Bridges</w:instrText>
      </w:r>
      <w:r>
        <w:instrText>"</w:instrText>
      </w:r>
      <w:bookmarkEnd w:id="1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Enterprise CAL Suite (Device and User)</w:t>
            </w:r>
          </w:p>
        </w:tc>
        <w:tc>
          <w:tcPr/>
          <w:p w:rsidR="00A363CA" w:rsidP="00A363CA">
            <w:pPr>
              <w:pStyle w:val="ProductList-TableBody"/>
            </w:pPr>
            <w:r>
              <w:t>Education Desktop</w:t>
            </w:r>
          </w:p>
        </w:tc>
      </w:tr>
      <w:tr w:rsidTr="00610FDE">
        <w:tblPrEx>
          <w:tblW w:w="0" w:type="auto"/>
          <w:tblLook w:val="04A0"/>
        </w:tblPrEx>
        <w:tc>
          <w:tcPr/>
          <w:p w:rsidR="00A363CA" w:rsidP="00A363CA">
            <w:pPr>
              <w:pStyle w:val="ProductList-TableBody"/>
            </w:pPr>
            <w:r>
              <w:t>Core CAL Suite (Device and User)</w:t>
            </w:r>
          </w:p>
        </w:tc>
        <w:tc>
          <w:tcPr/>
          <w:p w:rsidR="00A363CA" w:rsidP="00A363CA">
            <w:pPr>
              <w:pStyle w:val="ProductList-TableBody"/>
            </w:pPr>
            <w:r>
              <w:t>Education Desktop</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Process to Determine Applicable Use Rights for CAL Suites</w:t>
      </w:r>
    </w:p>
    <w:p>
      <w:pPr>
        <w:pStyle w:val="NormalWeb"/>
        <w:spacing w:after="150"/>
      </w:pPr>
      <w:r>
        <w:t>A CAL Suite License is version-less and the access rights are determined by the status of the SA coverage on it. If SA coverage lapses, access rights under perpetual Licenses are determined based on the use rights in effect for the versions that were current prior to the lapse.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51"/>
        <w:gridCol w:w="51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or Enterprise CAL Suite</w:t>
            </w:r>
          </w:p>
        </w:tc>
      </w:tr>
    </w:tbl>
    <w:p/>
    <w:p>
      <w:pPr>
        <w:pStyle w:val="Heading3"/>
        <w:spacing w:before="150" w:beforeAutospacing="0"/>
        <w:rPr>
          <w:rFonts w:eastAsia="Times New Roman"/>
          <w:color w:val="0078D4"/>
          <w:sz w:val="26"/>
          <w:szCs w:val="26"/>
        </w:rPr>
      </w:pPr>
      <w:r>
        <w:rPr>
          <w:rFonts w:eastAsia="Times New Roman"/>
          <w:color w:val="0078D4"/>
          <w:sz w:val="26"/>
          <w:szCs w:val="26"/>
        </w:rPr>
        <w:t>Components of CAL Suite</w:t>
      </w:r>
    </w:p>
    <w:p>
      <w:pPr>
        <w:pStyle w:val="NormalWeb"/>
        <w:spacing w:after="150"/>
      </w:pPr>
      <w:r>
        <w:t xml:space="preserve">Refer to </w:t>
      </w:r>
      <w:hyperlink r:id="rId102" w:history="1">
        <w:r>
          <w:rPr>
            <w:rStyle w:val="Hyperlink"/>
            <w:color w:val="505050"/>
          </w:rPr>
          <w:t>CAL and ML Equivalency</w:t>
        </w:r>
      </w:hyperlink>
      <w:r>
        <w:t xml:space="preserve"> Licenses for the current components of the Core CAL Suite and the Enterprise CAL Suite.</w:t>
      </w:r>
    </w:p>
    <w:p>
      <w:pPr>
        <w:pStyle w:val="Heading3"/>
        <w:spacing w:before="150" w:beforeAutospacing="0"/>
        <w:rPr>
          <w:rFonts w:eastAsia="Times New Roman"/>
          <w:color w:val="0078D4"/>
          <w:sz w:val="26"/>
          <w:szCs w:val="26"/>
        </w:rPr>
      </w:pPr>
      <w:r>
        <w:rPr>
          <w:rFonts w:eastAsia="Times New Roman"/>
          <w:color w:val="0078D4"/>
          <w:sz w:val="26"/>
          <w:szCs w:val="26"/>
        </w:rPr>
        <w:t>CAL Suite Bridge</w:t>
      </w:r>
    </w:p>
    <w:p>
      <w:pPr>
        <w:pStyle w:val="NormalWeb"/>
        <w:spacing w:after="150"/>
      </w:pPr>
      <w:r>
        <w:t>A CAL Suite Bridge is an Enterprise Product and may only be acquired to satisfy the Organization Wide requirement of either that CAL Suite Bridge or Core/Enterprise CAL Suites.  When a CAL Suite Bridge is required the number of CAL Suite Bridge User SLs should be the same number of User SLs for the qualifying Online Service.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4"/>
        <w:gridCol w:w="1603"/>
        <w:gridCol w:w="335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CAL Suite Bridge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Parent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Online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or Office 365 E3, or 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E1 and Microsoft Intune, or</w:t>
            </w:r>
          </w:p>
          <w:p>
            <w:pPr>
              <w:pStyle w:val="NormalWeb"/>
              <w:spacing w:before="150"/>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or</w:t>
            </w:r>
          </w:p>
          <w:p>
            <w:pPr>
              <w:pStyle w:val="NormalWeb"/>
              <w:spacing w:before="150"/>
            </w:pPr>
            <w: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Programs</w:t>
      </w:r>
    </w:p>
    <w:p>
      <w:pPr>
        <w:pStyle w:val="NormalWeb"/>
        <w:spacing w:after="150"/>
      </w:pPr>
      <w:r>
        <w:t>The following applies to customers in Academic Volume Licensing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Exchange Online Archiving for Exchange Server A</w:t>
      </w:r>
    </w:p>
    <w:p>
      <w:pPr>
        <w:pStyle w:val="NormalWeb"/>
        <w:spacing w:after="150"/>
      </w:pPr>
      <w:r>
        <w:t>Academic Institutions under Enrollment for Education Solutions and Open Value Subscription Agreement for Education Solutions, licensed for Enterprise CAL Suite for their Organization-Wide count and Student count are authorized to a corresponding number of Exchange Online Archiving for Exchange Server A User SLs for all users covered within their Organization-Wide count and Student count.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3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0"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0"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0"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0"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3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34"/>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5"/>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43"/>
        <w:gridCol w:w="68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(Forefront United Access Gateway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Customers</w:t>
      </w:r>
    </w:p>
    <w:p>
      <w:pPr>
        <w:pStyle w:val="NormalWeb"/>
        <w:spacing w:after="150"/>
      </w:pPr>
      <w:r>
        <w:t>Qualifying customers licensed for Microsoft 365 or a combination of Office 365 and Enterprise Mobility + Security provides have the same access to Exchange Online Archiving for Exchange Server as the Enterprise CAL Suite provided. "Qualifying Customers" are Enterprise Enrollment, Enterprise Subscription Enrollment, or Enrollment for Education Solutions customers who have active Software Assurance coverage for the Enterprise CAL Suite as of November 30, 2014.</w:t>
      </w:r>
    </w:p>
    <w:p>
      <w:pPr>
        <w:pStyle w:val="Heading3"/>
        <w:spacing w:before="150" w:beforeAutospacing="0"/>
        <w:rPr>
          <w:rFonts w:eastAsia="Times New Roman"/>
          <w:color w:val="0078D4"/>
          <w:sz w:val="26"/>
          <w:szCs w:val="26"/>
        </w:rPr>
      </w:pPr>
      <w:r>
        <w:rPr>
          <w:rFonts w:eastAsia="Times New Roman"/>
          <w:color w:val="0078D4"/>
          <w:sz w:val="26"/>
          <w:szCs w:val="26"/>
        </w:rPr>
        <w:t>Online Services Included with Enterprise CAL Suite</w:t>
      </w:r>
    </w:p>
    <w:p>
      <w:pPr>
        <w:pStyle w:val="NormalWeb"/>
        <w:spacing w:after="150"/>
      </w:pPr>
      <w:r>
        <w:t>Enterprise CAL Suite with active SA coverage also includes the rights to Exchange Online Archiving for Exchange Server, Data Loss Prevention, and Exchange Online Protection.</w:t>
      </w:r>
    </w:p>
    <w:p w:rsidR="00ED5159" w:rsidP="00ED5159">
      <w:pPr>
        <w:pStyle w:val="ProductList-OfferingGroupHeading"/>
        <w:outlineLvl w:val="1"/>
      </w:pPr>
      <w:r>
        <w:t>Infrastructure and Other Servers</w:t>
      </w:r>
      <w:r>
        <w:fldChar w:fldCharType="begin"/>
      </w:r>
      <w:r>
        <w:instrText xml:space="preserve"> TC </w:instrText>
      </w:r>
      <w:bookmarkStart w:id="13" w:name="_Toc256000008"/>
      <w:r>
        <w:instrText>"</w:instrText>
      </w:r>
      <w:bookmarkStart w:id="14" w:name="_Toc5"/>
      <w:r>
        <w:instrText>Infrastructure and Other Servers</w:instrText>
      </w:r>
      <w:bookmarkEnd w:id="14"/>
      <w:r>
        <w:instrText>"</w:instrText>
      </w:r>
      <w:bookmarkEnd w:id="13"/>
      <w:r>
        <w:instrText xml:space="preserve"> \l 2</w:instrText>
      </w:r>
      <w:r>
        <w:fldChar w:fldCharType="end"/>
      </w:r>
    </w:p>
    <w:p w:rsidR="00ED5159" w:rsidP="00ED5159">
      <w:pPr>
        <w:pStyle w:val="ProductList-Offering2Heading"/>
        <w:outlineLvl w:val="2"/>
      </w:pPr>
      <w:r>
        <w:t>Advanced Threat Analytics</w:t>
      </w:r>
      <w:r>
        <w:fldChar w:fldCharType="begin"/>
      </w:r>
      <w:r>
        <w:instrText xml:space="preserve"> TC </w:instrText>
      </w:r>
      <w:bookmarkStart w:id="15" w:name="_Toc256000009"/>
      <w:r>
        <w:instrText>"</w:instrText>
      </w:r>
      <w:r>
        <w:instrText>Advanced Threat Analytics</w:instrText>
      </w:r>
      <w:r>
        <w:instrText>"</w:instrText>
      </w:r>
      <w:bookmarkEnd w:id="1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Advanced Threat Analytics 2016 Client Management License per OSE</w:t>
            </w:r>
          </w:p>
        </w:tc>
        <w:tc>
          <w:tcPr/>
          <w:p w:rsidR="00A363CA" w:rsidP="00A363CA">
            <w:pPr>
              <w:pStyle w:val="ProductList-TableBody"/>
            </w:pPr>
            <w:r>
              <w:t>8/15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Advanced Threat Analytics 2016 Client Management License per User</w:t>
            </w:r>
          </w:p>
        </w:tc>
        <w:tc>
          <w:tcPr/>
          <w:p w:rsidR="00A363CA" w:rsidP="00A363CA">
            <w:pPr>
              <w:pStyle w:val="ProductList-TableBody"/>
            </w:pPr>
            <w:r>
              <w:t>8/15</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06" w:tgtFrame="_blank"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 xml:space="preserve">Enrollment for Education Solutions and School Subscription Enrollment customers may purchase Advanced Threat Analytics 2016 Client Management License per OSE and deploy as per User or per OSE as contemplated in the </w:t>
      </w:r>
      <w:hyperlink w:anchor="_Sec544" w:history="1">
        <w:r>
          <w:rPr>
            <w:rStyle w:val="Hyperlink"/>
            <w:color w:val="505050"/>
          </w:rPr>
          <w:t>Management Servers</w:t>
        </w:r>
      </w:hyperlink>
      <w:r>
        <w:t xml:space="preserve"> License Model.</w:t>
      </w:r>
    </w:p>
    <w:p>
      <w:pPr>
        <w:pStyle w:val="Heading3"/>
        <w:spacing w:before="150" w:beforeAutospacing="0"/>
        <w:rPr>
          <w:rFonts w:eastAsia="Times New Roman"/>
          <w:color w:val="0078D4"/>
          <w:sz w:val="26"/>
          <w:szCs w:val="26"/>
        </w:rPr>
      </w:pPr>
      <w:r>
        <w:rPr>
          <w:rFonts w:eastAsia="Times New Roman"/>
          <w:color w:val="0078D4"/>
          <w:sz w:val="26"/>
          <w:szCs w:val="26"/>
        </w:rPr>
        <w:t>Country Restrictions</w:t>
      </w:r>
    </w:p>
    <w:p>
      <w:pPr>
        <w:pStyle w:val="NormalWeb"/>
        <w:spacing w:after="150"/>
      </w:pPr>
      <w:r>
        <w:t>Customer may not download Advanced Threat Analytics 2016 for use or distribution in the People's Republic of China.</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Usage Requiring a Management License</w:t>
      </w:r>
    </w:p>
    <w:p>
      <w:pPr>
        <w:pStyle w:val="NormalWeb"/>
        <w:spacing w:after="150"/>
      </w:pPr>
      <w:hyperlink w:anchor="_Toc20" w:tooltip="License means the right to download, install, access and use a Product." w:history="1">
        <w:r>
          <w:rPr>
            <w:rStyle w:val="Hyperlink"/>
            <w:color w:val="505050"/>
          </w:rPr>
          <w:t>Licenses</w:t>
        </w:r>
      </w:hyperlink>
      <w:r>
        <w:t xml:space="preserve"> are only required for client</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that are on or accessed by end user devices authenticated by an Active Directory managed by Advanced Threat Analytics.</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0"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(User or OSE 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Management License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51"/>
        <w:gridCol w:w="55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w:t>
            </w:r>
          </w:p>
        </w:tc>
      </w:tr>
    </w:tbl>
    <w:p/>
    <w:p w:rsidR="00ED5159" w:rsidP="00ED5159">
      <w:pPr>
        <w:pStyle w:val="ProductList-Offering2Heading"/>
        <w:outlineLvl w:val="2"/>
      </w:pPr>
      <w:r>
        <w:t>BizTalk Server</w:t>
      </w:r>
      <w:r>
        <w:fldChar w:fldCharType="begin"/>
      </w:r>
      <w:r>
        <w:instrText xml:space="preserve"> TC </w:instrText>
      </w:r>
      <w:bookmarkStart w:id="16" w:name="_Toc256000010"/>
      <w:r>
        <w:instrText>"</w:instrText>
      </w:r>
      <w:r>
        <w:instrText>BizTalk Server</w:instrText>
      </w:r>
      <w:r>
        <w:instrText>"</w:instrText>
      </w:r>
      <w:bookmarkEnd w:id="1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BizTalk Server 2020 Branch Edition</w:t>
            </w:r>
          </w:p>
        </w:tc>
        <w:tc>
          <w:tcPr/>
          <w:p w:rsidR="00A363CA" w:rsidP="00A363CA">
            <w:pPr>
              <w:pStyle w:val="ProductList-TableBody"/>
            </w:pPr>
            <w:r>
              <w:t>1/20</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BizTalk Server 2020 Standard Edition</w:t>
            </w:r>
          </w:p>
        </w:tc>
        <w:tc>
          <w:tcPr/>
          <w:p w:rsidR="00A363CA" w:rsidP="00A363CA">
            <w:pPr>
              <w:pStyle w:val="ProductList-TableBody"/>
            </w:pPr>
            <w:r>
              <w:t>1/20</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BizTalk Server 2020 Enterprise Edition</w:t>
            </w:r>
          </w:p>
        </w:tc>
        <w:tc>
          <w:tcPr/>
          <w:p w:rsidR="00A363CA" w:rsidP="00A363CA">
            <w:pPr>
              <w:pStyle w:val="ProductList-TableBody"/>
            </w:pPr>
            <w:r>
              <w:t>1/20</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30"/>
        <w:gridCol w:w="60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2016 (12/16)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Branch and Standard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pStyle w:val="NormalWeb"/>
        <w:spacing w:after="150"/>
      </w:pPr>
      <w:r>
        <w:t xml:space="preserve">Customer may not use the server software on a </w:t>
      </w:r>
      <w:hyperlink w:anchor="_Toc20" w:tooltip="Server means a physical hardware system capable of running server software." w:history="1">
        <w:r>
          <w:rPr>
            <w:rStyle w:val="Hyperlink"/>
            <w:color w:val="505050"/>
          </w:rPr>
          <w:t>Server</w:t>
        </w:r>
      </w:hyperlink>
      <w:r>
        <w:t xml:space="preserve"> that is part of a networked cluster or in an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that is part of a networked cluster of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same </w:t>
      </w:r>
      <w:hyperlink w:anchor="_Toc20" w:tooltip="Server means a physical hardware system capable of running server software." w:history="1">
        <w:r>
          <w:rPr>
            <w:rStyle w:val="Hyperlink"/>
            <w:color w:val="505050"/>
          </w:rPr>
          <w:t>Server</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Web Component</w:t>
      </w:r>
    </w:p>
    <w:p>
      <w:pPr>
        <w:pStyle w:val="NormalWeb"/>
        <w:spacing w:after="150"/>
      </w:pPr>
      <w:r>
        <w:t>Customer may use the Office Web Component only to view and print copies of static documents, text and images created with the software. Customer does not need separate licenses for copies of the component.</w:t>
      </w:r>
    </w:p>
    <w:p>
      <w:pPr>
        <w:pStyle w:val="Heading3"/>
        <w:spacing w:before="150" w:beforeAutospacing="0"/>
        <w:rPr>
          <w:rFonts w:eastAsia="Times New Roman"/>
          <w:color w:val="0078D4"/>
          <w:sz w:val="26"/>
          <w:szCs w:val="26"/>
        </w:rPr>
      </w:pPr>
      <w:r>
        <w:rPr>
          <w:rFonts w:eastAsia="Times New Roman"/>
          <w:color w:val="0078D4"/>
          <w:sz w:val="26"/>
          <w:szCs w:val="26"/>
        </w:rPr>
        <w:t>BizTalk Server Branch Edition</w:t>
      </w:r>
    </w:p>
    <w:p>
      <w:pPr>
        <w:pStyle w:val="NormalWeb"/>
        <w:spacing w:after="150"/>
      </w:pPr>
      <w:r>
        <w:t xml:space="preserve">Customer may </w:t>
      </w:r>
      <w:hyperlink w:anchor="_Toc20" w:tooltip="Running Instance means an Instance of software that is loaded into memory and for which one or more instructions have been executed. (Refer to Glossary for full definition)" w:history="1">
        <w:r>
          <w:rPr>
            <w:rStyle w:val="Hyperlink"/>
            <w:color w:val="505050"/>
          </w:rPr>
          <w:t>Run Instances</w:t>
        </w:r>
      </w:hyperlink>
      <w:r>
        <w:t xml:space="preserve"> of the software on </w:t>
      </w:r>
      <w:hyperlink w:anchor="_Toc20" w:tooltip="Licensed Server means a single Server to which a License is assigned.  See Glossary for full definition." w:history="1">
        <w:r>
          <w:rPr>
            <w:rStyle w:val="Hyperlink"/>
            <w:color w:val="505050"/>
          </w:rPr>
          <w:t>Licensed Servers</w:t>
        </w:r>
      </w:hyperlink>
      <w:r>
        <w:t xml:space="preserve"> only at the endpoint of its internal network (or edge of its organization) to connect business events or transactions with activities processed at that endpoint; provided, the </w:t>
      </w:r>
      <w:hyperlink w:anchor="_Toc20" w:tooltip="Licensed Server means a single Server to which a License is assigned. See Glossary for full definition." w:history="1">
        <w:r>
          <w:rPr>
            <w:rStyle w:val="Hyperlink"/>
            <w:color w:val="505050"/>
          </w:rPr>
          <w:t>Licensed Server</w:t>
        </w:r>
      </w:hyperlink>
      <w:r>
        <w:t xml:space="preserve"> may not:</w:t>
      </w:r>
    </w:p>
    <w:p>
      <w:pPr>
        <w:numPr>
          <w:ilvl w:val="0"/>
          <w:numId w:val="3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act as the central node in a "hub and spoke" networking model,</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centralize enterprise-wide communications with other Servers or devices; or</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automate business processes across divisions, business units, or branch offices.</w:t>
      </w:r>
    </w:p>
    <w:p>
      <w:pPr>
        <w:pStyle w:val="Heading3"/>
        <w:spacing w:before="150" w:beforeAutospacing="0"/>
        <w:rPr>
          <w:rFonts w:eastAsia="Times New Roman"/>
          <w:color w:val="0078D4"/>
          <w:sz w:val="26"/>
          <w:szCs w:val="26"/>
        </w:rPr>
      </w:pPr>
      <w:r>
        <w:rPr>
          <w:rFonts w:eastAsia="Times New Roman"/>
          <w:color w:val="0078D4"/>
          <w:sz w:val="26"/>
          <w:szCs w:val="26"/>
        </w:rPr>
        <w:t>Licensing Use of Host Integration Server (HIS)</w:t>
      </w:r>
    </w:p>
    <w:p>
      <w:pPr>
        <w:pStyle w:val="NormalWeb"/>
        <w:spacing w:after="150"/>
      </w:pPr>
      <w:r>
        <w:t>Customer may use HIS server software and Additional Software under the terms and conditions of the Per Core License Model using BizTalk Server core licenses. Customer may use HIS Additional Software (e.g., HIS Client) only in conjunction with its licensed use of HIS server software.  The rights applicable to this use are determined by which edition and version of BizTalk Server licenses Customer assigns to the Server (e.g., unlimited virtualization rights require BizTalk Server Enterprise licenses with SA). Use of HIS server software is limited to branch office deployments if used under the BizTalk Server Branch Edition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75"/>
        <w:gridCol w:w="2585"/>
        <w:gridCol w:w="3100"/>
        <w:gridCol w:w="12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4"/>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Administration and Monitoring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Event APIs and Interceptors and Administration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Monitoring ("BAM")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Communication Foundation Adapters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SharePoint Services Adapter Web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ADOMD.NET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Master Secret Server/Enterprise Single Sign-On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Alert Provider for SQL Notification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HTTP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SOAP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Related Schemas and Templates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UDDI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Development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MQSeries Agent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Rules Component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MQHelper.dll</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20" w:tooltip="Physical Core means a core in a Physical Processor." w:history="1">
        <w:r>
          <w:rPr>
            <w:rStyle w:val="Hyperlink"/>
            <w:color w:val="505050"/>
          </w:rPr>
          <w:t>Physical Core</w:t>
        </w:r>
      </w:hyperlink>
      <w:r>
        <w:t xml:space="preserve"> on a </w:t>
      </w:r>
      <w:hyperlink w:anchor="_Toc20" w:tooltip="Server means a physical hardware system capable of running server software." w:history="1">
        <w:r>
          <w:rPr>
            <w:rStyle w:val="Hyperlink"/>
            <w:color w:val="505050"/>
          </w:rPr>
          <w:t>Server</w:t>
        </w:r>
      </w:hyperlink>
      <w:r>
        <w:t xml:space="preserve"> or Licensing by Individual </w:t>
      </w:r>
      <w:hyperlink w:anchor="_Toc20"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3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20"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20"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3"/>
        <w:gridCol w:w="55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December 2014</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 (except Branch)</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2020 Enterprise – Unlimited Virtualization</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the server software in any number of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20" w:tooltip="Licensed Server means a single Server to which a License is assigned. See Glossary for full definition." w:history="1">
        <w:r>
          <w:rPr>
            <w:rStyle w:val="Hyperlink"/>
            <w:color w:val="505050"/>
          </w:rPr>
          <w:t>Licensed Server</w:t>
        </w:r>
      </w:hyperlink>
      <w:r>
        <w:t xml:space="preserve"> for which it has full SA coverage on all of its </w:t>
      </w:r>
      <w:hyperlink w:anchor="_Toc20" w:tooltip="Server means a physical hardware system capable of running server software." w:history="1">
        <w:r>
          <w:rPr>
            <w:rStyle w:val="Hyperlink"/>
            <w:color w:val="505050"/>
          </w:rPr>
          <w:t>Server</w:t>
        </w:r>
      </w:hyperlink>
      <w:r>
        <w:t xml:space="preserve"> (per core) </w:t>
      </w:r>
      <w:hyperlink w:anchor="_Toc20" w:tooltip="License means the right to download, install, access and use a Product." w:history="1">
        <w:r>
          <w:rPr>
            <w:rStyle w:val="Hyperlink"/>
            <w:color w:val="505050"/>
          </w:rPr>
          <w:t>Licenses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BizTalk Server Feature Packs</w:t>
      </w:r>
    </w:p>
    <w:p>
      <w:pPr>
        <w:pStyle w:val="NormalWeb"/>
        <w:spacing w:after="150"/>
      </w:pPr>
      <w:r>
        <w:t>Customer is eligible to use Feature Packs released during the term of its SA coverage.</w:t>
      </w:r>
    </w:p>
    <w:p w:rsidR="00ED5159" w:rsidP="00ED5159">
      <w:pPr>
        <w:pStyle w:val="ProductList-Offering2Heading"/>
        <w:outlineLvl w:val="2"/>
      </w:pPr>
      <w:r>
        <w:t>Core Infrastructure Server</w:t>
      </w:r>
      <w:r>
        <w:fldChar w:fldCharType="begin"/>
      </w:r>
      <w:r>
        <w:instrText xml:space="preserve"> TC </w:instrText>
      </w:r>
      <w:bookmarkStart w:id="17" w:name="_Toc256000011"/>
      <w:r>
        <w:instrText>"</w:instrText>
      </w:r>
      <w:r>
        <w:instrText>Core Infrastructure Server</w:instrText>
      </w:r>
      <w:r>
        <w:instrText>"</w:instrText>
      </w:r>
      <w:bookmarkEnd w:id="1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Core Infrastructure Server Suite Datacenter (2-packs of Core Licenses)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Core Infrastructure Server Suite Standard (2-packs of Core Licenses)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Core Infrastructure Server Suite Standard (16-packs of Core Licenses)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Core Infrastructure Server Suite Datacenter (16-packs of Core Licenses)</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Standard</w:t>
      </w:r>
    </w:p>
    <w:p>
      <w:pPr>
        <w:pStyle w:val="NormalWeb"/>
        <w:spacing w:after="150"/>
      </w:pPr>
      <w:r>
        <w:t> CIS Suite Standard includes the latest versions of Windows Server Standard and System Center Standard made available during Customer's SA coverage. </w:t>
      </w:r>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Datacenter</w:t>
      </w:r>
    </w:p>
    <w:p>
      <w:pPr>
        <w:pStyle w:val="NormalWeb"/>
        <w:spacing w:after="150"/>
      </w:pPr>
      <w:r>
        <w:t>CIS Suite Datacenter includes the latest versions of Windows Server Datacenter and System Center Datacenter made available during Customer's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Use Rights</w:t>
      </w:r>
    </w:p>
    <w:p>
      <w:pPr>
        <w:pStyle w:val="NormalWeb"/>
        <w:spacing w:after="150"/>
      </w:pPr>
      <w:r>
        <w:t xml:space="preserve">Customer's use of CIS Suite software is governed by the applicable License Terms for the individual Products comprising the CIS Suite software as modified by these License Terms. For each </w:t>
      </w:r>
      <w:hyperlink w:anchor="_Toc20" w:tooltip="Server means a physical hardware system capable of running server software." w:history="1">
        <w:r>
          <w:rPr>
            <w:rStyle w:val="Hyperlink"/>
            <w:color w:val="505050"/>
          </w:rPr>
          <w:t>Server</w:t>
        </w:r>
      </w:hyperlink>
      <w:r>
        <w:t xml:space="preserve"> on which Customer runs CIS Suite software, the number of </w:t>
      </w:r>
      <w:hyperlink w:anchor="_Toc20" w:tooltip="License means the right to download, install, access and use a Product." w:history="1">
        <w:r>
          <w:rPr>
            <w:rStyle w:val="Hyperlink"/>
            <w:color w:val="505050"/>
          </w:rPr>
          <w:t>Licenses</w:t>
        </w:r>
      </w:hyperlink>
      <w:r>
        <w:t xml:space="preserve"> required equals the number of </w:t>
      </w:r>
      <w:hyperlink w:anchor="_Toc20" w:tooltip="Physical Core means a core in a Physical Processor." w:history="1">
        <w:r>
          <w:rPr>
            <w:rStyle w:val="Hyperlink"/>
            <w:color w:val="505050"/>
          </w:rPr>
          <w:t>Physical Cores</w:t>
        </w:r>
      </w:hyperlink>
      <w:r>
        <w:t xml:space="preserve"> on the </w:t>
      </w:r>
      <w:hyperlink w:anchor="_Toc20" w:tooltip="Licensed Server means a single Server to which a License is assigned. See Glossary for full definition." w:history="1">
        <w:r>
          <w:rPr>
            <w:rStyle w:val="Hyperlink"/>
            <w:color w:val="505050"/>
          </w:rPr>
          <w:t>Licensed Server</w:t>
        </w:r>
      </w:hyperlink>
      <w:r>
        <w:t xml:space="preserve">, subject to a minimum of 8 </w:t>
      </w:r>
      <w:hyperlink w:anchor="_Toc20" w:tooltip="License means the right to download, install, access and use a Product." w:history="1">
        <w:r>
          <w:rPr>
            <w:rStyle w:val="Hyperlink"/>
            <w:color w:val="505050"/>
          </w:rPr>
          <w:t>Licenses</w:t>
        </w:r>
      </w:hyperlink>
      <w:r>
        <w:t xml:space="preserve"> per </w:t>
      </w:r>
      <w:hyperlink w:anchor="_Toc20" w:tooltip="Physical Processor means a processor in a physical hardware system." w:history="1">
        <w:r>
          <w:rPr>
            <w:rStyle w:val="Hyperlink"/>
            <w:color w:val="505050"/>
          </w:rPr>
          <w:t>Physical Processor</w:t>
        </w:r>
      </w:hyperlink>
      <w:r>
        <w:t xml:space="preserve"> and a minimum of 16 </w:t>
      </w:r>
      <w:hyperlink w:anchor="_Toc20" w:tooltip="License means the right to download, install, access and use a Product." w:history="1">
        <w:r>
          <w:rPr>
            <w:rStyle w:val="Hyperlink"/>
            <w:color w:val="505050"/>
          </w:rPr>
          <w:t>Licenses</w:t>
        </w:r>
      </w:hyperlink>
      <w:r>
        <w:t xml:space="preserve"> per </w:t>
      </w:r>
      <w:hyperlink w:anchor="_Toc20" w:tooltip="Server means a physical hardware system capable of running server software." w:history="1">
        <w:r>
          <w:rPr>
            <w:rStyle w:val="Hyperlink"/>
            <w:color w:val="505050"/>
          </w:rPr>
          <w:t>Server</w:t>
        </w:r>
      </w:hyperlink>
      <w:r>
        <w:t xml:space="preserve">. Customer may assign additional CIS Suite Standard edition </w:t>
      </w:r>
      <w:hyperlink w:anchor="_Toc20" w:tooltip="License means the right to download, install, access and use a Product." w:history="1">
        <w:r>
          <w:rPr>
            <w:rStyle w:val="Hyperlink"/>
            <w:color w:val="505050"/>
          </w:rPr>
          <w:t>Licenses</w:t>
        </w:r>
      </w:hyperlink>
      <w:r>
        <w:t xml:space="preserve"> to the </w:t>
      </w:r>
      <w:hyperlink w:anchor="_Toc20" w:tooltip="Licensed Server means a single Server to which a License is assigned. See Glossary for full definition." w:history="1">
        <w:r>
          <w:rPr>
            <w:rStyle w:val="Hyperlink"/>
            <w:color w:val="505050"/>
          </w:rPr>
          <w:t>Licensed Server</w:t>
        </w:r>
      </w:hyperlink>
      <w:r>
        <w:t xml:space="preserve"> equal to the number specified in the prior sentence and run the server software in two additional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and Manage two additional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w:t>
      </w:r>
      <w:hyperlink w:anchor="_Toc20" w:tooltip="Licensed Server means a single Server to which a License is assigned. See Glossary for full definition." w:history="1">
        <w:r>
          <w:rPr>
            <w:rStyle w:val="Hyperlink"/>
            <w:color w:val="505050"/>
          </w:rPr>
          <w:t>Licensed Server</w:t>
        </w:r>
      </w:hyperlink>
      <w:r>
        <w:t>.</w:t>
      </w:r>
    </w:p>
    <w:p>
      <w:pPr>
        <w:pStyle w:val="NormalWeb"/>
        <w:spacing w:before="150"/>
      </w:pPr>
      <w:r>
        <w:t xml:space="preserve">Alternatively, for customers with subscription licenses or </w:t>
      </w:r>
      <w:hyperlink w:anchor="_Toc20" w:tooltip="License means the right to download, install, access and use a Product." w:history="1">
        <w:r>
          <w:rPr>
            <w:rStyle w:val="Hyperlink"/>
            <w:color w:val="505050"/>
          </w:rPr>
          <w:t>Licenses</w:t>
        </w:r>
      </w:hyperlink>
      <w:r>
        <w:t xml:space="preserve"> with active Software Assurance (including </w:t>
      </w:r>
      <w:hyperlink w:anchor="_Toc20" w:tooltip="CAL means client access license, which may be assigned by user or device, as appropriate. (Refer to Glossary for full definition)" w:history="1">
        <w:r>
          <w:rPr>
            <w:rStyle w:val="Hyperlink"/>
            <w:color w:val="505050"/>
          </w:rPr>
          <w:t>CALs</w:t>
        </w:r>
      </w:hyperlink>
      <w:r>
        <w:t xml:space="preserve">), customer may use and manage the server software in one </w:t>
      </w:r>
      <w:hyperlink w:anchor="_Toc20" w:tooltip="Virtual OSE means an OSE that is configured to run on a virtual hardware system." w:history="1">
        <w:r>
          <w:rPr>
            <w:rStyle w:val="Hyperlink"/>
            <w:color w:val="505050"/>
          </w:rPr>
          <w:t>Virtual OSE</w:t>
        </w:r>
      </w:hyperlink>
      <w:r>
        <w:t xml:space="preserve"> on the </w:t>
      </w:r>
      <w:hyperlink w:anchor="_Toc20" w:tooltip="Licensed Server means a single Server to which a License is assigned. See Glossary for full definition." w:history="1">
        <w:r>
          <w:rPr>
            <w:rStyle w:val="Hyperlink"/>
            <w:color w:val="505050"/>
          </w:rPr>
          <w:t>Licensed Server</w:t>
        </w:r>
      </w:hyperlink>
      <w:r>
        <w:t>, provided it acquires sufficient Server licenses as described below:</w:t>
      </w:r>
    </w:p>
    <w:p>
      <w:pPr>
        <w:numPr>
          <w:ilvl w:val="0"/>
          <w:numId w:val="4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4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 License and Management License Assignment</w:t>
      </w:r>
    </w:p>
    <w:p>
      <w:pPr>
        <w:pStyle w:val="NormalWeb"/>
        <w:spacing w:after="150"/>
      </w:pPr>
      <w:r>
        <w:t xml:space="preserve">For purposes of applying License Terms for Windows Server and System Center to Customer's use of CIS Suite, Customer is deemed to have assigned to the </w:t>
      </w:r>
      <w:hyperlink w:anchor="_Toc20" w:tooltip="Licensed Server means a single Server to which a License is assigned. See Glossary for full definition." w:history="1">
        <w:r>
          <w:rPr>
            <w:rStyle w:val="Hyperlink"/>
            <w:color w:val="505050"/>
          </w:rPr>
          <w:t>Licensed Server</w:t>
        </w:r>
      </w:hyperlink>
      <w:r>
        <w:t xml:space="preserve"> Windows Server and System Center Licenses equal to the number of CIS Suite </w:t>
      </w:r>
      <w:hyperlink w:anchor="_Toc20" w:tooltip="License means the right to download, install, access and use a Product." w:history="1">
        <w:r>
          <w:rPr>
            <w:rStyle w:val="Hyperlink"/>
            <w:color w:val="505050"/>
          </w:rPr>
          <w:t>Licenses</w:t>
        </w:r>
      </w:hyperlink>
      <w:r>
        <w:t xml:space="preserve"> assigned to the </w:t>
      </w:r>
      <w:hyperlink w:anchor="_Toc20"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Additional Terms</w:t>
      </w:r>
    </w:p>
    <w:p>
      <w:pPr>
        <w:pStyle w:val="NormalWeb"/>
        <w:spacing w:after="150"/>
      </w:pPr>
      <w:r>
        <w:t>Customer may run a prior version or a down edition of any of the individual Products included in the CIS Suite as permitted in the license terms for that Product in the Product Terms.</w:t>
      </w:r>
    </w:p>
    <w:p>
      <w:pPr>
        <w:pStyle w:val="NormalWeb"/>
        <w:spacing w:before="150"/>
      </w:pPr>
      <w:r>
        <w:t xml:space="preserve">All other requirements to acquire and assign </w:t>
      </w:r>
      <w:hyperlink w:anchor="_Toc20" w:tooltip="External Connector License means a License assigned to a Server dedicated to Customer's use that permits access to the corresponding version of the server software or earlier versions of the server software by External Users." w:history="1">
        <w:r>
          <w:rPr>
            <w:rStyle w:val="Hyperlink"/>
            <w:color w:val="505050"/>
          </w:rPr>
          <w:t>External Connector Licenses</w:t>
        </w:r>
      </w:hyperlink>
      <w:r>
        <w:t xml:space="preserve">, </w:t>
      </w:r>
      <w:hyperlink w:anchor="_Toc20" w:tooltip="CAL means client access license, which may be assigned by user or device, as appropriate. (Refer to Glossary for full definition)" w:history="1">
        <w:r>
          <w:rPr>
            <w:rStyle w:val="Hyperlink"/>
            <w:color w:val="505050"/>
          </w:rPr>
          <w:t>CALs</w:t>
        </w:r>
      </w:hyperlink>
      <w:r>
        <w:t xml:space="preserve"> and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to users or devices for access and management, as set forth in the Product Terms, remain in full force and effect.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95"/>
        <w:gridCol w:w="70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tgtFrame="_blank"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(formerly, System Center Configuration Manager) Current Branch Rights</w:t>
      </w:r>
    </w:p>
    <w:p>
      <w:pPr>
        <w:pStyle w:val="NormalWeb"/>
        <w:spacing w:after="150"/>
      </w:pPr>
      <w:r>
        <w:t xml:space="preserve">Customers with active SA on CIS Suite Standard or Datacenter </w:t>
      </w:r>
      <w:hyperlink w:anchor="_Toc20" w:tooltip="License means the right to download, install, access and use a Product." w:history="1">
        <w:r>
          <w:rPr>
            <w:rStyle w:val="Hyperlink"/>
            <w:color w:val="505050"/>
          </w:rPr>
          <w:t>Licenses</w:t>
        </w:r>
      </w:hyperlink>
      <w:r>
        <w:t xml:space="preserve">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Software Assurance Rights and Benefits for Subscription Licenses</w:t>
      </w:r>
    </w:p>
    <w:p>
      <w:pPr>
        <w:pStyle w:val="NormalWeb"/>
        <w:spacing w:after="150"/>
      </w:pPr>
      <w:r>
        <w:t xml:space="preserve">Any Subscription License Customer acquires under SCE is granted the same SA rights and benefits during the term of the subscription as </w:t>
      </w:r>
      <w:hyperlink w:anchor="_Toc20" w:tooltip="License means the right to download, install, access and use a Product." w:history="1">
        <w:r>
          <w:rPr>
            <w:rStyle w:val="Hyperlink"/>
            <w:color w:val="505050"/>
          </w:rPr>
          <w:t>Licenses</w:t>
        </w:r>
      </w:hyperlink>
      <w:r>
        <w:t xml:space="preserve"> with SA coverage.</w:t>
      </w:r>
    </w:p>
    <w:p>
      <w:pPr>
        <w:pStyle w:val="Heading3"/>
        <w:spacing w:before="150" w:beforeAutospacing="0"/>
        <w:rPr>
          <w:rFonts w:eastAsia="Times New Roman"/>
          <w:color w:val="0078D4"/>
          <w:sz w:val="26"/>
          <w:szCs w:val="26"/>
        </w:rPr>
      </w:pPr>
      <w:r>
        <w:rPr>
          <w:rFonts w:eastAsia="Times New Roman"/>
          <w:color w:val="0078D4"/>
          <w:sz w:val="26"/>
          <w:szCs w:val="26"/>
        </w:rPr>
        <w:t>Software Assurance Renewal Offer for Windows Server and System Center</w:t>
      </w:r>
    </w:p>
    <w:p>
      <w:pPr>
        <w:pStyle w:val="NormalWeb"/>
        <w:spacing w:after="150"/>
      </w:pPr>
      <w:r>
        <w:t xml:space="preserve">Customers who have </w:t>
      </w:r>
      <w:hyperlink w:anchor="_Toc20" w:tooltip="License means the right to download, install, access and use a Product." w:history="1">
        <w:r>
          <w:rPr>
            <w:rStyle w:val="Hyperlink"/>
            <w:color w:val="505050"/>
          </w:rPr>
          <w:t>Licenses</w:t>
        </w:r>
      </w:hyperlink>
      <w:r>
        <w:t xml:space="preserve"> with active SA for both of the Products in Column A of the table below may, upon expiration of that coverage, acquire SA for the corresponding CIS Suite in Column B without acquiring the underlying CIS Suite </w:t>
      </w:r>
      <w:hyperlink w:anchor="_Toc20" w:tooltip="License means the right to download, install, access and use a Product." w:history="1">
        <w:r>
          <w:rPr>
            <w:rStyle w:val="Hyperlink"/>
            <w:color w:val="505050"/>
          </w:rPr>
          <w:t>License</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4"/>
        <w:gridCol w:w="36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A</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B</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 (2-packs of Core Licenses) and System Center Standard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 (2-packs of Core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 (2-packs of Core Licenses) and System Center Datacenter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 (2-packs of Core Licenses)</w:t>
            </w:r>
          </w:p>
        </w:tc>
      </w:tr>
    </w:tbl>
    <w:p>
      <w:pPr>
        <w:pStyle w:val="NormalWeb"/>
      </w:pPr>
      <w:r>
        <w:t xml:space="preserve">Customers who license and use CIS Suite (Standard or Datacenter) under this offer may no longer use software under their qualifying </w:t>
      </w:r>
      <w:hyperlink w:anchor="_Toc20" w:tooltip="License means the right to download, install, access and use a Product." w:history="1">
        <w:r>
          <w:rPr>
            <w:rStyle w:val="Hyperlink"/>
            <w:color w:val="505050"/>
          </w:rPr>
          <w:t>Licenses</w:t>
        </w:r>
      </w:hyperlink>
      <w:r>
        <w:t xml:space="preserve"> shown in Column A. </w:t>
      </w:r>
      <w:hyperlink w:anchor="_Toc20" w:tooltip="License means the right to download, install, access and use a Product." w:history="1">
        <w:r>
          <w:rPr>
            <w:rStyle w:val="Hyperlink"/>
            <w:color w:val="505050"/>
          </w:rPr>
          <w:t>Licenses</w:t>
        </w:r>
      </w:hyperlink>
      <w:r>
        <w:t xml:space="preserve"> and SA acquired under a subscription agreement do not qualify for this offer.</w:t>
      </w:r>
    </w:p>
    <w:p w:rsidR="00ED5159" w:rsidP="00ED5159">
      <w:pPr>
        <w:pStyle w:val="ProductList-Offering2Heading"/>
        <w:outlineLvl w:val="2"/>
      </w:pPr>
      <w:r>
        <w:t>Forefront Identity Manager</w:t>
      </w:r>
      <w:r>
        <w:fldChar w:fldCharType="begin"/>
      </w:r>
      <w:r>
        <w:instrText xml:space="preserve"> TC </w:instrText>
      </w:r>
      <w:bookmarkStart w:id="18" w:name="_Toc256000012"/>
      <w:r>
        <w:instrText>"</w:instrText>
      </w:r>
      <w:r>
        <w:instrText>Forefront Identity Manager</w:instrText>
      </w:r>
      <w:r>
        <w:instrText>"</w:instrText>
      </w:r>
      <w:bookmarkEnd w:id="1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Forefront Identity Manager 2010 R2 -  Windows Live Edition</w:t>
            </w:r>
          </w:p>
        </w:tc>
        <w:tc>
          <w:tcPr/>
          <w:p w:rsidR="00A363CA" w:rsidP="00A363CA">
            <w:pPr>
              <w:pStyle w:val="ProductList-TableBody"/>
            </w:pPr>
            <w:r>
              <w:t>5/12</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35"/>
        <w:gridCol w:w="73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 Windows Live Edition (4/10)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Forefront Identity Manager 2010 - Windows Live Edition</w:t>
      </w:r>
    </w:p>
    <w:p>
      <w:pPr>
        <w:pStyle w:val="NormalWeb"/>
        <w:spacing w:after="150"/>
      </w:pPr>
      <w:r>
        <w:t>Forefront Identity Manager 2010 - Windows Live Edition is the next version for Identity Lifecycle Manager 2007 - Windows Live Edition.</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Importing identity data: Forefront Identity Manager 2010 R2 Windows Live Edition</w:t>
      </w:r>
    </w:p>
    <w:p>
      <w:pPr>
        <w:pStyle w:val="NormalWeb"/>
        <w:spacing w:after="150"/>
      </w:pPr>
      <w:r>
        <w:t>Customer may use the software to import identity data, and changes to those data, from one or more connected data sources and to facilitate the synchronization and transfer of those data, between Customer's connected data sources and the Microsoft Passport Network / Windows Live ID service. Customer may not use the software for any other purpose.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Software</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Microsoft Identity Manager</w:t>
      </w:r>
      <w:r>
        <w:fldChar w:fldCharType="begin"/>
      </w:r>
      <w:r>
        <w:instrText xml:space="preserve"> TC </w:instrText>
      </w:r>
      <w:bookmarkStart w:id="19" w:name="_Toc256000013"/>
      <w:r>
        <w:instrText>"</w:instrText>
      </w:r>
      <w:r>
        <w:instrText>Microsoft Identity Manager</w:instrText>
      </w:r>
      <w:r>
        <w:instrText>"</w:instrText>
      </w:r>
      <w:bookmarkEnd w:id="1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Identity Manager 2016 External Connector</w:t>
            </w:r>
          </w:p>
        </w:tc>
        <w:tc>
          <w:tcPr/>
          <w:p w:rsidR="00A363CA" w:rsidP="00A363CA">
            <w:pPr>
              <w:pStyle w:val="ProductList-TableBody"/>
            </w:pPr>
            <w:r>
              <w:t>8/15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Identity Manager 2016 CAL (User)</w:t>
            </w:r>
          </w:p>
        </w:tc>
        <w:tc>
          <w:tcPr/>
          <w:p w:rsidR="00A363CA" w:rsidP="00A363CA">
            <w:pPr>
              <w:pStyle w:val="ProductList-TableBody"/>
            </w:pPr>
            <w:r>
              <w:t>8/15</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42"/>
        <w:gridCol w:w="678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R2 (5/12)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2"/>
        <w:gridCol w:w="49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Microsoft Identity Manager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Software</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4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4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0"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0"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0"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0"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w:t>
      </w:r>
      <w:r>
        <w:fldChar w:fldCharType="begin"/>
      </w:r>
      <w:r>
        <w:instrText xml:space="preserve"> TC </w:instrText>
      </w:r>
      <w:bookmarkStart w:id="20" w:name="_Toc256000014"/>
      <w:r>
        <w:instrText>"</w:instrText>
      </w:r>
      <w:r>
        <w:instrText>System Center</w:instrText>
      </w:r>
      <w:r>
        <w:instrText>"</w:instrText>
      </w:r>
      <w:bookmarkEnd w:id="20"/>
      <w:r>
        <w:instrText xml:space="preserve"> \l 2</w:instrText>
      </w:r>
      <w:r>
        <w:fldChar w:fldCharType="end"/>
      </w:r>
    </w:p>
    <w:p w:rsidR="00ED5159" w:rsidP="00ED5159">
      <w:pPr>
        <w:pStyle w:val="ProductList-Offering2Heading"/>
        <w:outlineLvl w:val="2"/>
      </w:pPr>
      <w:r>
        <w:t>System Center Server</w:t>
      </w:r>
      <w:r>
        <w:fldChar w:fldCharType="begin"/>
      </w:r>
      <w:r>
        <w:instrText xml:space="preserve"> TC </w:instrText>
      </w:r>
      <w:bookmarkStart w:id="21" w:name="_Toc256000015"/>
      <w:r>
        <w:instrText>"</w:instrText>
      </w:r>
      <w:bookmarkStart w:id="22" w:name=""/>
      <w:r>
        <w:instrText>System Center Server</w:instrText>
      </w:r>
      <w:bookmarkEnd w:id="22"/>
      <w:r>
        <w:instrText>"</w:instrText>
      </w:r>
      <w:bookmarkEnd w:id="2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Datacenter Server Management License (2-packs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Datacenter Server Management License (16-packs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Standard Server Management License (2-packs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Standard Server Management License (16-packs of Core Licenses)</w:t>
            </w:r>
          </w:p>
        </w:tc>
        <w:tc>
          <w:tcPr/>
          <w:p w:rsidR="00A363CA" w:rsidP="00A363CA">
            <w:pPr>
              <w:pStyle w:val="ProductList-TableBody"/>
            </w:pPr>
            <w:r>
              <w:t>11/24</w:t>
            </w:r>
          </w:p>
        </w:tc>
        <w:tc>
          <w:tcPr/>
          <w:p w:rsidR="00A363CA" w:rsidP="00A363CA">
            <w:pPr>
              <w:pStyle w:val="ProductList-TableBody"/>
            </w:pPr>
            <w:r>
              <w:t>Additional Product</w:t>
            </w:r>
          </w:p>
        </w:tc>
      </w:tr>
    </w:tbl>
    <w:p>
      <w:pPr>
        <w:pStyle w:val="NormalWeb"/>
      </w:pPr>
      <w:r>
        <w:rPr>
          <w:i/>
          <w:iCs/>
        </w:rPr>
        <w:t>*May not be available in all sales channels and geos for MCA.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69"/>
        <w:gridCol w:w="59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Use with Azure Security Center or Microsoft Defender for Endpoint</w:t>
      </w:r>
    </w:p>
    <w:p>
      <w:pPr>
        <w:pStyle w:val="NormalWeb"/>
        <w:spacing w:after="150"/>
      </w:pPr>
      <w:r>
        <w:t xml:space="preserve">Customer may use System Center Endpoint Protection to manage </w:t>
      </w:r>
      <w:hyperlink w:anchor="_Toc20" w:tooltip="Virtual OSE means an OSE that is configured to run on a virtual hardware system" w:history="1">
        <w:r>
          <w:rPr>
            <w:rStyle w:val="Hyperlink"/>
            <w:color w:val="505050"/>
          </w:rPr>
          <w:t>Virtual OSEs</w:t>
        </w:r>
      </w:hyperlink>
      <w:r>
        <w:t xml:space="preserve"> it is protecting using the Standard tier of Azure Security Center or Microsoft Defender for Endpoint. The System Center License Terms, as amended here, govern that use. Managed </w:t>
      </w:r>
      <w:hyperlink w:anchor="_Toc20" w:tooltip="Virtual OSE means an OSE that is configured to run on a virtual hardware system" w:history="1">
        <w:r>
          <w:rPr>
            <w:rStyle w:val="Hyperlink"/>
            <w:color w:val="505050"/>
          </w:rPr>
          <w:t>Virtual OSEs</w:t>
        </w:r>
      </w:hyperlink>
      <w:r>
        <w:t xml:space="preserve"> can be running on shared or dedicated </w:t>
      </w:r>
      <w:hyperlink w:anchor="_Toc20" w:tooltip="Server means a physical hardware system capable of running server software." w:history="1">
        <w:r>
          <w:rPr>
            <w:rStyle w:val="Hyperlink"/>
            <w:color w:val="505050"/>
          </w:rPr>
          <w:t>Servers</w:t>
        </w:r>
      </w:hyperlink>
      <w:r>
        <w:t xml:space="preserve">. Customer is not required to acquire and assign System Center </w:t>
      </w:r>
      <w:hyperlink w:anchor="_Toc20" w:tooltip="License means the right to download, install, access and use a Product." w:history="1">
        <w:r>
          <w:rPr>
            <w:rStyle w:val="Hyperlink"/>
            <w:color w:val="505050"/>
          </w:rPr>
          <w:t>Licenses</w:t>
        </w:r>
      </w:hyperlink>
      <w:r>
        <w:t xml:space="preserve"> for this limited use.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w:t>
      </w:r>
    </w:p>
    <w:p>
      <w:pPr>
        <w:pStyle w:val="NormalWeb"/>
        <w:spacing w:after="150"/>
      </w:pPr>
      <w:r>
        <w:t xml:space="preserve">Customer may Manage any number of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t>
      </w:r>
      <w:hyperlink w:anchor="_Toc20" w:tooltip="Windows Server Container is a feature of Windows Server software." w:history="1">
        <w:r>
          <w:rPr>
            <w:rStyle w:val="Hyperlink"/>
            <w:color w:val="505050"/>
          </w:rPr>
          <w:t>Windows Server Containers</w:t>
        </w:r>
      </w:hyperlink>
      <w:r>
        <w:t xml:space="preserve"> on the </w:t>
      </w:r>
      <w:hyperlink w:anchor="_Toc20" w:tooltip="Licensed Server means a single Server to which a License is assigned. See Glossary for full definition." w:history="1">
        <w:r>
          <w:rPr>
            <w:rStyle w:val="Hyperlink"/>
            <w:color w:val="505050"/>
          </w:rPr>
          <w:t>Licensed Server</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Standard</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System Center 2025 Standard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Datacenter</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2025 Datacenter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(License Mobility through SA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Microsoft Endpoint Configuration Manager</w:t>
      </w:r>
      <w:r>
        <w:fldChar w:fldCharType="begin"/>
      </w:r>
      <w:r>
        <w:instrText xml:space="preserve"> TC </w:instrText>
      </w:r>
      <w:bookmarkStart w:id="23" w:name="_Toc256000016"/>
      <w:r>
        <w:instrText>"</w:instrText>
      </w:r>
      <w:r>
        <w:instrText>Microsoft Endpoint Configuration Manager</w:instrText>
      </w:r>
      <w:r>
        <w:instrText>"</w:instrText>
      </w:r>
      <w:bookmarkEnd w:id="2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Endpoint Configuration Manager Client Management License per OSE*</w:t>
            </w:r>
          </w:p>
        </w:tc>
        <w:tc>
          <w:tcPr/>
          <w:p w:rsidR="00A363CA" w:rsidP="00A363CA">
            <w:pPr>
              <w:pStyle w:val="ProductList-TableBody"/>
            </w:pPr>
            <w:r>
              <w:t>10/16</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Endpoint Configuration Manager Client Management License per User*</w:t>
            </w:r>
          </w:p>
        </w:tc>
        <w:tc>
          <w:tcPr/>
          <w:p w:rsidR="00A363CA" w:rsidP="00A363CA">
            <w:pPr>
              <w:pStyle w:val="ProductList-TableBody"/>
            </w:pPr>
            <w:r>
              <w:t>10/16</w:t>
            </w:r>
          </w:p>
        </w:tc>
        <w:tc>
          <w:tcPr/>
          <w:p w:rsidR="00A363CA" w:rsidP="00A363CA">
            <w:pPr>
              <w:pStyle w:val="ProductList-TableBody"/>
            </w:pPr>
            <w:r>
              <w:t>Additional Product</w:t>
            </w:r>
          </w:p>
        </w:tc>
      </w:tr>
    </w:tbl>
    <w:p>
      <w:pPr>
        <w:pStyle w:val="NormalWeb"/>
      </w:pPr>
      <w:r>
        <w:rPr>
          <w:i/>
          <w:iCs/>
        </w:rPr>
        <w:t>*Microsoft Endpoint Configuration Manager is a Current Branch release originally made available in 10/16 as System Center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22"/>
        <w:gridCol w:w="71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Configuration Manager 1606 (10/16)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 xml:space="preserve">Enrollment for Education Solutions and School Subscription Enrollment customers may purchase Microsoft Endpoint Configuration Manager 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w:t>
        </w:r>
      </w:hyperlink>
      <w:r>
        <w:t xml:space="preserve"> per OSE and deploy as per User or per OSE as contemplated in the Management Servers License Model.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only for the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Endpoint Configuration Manager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365 F3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Intune P1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Intune P1 for Devices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Management License Equivalent License (refer to </w:t>
            </w:r>
            <w:hyperlink r:id="rId109"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 VDI Rights</w:t>
      </w:r>
    </w:p>
    <w:p>
      <w:pPr>
        <w:pStyle w:val="NormalWeb"/>
        <w:spacing w:after="150"/>
      </w:pPr>
      <w:r>
        <w:t xml:space="preserve">Customers with active SA coverage for Microsoft Endpoint Configuration Manager CMLs, Core CALs, or Enterprise CALs (each, a “VDI qualifying license”) may use the software to manage, at any one time, up to four </w:t>
      </w:r>
      <w:hyperlink w:anchor="_Toc20" w:tooltip="Virtual OSE means an OSE that is configured to run on a virtual hardware system" w:history="1">
        <w:r>
          <w:rPr>
            <w:rStyle w:val="Hyperlink"/>
            <w:color w:val="505050"/>
          </w:rPr>
          <w:t>Virtual OSEs</w:t>
        </w:r>
      </w:hyperlink>
      <w:r>
        <w:t xml:space="preserve"> in which software used remotely from the device or by the user to which that VDI qualifying </w:t>
      </w:r>
      <w:hyperlink w:anchor="_Toc20" w:tooltip="License means the right to download, install, access and use a Product." w:history="1">
        <w:r>
          <w:rPr>
            <w:rStyle w:val="Hyperlink"/>
            <w:color w:val="505050"/>
          </w:rPr>
          <w:t>License</w:t>
        </w:r>
      </w:hyperlink>
      <w:r>
        <w:t xml:space="preserve"> has been assigned, is running. Each </w:t>
      </w:r>
      <w:hyperlink w:anchor="_Toc20" w:tooltip="Virtual OSE means an OSE that is configured to run on a virtual hardware system." w:history="1">
        <w:r>
          <w:rPr>
            <w:rStyle w:val="Hyperlink"/>
            <w:color w:val="505050"/>
          </w:rPr>
          <w:t>Virtual OSE</w:t>
        </w:r>
      </w:hyperlink>
      <w:r>
        <w:t xml:space="preserve"> may be run on a different virtual desktop infrastructure hosts.</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Current Branch Rights</w:t>
      </w:r>
    </w:p>
    <w:p>
      <w:pPr>
        <w:pStyle w:val="NormalWeb"/>
        <w:spacing w:after="150"/>
      </w:pPr>
      <w:r>
        <w:t xml:space="preserve">Customers with active SA on Microsoft Endpoint Configuration Manager Licenses, or ML equivalent </w:t>
      </w:r>
      <w:hyperlink w:anchor="_Toc20" w:tooltip="License means the right to download, install, access and use a Product." w:history="1">
        <w:r>
          <w:rPr>
            <w:rStyle w:val="Hyperlink"/>
            <w:color w:val="505050"/>
          </w:rPr>
          <w:t>Licenses</w:t>
        </w:r>
      </w:hyperlink>
      <w:r>
        <w:t>,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Access to Intune</w:t>
      </w:r>
    </w:p>
    <w:p>
      <w:pPr>
        <w:pStyle w:val="NormalWeb"/>
        <w:spacing w:after="150"/>
      </w:pPr>
      <w:r>
        <w:t xml:space="preserve">Customers with active SA on Microsoft Endpoint Configuration Manager Licenses, or ML equivalent </w:t>
      </w:r>
      <w:hyperlink w:anchor="_Toc20" w:tooltip="License means the right to download, install, access and use a Product." w:history="1">
        <w:r>
          <w:rPr>
            <w:rStyle w:val="Hyperlink"/>
            <w:color w:val="505050"/>
          </w:rPr>
          <w:t>Licenses</w:t>
        </w:r>
      </w:hyperlink>
      <w:r>
        <w:t xml:space="preserve">, may permit limited access to Intune by its </w:t>
      </w:r>
      <w:hyperlink w:anchor="_Toc20" w:tooltip="Licensed User means the single person to whom a License is assigned." w:history="1">
        <w:r>
          <w:rPr>
            <w:rStyle w:val="Hyperlink"/>
            <w:color w:val="505050"/>
          </w:rPr>
          <w:t>Licensed Users</w:t>
        </w:r>
      </w:hyperlink>
      <w:r>
        <w:t xml:space="preserve"> in conjunction with use of Microsoft Endpoint Configuration Manager for the co-management of those users’ PCs. Access and use of these Intune features are subject to the Intune License Terms as set forth in </w:t>
      </w:r>
      <w:hyperlink r:id="rId110" w:history="1">
        <w:r>
          <w:rPr>
            <w:rStyle w:val="Hyperlink"/>
            <w:color w:val="505050"/>
          </w:rPr>
          <w:t>Microsoft Intune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Access to System Center Configuration Manager 1606</w:t>
      </w:r>
    </w:p>
    <w:p>
      <w:pPr>
        <w:pStyle w:val="NormalWeb"/>
        <w:spacing w:after="150"/>
      </w:pPr>
      <w:r>
        <w:t xml:space="preserve">Optionally, Customer may use System Center Configuration Manager 1606 in place of the Microsoft Endpoint Configuration Manager to manage its </w:t>
      </w:r>
      <w:hyperlink w:anchor="_Toc20" w:tooltip="Licensed Device means a single physical hardware system to which a License is assigned (see Glossary for full definition)" w:history="1">
        <w:r>
          <w:rPr>
            <w:rStyle w:val="Hyperlink"/>
            <w:color w:val="505050"/>
          </w:rPr>
          <w:t>Licensed Devices</w:t>
        </w:r>
      </w:hyperlink>
      <w:r>
        <w:t xml:space="preserve"> or devices used by </w:t>
      </w:r>
      <w:hyperlink w:anchor="_Toc20" w:tooltip="Licensed User means the single person to whom a License is assigned." w:history="1">
        <w:r>
          <w:rPr>
            <w:rStyle w:val="Hyperlink"/>
            <w:color w:val="505050"/>
          </w:rPr>
          <w:t>Licensed Users</w:t>
        </w:r>
      </w:hyperlink>
      <w:r>
        <w:t>. The right to use System Center Configuration Manager 1606 continues upon expiration of Customer’s SA except in the case of expired subscription-based Microsoft Endpoint Configuration Manager</w:t>
      </w:r>
    </w:p>
    <w:p>
      <w:pPr>
        <w:pStyle w:val="NormalWeb"/>
        <w:spacing w:before="150"/>
      </w:pPr>
      <w:r>
        <w:t>Licenses or expired subscription-based ML equivalent Licenses. This does not permit ongoing use of Microsoft Endpoint Configuration Manager after SA expires.</w:t>
      </w:r>
    </w:p>
    <w:p w:rsidR="00ED5159" w:rsidP="00ED5159">
      <w:pPr>
        <w:pStyle w:val="ProductList-Offering2Heading"/>
        <w:outlineLvl w:val="2"/>
      </w:pPr>
      <w:r>
        <w:t>System Center Data Protection Manager</w:t>
      </w:r>
      <w:r>
        <w:fldChar w:fldCharType="begin"/>
      </w:r>
      <w:r>
        <w:instrText xml:space="preserve"> TC </w:instrText>
      </w:r>
      <w:bookmarkStart w:id="24" w:name="_Toc256000017"/>
      <w:r>
        <w:instrText>"</w:instrText>
      </w:r>
      <w:r>
        <w:instrText>System Center Data Protection Manager</w:instrText>
      </w:r>
      <w:r>
        <w:instrText>"</w:instrText>
      </w:r>
      <w:bookmarkEnd w:id="2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2019 Data Protection Manager per OSE (Client ML)</w:t>
            </w:r>
          </w:p>
        </w:tc>
        <w:tc>
          <w:tcPr/>
          <w:p w:rsidR="00A363CA" w:rsidP="00A363CA">
            <w:pPr>
              <w:pStyle w:val="ProductList-TableBody"/>
            </w:pPr>
            <w:r>
              <w:t>3/19</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2019 Data Protection Manager per User (Client ML)</w:t>
            </w:r>
          </w:p>
        </w:tc>
        <w:tc>
          <w:tcPr/>
          <w:p w:rsidR="00A363CA" w:rsidP="00A363CA">
            <w:pPr>
              <w:pStyle w:val="ProductList-TableBody"/>
            </w:pPr>
            <w:r>
              <w:t>3/19</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03"/>
        <w:gridCol w:w="71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2016 Data Protection Manager (1/17)</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11"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4"/>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4"/>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Data Protection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Data Protection Manager Current Branch Rights</w:t>
      </w:r>
    </w:p>
    <w:p>
      <w:pPr>
        <w:pStyle w:val="NormalWeb"/>
        <w:spacing w:after="150"/>
      </w:pPr>
      <w:r>
        <w:t>Customers with active SA on System Center Data Protection Manager Licenses, or ML equivalent License, may install and use the Current Branch option of System Center Data Protection Manager.</w:t>
      </w:r>
    </w:p>
    <w:p w:rsidR="00ED5159" w:rsidP="00ED5159">
      <w:pPr>
        <w:pStyle w:val="ProductList-Offering2Heading"/>
        <w:outlineLvl w:val="2"/>
      </w:pPr>
      <w:r>
        <w:t>System Center Endpoint Protection</w:t>
      </w:r>
      <w:r>
        <w:fldChar w:fldCharType="begin"/>
      </w:r>
      <w:r>
        <w:instrText xml:space="preserve"> TC </w:instrText>
      </w:r>
      <w:bookmarkStart w:id="25" w:name="_Toc256000018"/>
      <w:r>
        <w:instrText>"</w:instrText>
      </w:r>
      <w:r>
        <w:instrText>System Center Endpoint Protection</w:instrText>
      </w:r>
      <w:r>
        <w:instrText>"</w:instrText>
      </w:r>
      <w:bookmarkEnd w:id="2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Endpoint Protection 1606 (Device and User SL)</w:t>
            </w:r>
          </w:p>
        </w:tc>
        <w:tc>
          <w:tcPr/>
          <w:p w:rsidR="00A363CA" w:rsidP="00A363CA">
            <w:pPr>
              <w:pStyle w:val="ProductList-TableBody"/>
            </w:pPr>
            <w:r>
              <w:t>10/16</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26"/>
        <w:gridCol w:w="710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Endpoint Protection (10/13)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Server Management SLs</w:t>
      </w:r>
    </w:p>
    <w:p>
      <w:pPr>
        <w:pStyle w:val="NormalWeb"/>
        <w:spacing w:after="150"/>
      </w:pPr>
      <w:r>
        <w:t xml:space="preserve">In addition to User SL requirements, Server Management Licenses are required for each Server in the number specified in the System Center 2016 Datacenter and Standard license terms. For purposes of this statement,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running server operating systems that access System Center Endpoint Protection or related software are managed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For this paragraph, a “Servers" is a device on which Customer runs server operating system software.</w:t>
      </w:r>
    </w:p>
    <w:p>
      <w:pPr>
        <w:pStyle w:val="Heading3"/>
        <w:spacing w:before="150" w:beforeAutospacing="0"/>
        <w:rPr>
          <w:rFonts w:eastAsia="Times New Roman"/>
          <w:color w:val="0078D4"/>
          <w:sz w:val="26"/>
          <w:szCs w:val="26"/>
        </w:rPr>
      </w:pPr>
      <w:r>
        <w:rPr>
          <w:rFonts w:eastAsia="Times New Roman"/>
          <w:color w:val="0078D4"/>
          <w:sz w:val="26"/>
          <w:szCs w:val="26"/>
        </w:rPr>
        <w:t>Substitution of Scan Engines</w:t>
      </w:r>
    </w:p>
    <w:p>
      <w:pPr>
        <w:pStyle w:val="NormalWeb"/>
        <w:spacing w:after="150"/>
      </w:pPr>
      <w:r>
        <w:t>Microsoft may substitute comparable software and files for the Online Service's:</w:t>
      </w:r>
    </w:p>
    <w:p>
      <w:pPr>
        <w:numPr>
          <w:ilvl w:val="0"/>
          <w:numId w:val="4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anti-virus and anti-spam software; and</w:t>
      </w:r>
    </w:p>
    <w:p>
      <w:pPr>
        <w:numPr>
          <w:ilvl w:val="0"/>
          <w:numId w:val="4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signature files and content filtering data files.</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Endpoint Protection (User or Device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(User SL, Add-on), Intune for EDU (User SL, Device SL, Add-on), Intune for Devices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E5 and A5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Education E5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VDA E5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24"/>
        <w:gridCol w:w="51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Current Branch Rights</w:t>
      </w:r>
    </w:p>
    <w:p>
      <w:pPr>
        <w:pStyle w:val="NormalWeb"/>
        <w:spacing w:after="150"/>
      </w:pPr>
      <w:r>
        <w:t>Customers with active SA on System Center Endpoint Protection Licenses, or ML equivalent License, may install and use the Current Branch option of System Center Endpoint Protection.</w:t>
      </w:r>
    </w:p>
    <w:p w:rsidR="00ED5159" w:rsidP="00ED5159">
      <w:pPr>
        <w:pStyle w:val="ProductList-Offering2Heading"/>
        <w:outlineLvl w:val="2"/>
      </w:pPr>
      <w:r>
        <w:t>System Center Operations Manager</w:t>
      </w:r>
      <w:r>
        <w:fldChar w:fldCharType="begin"/>
      </w:r>
      <w:r>
        <w:instrText xml:space="preserve"> TC </w:instrText>
      </w:r>
      <w:bookmarkStart w:id="26" w:name="_Toc256000019"/>
      <w:r>
        <w:instrText>"</w:instrText>
      </w:r>
      <w:r>
        <w:instrText>System Center Operations Manager</w:instrText>
      </w:r>
      <w:r>
        <w:instrText>"</w:instrText>
      </w:r>
      <w:bookmarkEnd w:id="2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Operations Manager per User (Client ML)</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Operations Manager per OSE (Client ML)</w:t>
            </w:r>
          </w:p>
        </w:tc>
        <w:tc>
          <w:tcPr/>
          <w:p w:rsidR="00A363CA" w:rsidP="00A363CA">
            <w:pPr>
              <w:pStyle w:val="ProductList-TableBody"/>
            </w:pPr>
            <w:r>
              <w:t>11/24</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46"/>
        <w:gridCol w:w="69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Operations Manager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Enrollment for Education Solutions and School Subscription Enrollment customers may purchase System Center 2025 Operations Manager Client Management License per OSE and deploy as per User or per OSE.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Operations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Operations Manager Current Branch Rights</w:t>
      </w:r>
    </w:p>
    <w:p>
      <w:pPr>
        <w:pStyle w:val="NormalWeb"/>
        <w:spacing w:after="150"/>
      </w:pPr>
      <w:r>
        <w:t>Customers with active SA on System Center Operations Manager Licenses, or ML equivalent License, may install and use the Current Branch option of System Center Operations Manager.</w:t>
      </w:r>
    </w:p>
    <w:p w:rsidR="00ED5159" w:rsidP="00ED5159">
      <w:pPr>
        <w:pStyle w:val="ProductList-Offering2Heading"/>
        <w:outlineLvl w:val="2"/>
      </w:pPr>
      <w:r>
        <w:t>System Center Orchestrator</w:t>
      </w:r>
      <w:r>
        <w:fldChar w:fldCharType="begin"/>
      </w:r>
      <w:r>
        <w:instrText xml:space="preserve"> TC </w:instrText>
      </w:r>
      <w:bookmarkStart w:id="27" w:name="_Toc256000020"/>
      <w:r>
        <w:instrText>"</w:instrText>
      </w:r>
      <w:r>
        <w:instrText>System Center Orchestrator</w:instrText>
      </w:r>
      <w:r>
        <w:instrText>"</w:instrText>
      </w:r>
      <w:bookmarkEnd w:id="2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Orchestrator per OSE (Client ML)</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Orchestrator per User (Client ML)</w:t>
            </w:r>
          </w:p>
        </w:tc>
        <w:tc>
          <w:tcPr/>
          <w:p w:rsidR="00A363CA" w:rsidP="00A363CA">
            <w:pPr>
              <w:pStyle w:val="ProductList-TableBody"/>
            </w:pPr>
            <w:r>
              <w:t>11/24</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51"/>
        <w:gridCol w:w="66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Orchestrator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 xml:space="preserve">Enrollment for Education Solutions and School Subscription Enrollment customers may purchase System Center 2025 Orchestrator Client Management License per OSE and deploy as per User or per OSE as contemplated in the </w:t>
      </w:r>
      <w:hyperlink w:anchor="_Sec544" w:history="1">
        <w:r>
          <w:rPr>
            <w:rStyle w:val="Hyperlink"/>
            <w:color w:val="505050"/>
          </w:rPr>
          <w:t>Management Servers</w:t>
        </w:r>
      </w:hyperlink>
      <w:r>
        <w:t xml:space="preserve"> License Model.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Orchestrator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 Service Manager</w:t>
      </w:r>
      <w:r>
        <w:fldChar w:fldCharType="begin"/>
      </w:r>
      <w:r>
        <w:instrText xml:space="preserve"> TC </w:instrText>
      </w:r>
      <w:bookmarkStart w:id="28" w:name="_Toc256000021"/>
      <w:r>
        <w:instrText>"</w:instrText>
      </w:r>
      <w:r>
        <w:instrText>System Center Service Manager</w:instrText>
      </w:r>
      <w:r>
        <w:instrText>"</w:instrText>
      </w:r>
      <w:bookmarkEnd w:id="2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Service Manager per User (Client ML)</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Service Manager per OSE (Client ML)</w:t>
            </w:r>
          </w:p>
        </w:tc>
        <w:tc>
          <w:tcPr/>
          <w:p w:rsidR="00A363CA" w:rsidP="00A363CA">
            <w:pPr>
              <w:pStyle w:val="ProductList-TableBody"/>
            </w:pPr>
            <w:r>
              <w:t>11/24</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9"/>
        <w:gridCol w:w="68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Service Manager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 xml:space="preserve">Enrollment for Education Solutions and School Subscription Enrollment customers may purchase System Center 2025 Service Manager Client Management License per OSE and deploy as per User or per OSE as contemplated in the </w:t>
      </w:r>
      <w:hyperlink w:anchor="_Sec544" w:history="1">
        <w:r>
          <w:rPr>
            <w:rStyle w:val="Hyperlink"/>
            <w:color w:val="505050"/>
          </w:rPr>
          <w:t>Management Servers</w:t>
        </w:r>
      </w:hyperlink>
      <w:r>
        <w:t xml:space="preserve"> License Model.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0"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0"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Service Manager License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CAL (User)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Service Manager Current Branch Rights</w:t>
      </w:r>
    </w:p>
    <w:p>
      <w:pPr>
        <w:pStyle w:val="NormalWeb"/>
        <w:spacing w:after="150"/>
      </w:pPr>
      <w:r>
        <w:t>Customers with active SA on System Center Service Manager Licenses, or ML equivalent License, may install and use the Current Branch option of System Center Service Manager.</w:t>
      </w:r>
    </w:p>
    <w:p w:rsidR="00ED5159" w:rsidP="00ED5159">
      <w:pPr>
        <w:pStyle w:val="ProductList-OfferingGroupHeading"/>
        <w:outlineLvl w:val="1"/>
      </w:pPr>
      <w:r>
        <w:t>Microsoft Dynamics 365 On-premises</w:t>
      </w:r>
      <w:r>
        <w:fldChar w:fldCharType="begin"/>
      </w:r>
      <w:r>
        <w:instrText xml:space="preserve"> TC </w:instrText>
      </w:r>
      <w:bookmarkStart w:id="29" w:name="_Toc256000022"/>
      <w:r>
        <w:instrText>"</w:instrText>
      </w:r>
      <w:r>
        <w:instrText>Microsoft Dynamics 365 On-premises</w:instrText>
      </w:r>
      <w:r>
        <w:instrText>"</w:instrText>
      </w:r>
      <w:bookmarkEnd w:id="2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Dynamics 365 Sales On-premises CAL (Device and User)</w:t>
            </w:r>
          </w:p>
        </w:tc>
        <w:tc>
          <w:tcPr/>
          <w:p w:rsidR="00A363CA" w:rsidP="00A363CA">
            <w:pPr>
              <w:pStyle w:val="ProductList-TableBody"/>
            </w:pPr>
            <w:r>
              <w:t>12/16</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Customer Service On-premises CAL (Device and User)</w:t>
            </w:r>
          </w:p>
        </w:tc>
        <w:tc>
          <w:tcPr/>
          <w:p w:rsidR="00A363CA" w:rsidP="00A363CA">
            <w:pPr>
              <w:pStyle w:val="ProductList-TableBody"/>
            </w:pPr>
            <w:r>
              <w:t>12/16</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Team Members On-premises CAL (Device and User)</w:t>
            </w:r>
          </w:p>
        </w:tc>
        <w:tc>
          <w:tcPr/>
          <w:p w:rsidR="00A363CA" w:rsidP="00A363CA">
            <w:pPr>
              <w:pStyle w:val="ProductList-TableBody"/>
            </w:pPr>
            <w:r>
              <w:t>12/16</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72"/>
        <w:gridCol w:w="81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CRM 2016 (12/15), Dynamics CRM 2015 (12/14), Dynamics AX 2012 R3 (5/14), Dynamics AX 2012 R2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70"/>
        <w:gridCol w:w="77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Sales and Customer Service CALs, except for (i) Customer's or its Affiliates' contractors or agents; (ii) access through Dynamics 365 Clients; or (iii) Licensed with 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for Operations Servers </w:t>
      </w:r>
    </w:p>
    <w:p>
      <w:pPr>
        <w:pStyle w:val="NormalWeb"/>
        <w:spacing w:after="150"/>
      </w:pPr>
      <w:r>
        <w:t>The software may include plug-ins, runtime, and other components identified in printed or online documentation that allow Customer to extend its functionality. Customer may modify or create derivative works of these components and use those derivative works, but only with the software and only for Customer's internal purposes. </w:t>
      </w:r>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On-Premises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Use Rights for Dynamics 365 CALs</w:t>
      </w:r>
    </w:p>
    <w:p>
      <w:pPr>
        <w:pStyle w:val="NormalWeb"/>
        <w:spacing w:after="150"/>
      </w:pPr>
      <w:r>
        <w:t xml:space="preserve">Customers with Dynamics 365 CALs may install and use any number of copies of the corresponding Dynamics 365 Server software on a server dedicated to Customer's use. Any </w:t>
      </w:r>
      <w:hyperlink w:anchor="_Toc20" w:tooltip="Server means a physical hardware system capable of running server software." w:history="1">
        <w:r>
          <w:rPr>
            <w:rStyle w:val="Hyperlink"/>
            <w:color w:val="505050"/>
          </w:rPr>
          <w:t>Server</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This right does not apply to Dynamics 365 Operations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for Qualified Offers</w:t>
      </w:r>
    </w:p>
    <w:p>
      <w:pPr>
        <w:pStyle w:val="NormalWeb"/>
        <w:spacing w:after="150"/>
      </w:pPr>
      <w:r>
        <w:t>Customers renewing an agreement with Dynamics CRM CAL Licenses as of November 1, 2016 may acquire Dynamics 365 On-premises CAL Qualified Offer Licenses in agreement renewals before October 31, 2019.</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for Team Members CALs</w:t>
      </w:r>
    </w:p>
    <w:p>
      <w:pPr>
        <w:pStyle w:val="NormalWeb"/>
        <w:spacing w:after="150"/>
      </w:pPr>
      <w:r>
        <w:t xml:space="preserve">Existing Enterprise Agreement Subscription customers with Team Members licenses acquired prior to May 1, 2019 may use existing and newly acquired Dynamics 365 Team Members CALs in accordance with the Dynamics 365 service description at </w:t>
      </w:r>
      <w:hyperlink r:id="rId112" w:history="1">
        <w:r>
          <w:rPr>
            <w:rStyle w:val="Hyperlink"/>
            <w:color w:val="505050"/>
          </w:rPr>
          <w:t>https://aka.ms/D365TeamMembersExistingCustomer</w:t>
        </w:r>
      </w:hyperlink>
      <w:r>
        <w:t xml:space="preserve"> through the duration of their existing agreement and any subsequent subscription term begun prior to December 31, 2020.</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72"/>
        <w:gridCol w:w="3690"/>
        <w:gridCol w:w="316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Microsoft Outlook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E-Mail Router and Rule Deployment Wizard for Microsoft Dynamics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Reporting Extensions for Microsoft Dynamics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Report Authoring Extensions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Multilingual User Interface (MUI)</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supported devices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0"/>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Dynamics 365 On-premises Server Software Access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90"/>
        <w:gridCol w:w="524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access entitlement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Team Members On-premises CAL (Device and User)</w:t>
            </w:r>
          </w:p>
          <w:p>
            <w:pPr>
              <w:pStyle w:val="NormalWeb"/>
              <w:spacing w:before="150"/>
            </w:pPr>
            <w:r>
              <w:t>Dynamics 365 Team Members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 Team Members use (Except that Device CALs do not include access to Operations functionality.)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Sales On-premises CAL (Device and User)</w:t>
            </w:r>
          </w:p>
          <w:p>
            <w:pPr>
              <w:pStyle w:val="NormalWeb"/>
              <w:spacing w:before="150"/>
            </w:pPr>
            <w:r>
              <w:t>Dynamics 365 Sales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Customer Service On-premises CAL (Device and User)</w:t>
            </w:r>
          </w:p>
          <w:p>
            <w:pPr>
              <w:pStyle w:val="NormalWeb"/>
              <w:spacing w:before="150"/>
            </w:pPr>
            <w:r>
              <w:t>Dynamics 365 Customer Service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Customer Service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On-premises CAL (User)</w:t>
            </w:r>
          </w:p>
          <w:p>
            <w:pPr>
              <w:pStyle w:val="NormalWeb"/>
              <w:spacing w:before="150"/>
            </w:pPr>
            <w:r>
              <w:t>Dynamics 365 Supply Chain Management (User SL)</w:t>
            </w:r>
          </w:p>
          <w:p>
            <w:pPr>
              <w:pStyle w:val="NormalWeb"/>
              <w:spacing w:before="150"/>
            </w:pPr>
            <w:r>
              <w:t>Dynamics 365 Finance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Activity On-premises CAL (User)</w:t>
            </w:r>
          </w:p>
          <w:p>
            <w:pPr>
              <w:pStyle w:val="NormalWeb"/>
              <w:spacing w:before="150"/>
            </w:pPr>
            <w:r>
              <w:t>Dynamics 365 Operations Activity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Activity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Device On-premises CAL (Device)</w:t>
            </w:r>
          </w:p>
          <w:p>
            <w:pPr>
              <w:pStyle w:val="NormalWeb"/>
              <w:spacing w:before="150"/>
            </w:pPr>
            <w:r>
              <w:t>Dynamics 365 Operations Device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Device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773"/>
        <w:gridCol w:w="75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November 2014 and June 2015</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December 2016</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July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Dynamics 365 Server Rights </w:t>
      </w:r>
    </w:p>
    <w:p>
      <w:pPr>
        <w:pStyle w:val="NormalWeb"/>
        <w:spacing w:after="150"/>
      </w:pPr>
      <w:r>
        <w:t>Customers with Dynamics 365 CALs and active SA may install and use any number of copies of the corresponding Dynamics 365 Server software on a network server or shared server. This right does not apply to Dynamics 365 Operations Server. </w:t>
      </w:r>
    </w:p>
    <w:p>
      <w:pPr>
        <w:pStyle w:val="Heading3"/>
        <w:spacing w:before="150" w:beforeAutospacing="0"/>
        <w:rPr>
          <w:rFonts w:eastAsia="Times New Roman"/>
          <w:color w:val="0078D4"/>
          <w:sz w:val="26"/>
          <w:szCs w:val="26"/>
        </w:rPr>
      </w:pPr>
      <w:r>
        <w:rPr>
          <w:rFonts w:eastAsia="Times New Roman"/>
          <w:color w:val="0078D4"/>
          <w:sz w:val="26"/>
          <w:szCs w:val="26"/>
        </w:rPr>
        <w:t>Dynamics 365 for Operations Server Rights</w:t>
      </w:r>
    </w:p>
    <w:p>
      <w:pPr>
        <w:pStyle w:val="NormalWeb"/>
        <w:spacing w:after="150"/>
      </w:pPr>
      <w:r>
        <w:t>Dynamics 365 for Operations Server may only be used by Customers that have active SA or equivalent license. Customers that allow SA or equivalent license to lapse must uninstall the server software. Customers that have perpetual rights may install the latest update of Dynamics AX 2012 R3 Server or Commerce Server software that is available at the time of lapse.</w:t>
      </w:r>
    </w:p>
    <w:p>
      <w:pPr>
        <w:pStyle w:val="Heading3"/>
        <w:spacing w:before="150" w:beforeAutospacing="0"/>
        <w:rPr>
          <w:rFonts w:eastAsia="Times New Roman"/>
          <w:color w:val="0078D4"/>
          <w:sz w:val="26"/>
          <w:szCs w:val="26"/>
        </w:rPr>
      </w:pPr>
      <w:r>
        <w:rPr>
          <w:rFonts w:eastAsia="Times New Roman"/>
          <w:color w:val="0078D4"/>
          <w:sz w:val="26"/>
          <w:szCs w:val="26"/>
        </w:rPr>
        <w:t>Dynamics 365 Operations Server Fail-over Rights</w:t>
      </w:r>
    </w:p>
    <w:p>
      <w:pPr>
        <w:pStyle w:val="NormalWeb"/>
        <w:spacing w:after="150"/>
      </w:pPr>
      <w:r>
        <w:t xml:space="preserve">Customer may run passive fail-over instances of Dynamics 365 Operations Server as follows. Passive fail-over Instances may be run in either a separate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the </w:t>
      </w:r>
      <w:hyperlink w:anchor="_Toc20" w:tooltip="Licensed Server means a single Server to which a License is assigned. See Glossary for full definition." w:history="1">
        <w:r>
          <w:rPr>
            <w:rStyle w:val="Hyperlink"/>
            <w:color w:val="505050"/>
          </w:rPr>
          <w:t>Licensed Server</w:t>
        </w:r>
      </w:hyperlink>
      <w:r>
        <w:t xml:space="preserve"> or on a different </w:t>
      </w:r>
      <w:hyperlink w:anchor="_Toc20" w:tooltip="Server means a physical hardware system capable of running server software." w:history="1">
        <w:r>
          <w:rPr>
            <w:rStyle w:val="Hyperlink"/>
            <w:color w:val="505050"/>
          </w:rPr>
          <w:t>Server</w:t>
        </w:r>
      </w:hyperlink>
      <w:r>
        <w:t xml:space="preserve"> dedicated to Customer's use.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hyperlink w:anchor="_Toc20" w:tooltip="Fail-Over Rights: An SA benefit that allows Customer to run passive fail-over Instances as described in the Product entry." w:history="1">
        <w:r>
          <w:rPr>
            <w:rStyle w:val="Hyperlink"/>
            <w:color w:val="505050"/>
          </w:rPr>
          <w:t>Fail-Over Rights</w:t>
        </w:r>
      </w:hyperlink>
      <w:r>
        <w:t xml:space="preserve"> apply only if the number of licenses that otherwise would be required to run the passive fail-over Instances does not exceed the number of licenses required to run the corresponding production Instances. This SA benefit requires SA for the </w:t>
      </w:r>
      <w:hyperlink w:anchor="_Toc20" w:tooltip="Licensed Server means a single Server to which a License is assigned. See Glossary for full definition." w:history="1">
        <w:r>
          <w:rPr>
            <w:rStyle w:val="Hyperlink"/>
            <w:color w:val="505050"/>
          </w:rPr>
          <w:t>Licensed Server</w:t>
        </w:r>
      </w:hyperlink>
      <w:r>
        <w:t xml:space="preserve"> and access license, if any.</w:t>
      </w:r>
    </w:p>
    <w:p>
      <w:pPr>
        <w:pStyle w:val="Heading3"/>
        <w:spacing w:before="150" w:beforeAutospacing="0"/>
        <w:rPr>
          <w:rFonts w:eastAsia="Times New Roman"/>
          <w:color w:val="0078D4"/>
          <w:sz w:val="26"/>
          <w:szCs w:val="26"/>
        </w:rPr>
      </w:pPr>
      <w:r>
        <w:rPr>
          <w:rFonts w:eastAsia="Times New Roman"/>
          <w:color w:val="0078D4"/>
          <w:sz w:val="26"/>
          <w:szCs w:val="26"/>
        </w:rPr>
        <w:t>Localization and Updates</w:t>
      </w:r>
    </w:p>
    <w:p>
      <w:pPr>
        <w:pStyle w:val="NormalWeb"/>
        <w:spacing w:after="150"/>
      </w:pPr>
      <w:r>
        <w:t xml:space="preserve">Customer is eligible to receive and use updates related to government tax and regulatory requirements on </w:t>
      </w:r>
      <w:hyperlink w:anchor="_Toc20" w:tooltip="Licensed Server means a single Server to which a License is assigned.  See Glossary for full definition." w:history="1">
        <w:r>
          <w:rPr>
            <w:rStyle w:val="Hyperlink"/>
            <w:color w:val="505050"/>
          </w:rPr>
          <w:t>Licensed Servers</w:t>
        </w:r>
      </w:hyperlink>
      <w:r>
        <w:t xml:space="preserve"> provided it has active SA or equivalent license for the </w:t>
      </w:r>
      <w:hyperlink w:anchor="_Toc20" w:tooltip="Licensed Server means a single Server to which a License is assigned.  See Glossary for full definition." w:history="1">
        <w:r>
          <w:rPr>
            <w:rStyle w:val="Hyperlink"/>
            <w:color w:val="505050"/>
          </w:rPr>
          <w:t>Licensed Servers</w:t>
        </w:r>
      </w:hyperlink>
      <w:r>
        <w:t xml:space="preserve"> and </w:t>
      </w:r>
      <w:hyperlink w:anchor="_Toc20" w:tooltip="CAL means client access license, which may be assigned by user or device, as appropriate. (Refer to Glossary for full definition)" w:history="1">
        <w:r>
          <w:rPr>
            <w:rStyle w:val="Hyperlink"/>
            <w:color w:val="505050"/>
          </w:rPr>
          <w:t>CALs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Unified Service Desk (USD)</w:t>
      </w:r>
    </w:p>
    <w:p>
      <w:pPr>
        <w:pStyle w:val="NormalWeb"/>
        <w:spacing w:after="150"/>
      </w:pPr>
      <w:r>
        <w:t xml:space="preserve">For each Dynamics 365 for Sales On-premises CAL or Dynamics 365 for Customer Service On-premises CAL for which Customer has SA, Customer may install and use USD on a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The right to use USD is limited to the user or device to whom the qualifying </w:t>
      </w:r>
      <w:hyperlink w:anchor="_Toc20" w:tooltip="CAL means client access license, which may be assigned by user or device, as appropriate. Refer to glossary for full definition." w:history="1">
        <w:r>
          <w:rPr>
            <w:rStyle w:val="Hyperlink"/>
            <w:color w:val="505050"/>
          </w:rPr>
          <w:t>CAL</w:t>
        </w:r>
      </w:hyperlink>
      <w:r>
        <w:t xml:space="preserve"> is assigned.</w:t>
      </w:r>
    </w:p>
    <w:p>
      <w:pPr>
        <w:pStyle w:val="Heading3"/>
        <w:spacing w:before="150" w:beforeAutospacing="0"/>
        <w:rPr>
          <w:rFonts w:eastAsia="Times New Roman"/>
          <w:color w:val="0078D4"/>
          <w:sz w:val="26"/>
          <w:szCs w:val="26"/>
        </w:rPr>
      </w:pPr>
      <w:r>
        <w:rPr>
          <w:rFonts w:eastAsia="Times New Roman"/>
          <w:color w:val="0078D4"/>
          <w:sz w:val="26"/>
          <w:szCs w:val="26"/>
        </w:rPr>
        <w:t>Dynamics  CustomerSource</w:t>
      </w:r>
    </w:p>
    <w:p>
      <w:pPr>
        <w:pStyle w:val="NormalWeb"/>
        <w:spacing w:after="150"/>
      </w:pPr>
      <w:r>
        <w:t>Dynamics 365 On-premises CAL customers with active SA have access to CustomerSource.</w:t>
      </w:r>
    </w:p>
    <w:p w:rsidR="00ED5159" w:rsidP="00ED5159">
      <w:pPr>
        <w:pStyle w:val="ProductList-OfferingGroupHeading"/>
        <w:outlineLvl w:val="1"/>
      </w:pPr>
      <w:r>
        <w:t>Office Applications</w:t>
      </w:r>
      <w:r>
        <w:fldChar w:fldCharType="begin"/>
      </w:r>
      <w:r>
        <w:instrText xml:space="preserve"> TC </w:instrText>
      </w:r>
      <w:bookmarkStart w:id="30" w:name="_Toc256000023"/>
      <w:r>
        <w:instrText>"</w:instrText>
      </w:r>
      <w:bookmarkStart w:id="31" w:name="_Toc7"/>
      <w:r>
        <w:instrText>Office Applications</w:instrText>
      </w:r>
      <w:bookmarkEnd w:id="31"/>
      <w:r>
        <w:instrText>"</w:instrText>
      </w:r>
      <w:bookmarkEnd w:id="30"/>
      <w:r>
        <w:instrText xml:space="preserve"> \l 2</w:instrText>
      </w:r>
      <w:r>
        <w:fldChar w:fldCharType="end"/>
      </w:r>
    </w:p>
    <w:p w:rsidR="00ED5159" w:rsidP="00ED5159">
      <w:pPr>
        <w:pStyle w:val="ProductList-Offering2Heading"/>
        <w:outlineLvl w:val="2"/>
      </w:pPr>
      <w:r>
        <w:t>Office Desktop Applications (Windows)</w:t>
      </w:r>
      <w:r>
        <w:fldChar w:fldCharType="begin"/>
      </w:r>
      <w:r>
        <w:instrText xml:space="preserve"> TC </w:instrText>
      </w:r>
      <w:bookmarkStart w:id="32" w:name="_Toc256000024"/>
      <w:r>
        <w:instrText>"</w:instrText>
      </w:r>
      <w:r>
        <w:instrText>Office Desktop Applications (Windows)</w:instrText>
      </w:r>
      <w:r>
        <w:instrText>"</w:instrText>
      </w:r>
      <w:bookmarkEnd w:id="3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Visio LTSC Professional 2024</w:t>
            </w:r>
          </w:p>
        </w:tc>
        <w:tc>
          <w:tcPr/>
          <w:p w:rsidR="00A363CA" w:rsidP="00A363CA">
            <w:pPr>
              <w:pStyle w:val="ProductList-TableBody"/>
            </w:pPr>
            <w:r>
              <w:t>10/24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Skype for Business LTSC 2024</w:t>
            </w:r>
          </w:p>
        </w:tc>
        <w:tc>
          <w:tcPr/>
          <w:p w:rsidR="00A363CA" w:rsidP="00A363CA">
            <w:pPr>
              <w:pStyle w:val="ProductList-TableBody"/>
            </w:pPr>
            <w:r>
              <w:t>10/24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Project Professional 2024</w:t>
            </w:r>
          </w:p>
        </w:tc>
        <w:tc>
          <w:tcPr/>
          <w:p w:rsidR="00A363CA" w:rsidP="00A363CA">
            <w:pPr>
              <w:pStyle w:val="ProductList-TableBody"/>
            </w:pPr>
            <w:r>
              <w:t>10/24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Office LTSC Professional Plus 2024</w:t>
            </w:r>
          </w:p>
        </w:tc>
        <w:tc>
          <w:tcPr/>
          <w:p w:rsidR="00A363CA" w:rsidP="00A363CA">
            <w:pPr>
              <w:pStyle w:val="ProductList-TableBody"/>
            </w:pPr>
            <w:r>
              <w:t>10/24</w:t>
            </w:r>
          </w:p>
        </w:tc>
        <w:tc>
          <w:tcPr/>
          <w:p w:rsidR="00A363CA" w:rsidP="00A363CA">
            <w:pPr>
              <w:pStyle w:val="ProductList-TableBody"/>
            </w:pPr>
            <w:r>
              <w:t>Education Desktop</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07"/>
        <w:gridCol w:w="73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2021 and Office LTSC 2021 Applications (10/21)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06" w:tgtFrame="_blank"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Customer may run either the version licensed or a different platform version, provided that the different platform version was available when the original licensed version became available. If the components of a Product suite vary by platform version, Customer may use the components of the suite that it chooses to deploy and only those components; Customer may not mix components across platform versions. SA for a platform independent License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 xml:space="preserve">Customers purchasing Office Standard 2016 or Office Professional Plus 2016 licenses before August 1, 2016 may use the editing functionality described in </w:t>
      </w:r>
      <w:hyperlink r:id="rId113" w:history="1">
        <w:r>
          <w:rPr>
            <w:rStyle w:val="Hyperlink"/>
            <w:color w:val="505050"/>
          </w:rPr>
          <w:t>Software Assurance Benefits</w:t>
        </w:r>
      </w:hyperlink>
      <w:r>
        <w:t>, Office for the web services and Office Online Server section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43"/>
        <w:gridCol w:w="66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(Skype for Business), Internet-based Features, H.265/HEVC - refer to </w:t>
            </w:r>
            <w:hyperlink r:id="rId114"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Academic Programs</w:t>
      </w:r>
    </w:p>
    <w:p>
      <w:pPr>
        <w:pStyle w:val="NormalWeb"/>
        <w:spacing w:after="150"/>
      </w:pPr>
      <w:r>
        <w:t>The following applies to customers in Academic Volume Licensing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Apps for enterprise Extended Use Rights</w:t>
      </w:r>
    </w:p>
    <w:p>
      <w:pPr>
        <w:pStyle w:val="NormalWeb"/>
        <w:spacing w:after="150"/>
      </w:pPr>
      <w:r>
        <w:t>Provided an Institution has licensed Office Professional Plus for all Faculty and Staff in its defined Organization under an Open Value Subscription Agreement for Education Solutions or an Enrollment for Education Solutions (pre 2017 versions), each Licensed User may use a Microsoft 365 Apps for enterprise subscription for the sole use of each Licensed User for the duration of the agreement. Licenses acquired at no cost through this offer may not be counted toward satisfaction of Institution's minimum order requirements.</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5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20"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20"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67"/>
        <w:gridCol w:w="7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(Office Multi-Language Pack and Visio Premium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Project and Visio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Office Servers</w:t>
      </w:r>
      <w:r>
        <w:fldChar w:fldCharType="begin"/>
      </w:r>
      <w:r>
        <w:instrText xml:space="preserve"> TC </w:instrText>
      </w:r>
      <w:bookmarkStart w:id="33" w:name="_Toc256000025"/>
      <w:r>
        <w:instrText>"</w:instrText>
      </w:r>
      <w:bookmarkStart w:id="34" w:name="_Toc8"/>
      <w:r>
        <w:instrText>Office Servers</w:instrText>
      </w:r>
      <w:bookmarkEnd w:id="34"/>
      <w:r>
        <w:instrText>"</w:instrText>
      </w:r>
      <w:bookmarkEnd w:id="33"/>
      <w:r>
        <w:instrText xml:space="preserve"> \l 2</w:instrText>
      </w:r>
      <w:r>
        <w:fldChar w:fldCharType="end"/>
      </w:r>
    </w:p>
    <w:p w:rsidR="00ED5159" w:rsidP="00ED5159">
      <w:pPr>
        <w:pStyle w:val="ProductList-Offering2Heading"/>
        <w:outlineLvl w:val="2"/>
      </w:pPr>
      <w:r>
        <w:t>Exchange Server</w:t>
      </w:r>
      <w:r>
        <w:fldChar w:fldCharType="begin"/>
      </w:r>
      <w:r>
        <w:instrText xml:space="preserve"> TC </w:instrText>
      </w:r>
      <w:bookmarkStart w:id="35" w:name="_Toc256000026"/>
      <w:r>
        <w:instrText>"</w:instrText>
      </w:r>
      <w:r>
        <w:instrText>Exchange Server</w:instrText>
      </w:r>
      <w:r>
        <w:instrText>"</w:instrText>
      </w:r>
      <w:bookmarkEnd w:id="3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Server Subscription Edition Enterprise CAL (Device and User)*</w:t>
            </w:r>
          </w:p>
        </w:tc>
        <w:tc>
          <w:tcPr/>
          <w:p w:rsidR="00A363CA" w:rsidP="00A363CA">
            <w:pPr>
              <w:pStyle w:val="ProductList-TableBody"/>
            </w:pPr>
            <w:r>
              <w:t>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Server Subscription Edition Standard CAL (Device and User)*</w:t>
            </w:r>
          </w:p>
        </w:tc>
        <w:tc>
          <w:tcPr/>
          <w:p w:rsidR="00A363CA" w:rsidP="00A363CA">
            <w:pPr>
              <w:pStyle w:val="ProductList-TableBody"/>
            </w:pPr>
            <w:r>
              <w:t>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Server Subscription Edition Enterprise*</w:t>
            </w:r>
          </w:p>
        </w:tc>
        <w:tc>
          <w:tcPr/>
          <w:p w:rsidR="00A363CA" w:rsidP="00A363CA">
            <w:pPr>
              <w:pStyle w:val="ProductList-TableBody"/>
            </w:pPr>
            <w:r>
              <w:t>07/25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Server Subscription Edition Standard*</w:t>
            </w:r>
          </w:p>
        </w:tc>
        <w:tc>
          <w:tcPr/>
          <w:p w:rsidR="00A363CA" w:rsidP="00A363CA">
            <w:pPr>
              <w:pStyle w:val="ProductList-TableBody"/>
            </w:pPr>
            <w:r>
              <w:t>7/25</w:t>
            </w:r>
          </w:p>
        </w:tc>
        <w:tc>
          <w:tcPr/>
          <w:p w:rsidR="00A363CA" w:rsidP="00A363CA">
            <w:pPr>
              <w:pStyle w:val="ProductList-TableBody"/>
            </w:pPr>
            <w:r>
              <w:t>Additional Product</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4"/>
        <w:gridCol w:w="616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69"/>
        <w:gridCol w:w="66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 (access to Additional Functionality requires both Base and Additive 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Exchange 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Management Tools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1/1G/2/2A/2G)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09"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Additional Functionality Associated with Exchange Enterprise CAL</w:t>
      </w:r>
    </w:p>
    <w:p>
      <w:pPr>
        <w:pStyle w:val="NormalWeb"/>
        <w:spacing w:after="150"/>
      </w:pPr>
      <w:r>
        <w:t>In-Place Archive, In-Place Holds (Indefinite, Query-based, and Time-based), Information Protection and Compliance, Custom Retention Policies, Per User/Distribution List Journaling, Site Mailboxes - Compliance, Data Loss Prevention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09"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7"/>
        <w:gridCol w:w="6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Exchange Enterprise CAL with Services Supplemental Terms and Conditions</w:t>
      </w:r>
    </w:p>
    <w:p>
      <w:pPr>
        <w:pStyle w:val="NormalWeb"/>
        <w:spacing w:after="150"/>
      </w:pPr>
      <w:r>
        <w:t>Exchange Server Subscription Edition Enterprise CAL with active SA coverage includes the rights to Data Loss Prevention and Exchange Online Protection.</w:t>
      </w:r>
    </w:p>
    <w:p>
      <w:pPr>
        <w:pStyle w:val="Heading3"/>
        <w:spacing w:before="150" w:beforeAutospacing="0"/>
        <w:rPr>
          <w:rFonts w:eastAsia="Times New Roman"/>
          <w:color w:val="0078D4"/>
          <w:sz w:val="26"/>
          <w:szCs w:val="26"/>
        </w:rPr>
      </w:pPr>
      <w:r>
        <w:rPr>
          <w:rFonts w:eastAsia="Times New Roman"/>
          <w:color w:val="0078D4"/>
          <w:sz w:val="26"/>
          <w:szCs w:val="26"/>
        </w:rPr>
        <w:t>Exchange Online Voice Mail Service</w:t>
      </w:r>
    </w:p>
    <w:p>
      <w:pPr>
        <w:pStyle w:val="NormalWeb"/>
        <w:spacing w:after="150"/>
      </w:pPr>
      <w:r>
        <w:t xml:space="preserve">Customers with active SA coverage for Exchange Server Subscription Edition Standard or Exchange Server Subscription Edition Enterprise may use the Exchange Online Voice Mail Service of Cloud Voicemail to access voice messages from Outlook. Use of this Online Service is subject to </w:t>
      </w:r>
      <w:hyperlink r:id="rId115" w:history="1">
        <w:r>
          <w:rPr>
            <w:rStyle w:val="Hyperlink"/>
            <w:color w:val="505050"/>
          </w:rPr>
          <w:t>Exchange Online</w:t>
        </w:r>
      </w:hyperlink>
      <w:r>
        <w:t xml:space="preserve"> terms.</w:t>
      </w:r>
    </w:p>
    <w:p w:rsidR="00ED5159" w:rsidP="00ED5159">
      <w:pPr>
        <w:pStyle w:val="ProductList-Offering2Heading"/>
        <w:outlineLvl w:val="2"/>
      </w:pPr>
      <w:r>
        <w:t>Project Server</w:t>
      </w:r>
      <w:r>
        <w:fldChar w:fldCharType="begin"/>
      </w:r>
      <w:r>
        <w:instrText xml:space="preserve"> TC </w:instrText>
      </w:r>
      <w:bookmarkStart w:id="36" w:name="_Toc256000027"/>
      <w:r>
        <w:instrText>"</w:instrText>
      </w:r>
      <w:r>
        <w:instrText>Project Server</w:instrText>
      </w:r>
      <w:r>
        <w:instrText>"</w:instrText>
      </w:r>
      <w:bookmarkEnd w:id="3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Project Server Subscription Edition CAL (Device and User)</w:t>
            </w:r>
          </w:p>
        </w:tc>
        <w:tc>
          <w:tcPr/>
          <w:p w:rsidR="00A363CA" w:rsidP="00A363CA">
            <w:pPr>
              <w:pStyle w:val="ProductList-TableBody"/>
            </w:pPr>
            <w:r>
              <w:t>11/21</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Server Subscription Edition</w:t>
            </w:r>
          </w:p>
        </w:tc>
        <w:tc>
          <w:tcPr/>
          <w:p w:rsidR="00A363CA" w:rsidP="00A363CA">
            <w:pPr>
              <w:pStyle w:val="ProductList-TableBody"/>
            </w:pPr>
            <w:r>
              <w:t>11/21</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86"/>
        <w:gridCol w:w="60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2019 (10/18)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NormalWeb"/>
      </w:pPr>
      <w:r>
        <w:t>Active Software Assurance is required to run and access Project Server Subscription Edition software (server and CAL). Project Server Subscription Edition licenses include a perpetual entitlement to run Project Server 2019 software only. If Software Assurance coverage lapses, or Customer purchases a buyout license, Customer must uninstall Subscription Edition Software and may install version 2019 software.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3"/>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(with active SA)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Plan 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SharePoint Server</w:t>
      </w:r>
      <w:r>
        <w:fldChar w:fldCharType="begin"/>
      </w:r>
      <w:r>
        <w:instrText xml:space="preserve"> TC </w:instrText>
      </w:r>
      <w:bookmarkStart w:id="37" w:name="_Toc256000028"/>
      <w:r>
        <w:instrText>"</w:instrText>
      </w:r>
      <w:r>
        <w:instrText>SharePoint Server</w:instrText>
      </w:r>
      <w:r>
        <w:instrText>"</w:instrText>
      </w:r>
      <w:bookmarkEnd w:id="3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SharePoint Server Subscription Edition Standard CAL (Device and User)</w:t>
            </w:r>
          </w:p>
        </w:tc>
        <w:tc>
          <w:tcPr/>
          <w:p w:rsidR="00A363CA" w:rsidP="00A363CA">
            <w:pPr>
              <w:pStyle w:val="ProductList-TableBody"/>
            </w:pPr>
            <w:r>
              <w:t>11/21</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Server Subscription Edition</w:t>
            </w:r>
          </w:p>
        </w:tc>
        <w:tc>
          <w:tcPr/>
          <w:p w:rsidR="00A363CA" w:rsidP="00A363CA">
            <w:pPr>
              <w:pStyle w:val="ProductList-TableBody"/>
            </w:pPr>
            <w:r>
              <w:t>11/21</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Server Subscription Edition Enterprise CAL (Device and User)</w:t>
            </w:r>
          </w:p>
        </w:tc>
        <w:tc>
          <w:tcPr/>
          <w:p w:rsidR="00A363CA" w:rsidP="00A363CA">
            <w:pPr>
              <w:pStyle w:val="ProductList-TableBody"/>
            </w:pPr>
            <w:r>
              <w:t>11/21</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5"/>
        <w:gridCol w:w="62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NormalWeb"/>
      </w:pPr>
      <w:r>
        <w:t>Active Software Assurance or a subscription license is required to run and access SharePoint Server Subscription Edition software (server and CAL). SharePoint Server Subscription Edition licenses include a perpetual entitlement to run SharePoint Server 2019 software only. If Software Assurance coverage lapses, or Customer purchases a buyout license, Customer must uninstall Subscription Edition Software and may install version 2019 software.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SharePoint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4"/>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SharePoint Server Subscription Edition 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Base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SharePoint Server Functionality Associated with SharePoint Enterprise CAL</w:t>
      </w:r>
    </w:p>
    <w:p>
      <w:pPr>
        <w:pStyle w:val="NormalWeb"/>
        <w:spacing w:after="150"/>
      </w:pPr>
      <w:r>
        <w:t>Business Connectivity Services Line of Business Webparts; Office 2019 Business Connectivity Services Client Integration; Access Services; Enterprise Search; E-discovery and Compliance; InfoPath Forms Services; Excel Services, PowerPivot, and PowerView; Visio Services; PerformancePoint Services; Custom Analytics Reports; Data Loss Prevention; and Advanced Charting.</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CAL Waiver for Users Accessing Publicly Available Content</w:t>
      </w:r>
    </w:p>
    <w:p>
      <w:pPr>
        <w:pStyle w:val="NormalWeb"/>
        <w:spacing w:after="150"/>
      </w:pPr>
      <w:hyperlink w:anchor="_Toc20" w:tooltip="CAL means client access license, which may be assigned by user or device, as appropriate. (Refer to Glossary for full definition)" w:history="1">
        <w:r>
          <w:rPr>
            <w:rStyle w:val="Hyperlink"/>
            <w:color w:val="505050"/>
          </w:rPr>
          <w:t>CALs</w:t>
        </w:r>
      </w:hyperlink>
      <w:r>
        <w:t xml:space="preserve"> are not required to access content, information, and applications that Customer makes publicly available to users over the Internet (i.e., where access is not restricted to Intranet or Extranet scenarios).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75"/>
        <w:gridCol w:w="73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and Office Audit and Control Management Server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(SharePoint Server and SharePoint Server for Internet 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Skype for Business Server</w:t>
      </w:r>
      <w:r>
        <w:fldChar w:fldCharType="begin"/>
      </w:r>
      <w:r>
        <w:instrText xml:space="preserve"> TC </w:instrText>
      </w:r>
      <w:bookmarkStart w:id="38" w:name="_Toc256000029"/>
      <w:r>
        <w:instrText>"</w:instrText>
      </w:r>
      <w:r>
        <w:instrText>Skype for Business Server</w:instrText>
      </w:r>
      <w:r>
        <w:instrText>"</w:instrText>
      </w:r>
      <w:bookmarkEnd w:id="3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Skype for Business Server Subscription Edition Enterprise CAL (Device and User)</w:t>
            </w:r>
          </w:p>
        </w:tc>
        <w:tc>
          <w:tcPr/>
          <w:p w:rsidR="00A363CA" w:rsidP="00A363CA">
            <w:pPr>
              <w:pStyle w:val="ProductList-TableBody"/>
            </w:pPr>
            <w:r>
              <w:t>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Skype for Business Server Subscription Edition</w:t>
            </w:r>
          </w:p>
        </w:tc>
        <w:tc>
          <w:tcPr/>
          <w:p w:rsidR="00A363CA" w:rsidP="00A363CA">
            <w:pPr>
              <w:pStyle w:val="ProductList-TableBody"/>
            </w:pPr>
            <w:r>
              <w:t>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Skype for Business Server Subscription Edition Plus CAL (Device and User)</w:t>
            </w:r>
          </w:p>
        </w:tc>
        <w:tc>
          <w:tcPr/>
          <w:p w:rsidR="00A363CA" w:rsidP="00A363CA">
            <w:pPr>
              <w:pStyle w:val="ProductList-TableBody"/>
            </w:pPr>
            <w:r>
              <w:t>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Skype for Business Server Subscription Edition Standard CAL (Device and User)</w:t>
            </w:r>
          </w:p>
        </w:tc>
        <w:tc>
          <w:tcPr/>
          <w:p w:rsidR="00A363CA" w:rsidP="00A363CA">
            <w:pPr>
              <w:pStyle w:val="ProductList-TableBody"/>
            </w:pPr>
            <w:r>
              <w:t>7/25</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95"/>
        <w:gridCol w:w="66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1"/>
        <w:gridCol w:w="4344"/>
        <w:gridCol w:w="25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 - Skype for Business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Administrative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Archiving and Monitoring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Audio/Video Conferencing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Autodiscovery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Director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Edge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Web App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Mediation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Web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for Business Server Subscription Edition Control Panel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PowerShell Snap-in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Reach Application Sharing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Mobility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Video Interop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Topology Builder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Unified Communications Application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Web Conferencing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5"/>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1/1G/1A/2/2G/2A)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Enterprise CAL</w:t>
      </w:r>
    </w:p>
    <w:p>
      <w:pPr>
        <w:pStyle w:val="NormalWeb"/>
        <w:spacing w:after="150"/>
      </w:pPr>
      <w:r>
        <w:t>Audio, Video and Web Conferencing, Desktop Sharing, Room Systems and Multiple HD Video Streams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Plus CAL</w:t>
      </w:r>
    </w:p>
    <w:p>
      <w:pPr>
        <w:pStyle w:val="NormalWeb"/>
        <w:spacing w:after="150"/>
      </w:pPr>
      <w:r>
        <w:t>Voice Telephony and Call Management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Plus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16"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April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16"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SQL Server</w:t>
      </w:r>
      <w:r>
        <w:fldChar w:fldCharType="begin"/>
      </w:r>
      <w:r>
        <w:instrText xml:space="preserve"> TC </w:instrText>
      </w:r>
      <w:bookmarkStart w:id="39" w:name="_Toc256000030"/>
      <w:r>
        <w:instrText>"</w:instrText>
      </w:r>
      <w:r>
        <w:instrText>SQL Server</w:instrText>
      </w:r>
      <w:r>
        <w:instrText>"</w:instrText>
      </w:r>
      <w:bookmarkEnd w:id="3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SQL Server 2025 Enterprise Core (2-packs of Core Licenses)</w:t>
            </w:r>
          </w:p>
        </w:tc>
        <w:tc>
          <w:tcPr/>
          <w:p w:rsidR="00A363CA" w:rsidP="00A363CA">
            <w:pPr>
              <w:pStyle w:val="ProductList-TableBody"/>
            </w:pPr>
            <w:r>
              <w:t>11/25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SQL Server 2025 Standard Core (2-packs of Core Licenses)</w:t>
            </w:r>
          </w:p>
        </w:tc>
        <w:tc>
          <w:tcPr/>
          <w:p w:rsidR="00A363CA" w:rsidP="00A363CA">
            <w:pPr>
              <w:pStyle w:val="ProductList-TableBody"/>
            </w:pPr>
            <w:r>
              <w:t>11/25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SQL Server 2025 Standard</w:t>
            </w:r>
          </w:p>
        </w:tc>
        <w:tc>
          <w:tcPr/>
          <w:p w:rsidR="00A363CA" w:rsidP="00A363CA">
            <w:pPr>
              <w:pStyle w:val="ProductList-TableBody"/>
            </w:pPr>
            <w:r>
              <w:t>11/25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SQL Server 2025 CAL</w:t>
            </w:r>
          </w:p>
        </w:tc>
        <w:tc>
          <w:tcPr/>
          <w:p w:rsidR="00A363CA" w:rsidP="00A363CA">
            <w:pPr>
              <w:pStyle w:val="ProductList-TableBody"/>
            </w:pPr>
            <w:r>
              <w:t>11/25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SQL Server 2025 Enterprise</w:t>
            </w:r>
          </w:p>
        </w:tc>
        <w:tc>
          <w:tcPr/>
          <w:p w:rsidR="00A363CA" w:rsidP="00A363CA">
            <w:pPr>
              <w:pStyle w:val="ProductList-TableBody"/>
            </w:pPr>
            <w:r>
              <w:t>11/25</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39"/>
        <w:gridCol w:w="579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2022 (11/22)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(Server/CAL)</w:t>
      </w:r>
    </w:p>
    <w:p>
      <w:pPr>
        <w:pStyle w:val="NormalWeb"/>
        <w:spacing w:after="150"/>
      </w:pPr>
      <w:r>
        <w:t xml:space="preserve">Existing SQL Server Enterprise (Server/CAL) customers may renew their SA on Server Licenses acquired under that License Model, however new Server Licenses for SQL Server Enterprise (Server/CAL) are no longer available. Existing SA customers upgrading to a new version should refer to the </w:t>
      </w:r>
      <w:hyperlink r:id="rId117" w:tgtFrame="_blank" w:history="1">
        <w:r>
          <w:rPr>
            <w:rStyle w:val="Hyperlink"/>
            <w:color w:val="505050"/>
          </w:rPr>
          <w:t>November 2019 Product Terms</w:t>
        </w:r>
      </w:hyperlink>
      <w:r>
        <w:t xml:space="preserve"> for SQL Server Enterprise (Server/CAL) License Terms.</w:t>
      </w:r>
    </w:p>
    <w:p>
      <w:pPr>
        <w:pStyle w:val="Heading3"/>
        <w:spacing w:before="150" w:beforeAutospacing="0"/>
        <w:rPr>
          <w:rFonts w:eastAsia="Times New Roman"/>
          <w:color w:val="0078D4"/>
          <w:sz w:val="26"/>
          <w:szCs w:val="26"/>
        </w:rPr>
      </w:pPr>
      <w:r>
        <w:rPr>
          <w:rFonts w:eastAsia="Times New Roman"/>
          <w:color w:val="0078D4"/>
          <w:sz w:val="26"/>
          <w:szCs w:val="26"/>
        </w:rPr>
        <w:t>SQL Server Parallel Data Warehouse</w:t>
      </w:r>
    </w:p>
    <w:p>
      <w:pPr>
        <w:pStyle w:val="NormalWeb"/>
        <w:spacing w:after="150"/>
      </w:pPr>
      <w:r>
        <w:t>SQL Server Parallel Data Warehouse is a deployment option for SQL Server Enterprise Core customers. Customers are eligible to use only the software builds made available during the term of their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40"/>
        <w:gridCol w:w="73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8"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Core to Standard, Business Intelligence, Workgroup or Small Business or 2008 R2 Datacenter; Standard to Workgroup or Small Business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(Server/CAL editions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18" w:tgtFrame="_blank"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Automatic Updates to Previous Versions of SQL Server</w:t>
      </w:r>
    </w:p>
    <w:p>
      <w:pPr>
        <w:pStyle w:val="NormalWeb"/>
        <w:spacing w:after="150"/>
      </w:pPr>
      <w:r>
        <w:t xml:space="preserve">If the SQL Server software is installed on </w:t>
      </w:r>
      <w:hyperlink w:anchor="_Toc20" w:tooltip="Server means a physical hardware system capable of running server software." w:history="1">
        <w:r>
          <w:rPr>
            <w:rStyle w:val="Hyperlink"/>
            <w:color w:val="505050"/>
          </w:rPr>
          <w:t>Servers</w:t>
        </w:r>
      </w:hyperlink>
      <w:r>
        <w:t xml:space="preserve"> or devices running any supported editions of SQL Server prior to SQL Server 2012 (or components of any of them) this software will automatically update and replace certain files or features within those editions with files from this software. This feature cannot be switched off. Removal of these files may cause errors in the software and the original files may not be recoverable. By installing this software on a </w:t>
      </w:r>
      <w:hyperlink w:anchor="_Toc20" w:tooltip="Server means a physical hardware system capable of running server software." w:history="1">
        <w:r>
          <w:rPr>
            <w:rStyle w:val="Hyperlink"/>
            <w:color w:val="505050"/>
          </w:rPr>
          <w:t>Server</w:t>
        </w:r>
      </w:hyperlink>
      <w:r>
        <w:t xml:space="preserve"> or device that is running such editions you consent to these updates in all such editions and copies of SQL Server (including components of any of them) running on that Server or device.</w:t>
      </w:r>
    </w:p>
    <w:p>
      <w:pPr>
        <w:pStyle w:val="Heading3"/>
        <w:spacing w:before="150" w:beforeAutospacing="0"/>
        <w:rPr>
          <w:rFonts w:eastAsia="Times New Roman"/>
          <w:color w:val="0078D4"/>
          <w:sz w:val="26"/>
          <w:szCs w:val="26"/>
        </w:rPr>
      </w:pPr>
      <w:r>
        <w:rPr>
          <w:rFonts w:eastAsia="Times New Roman"/>
          <w:color w:val="0078D4"/>
          <w:sz w:val="26"/>
          <w:szCs w:val="26"/>
        </w:rPr>
        <w:t>SQL Server Platform Selection</w:t>
      </w:r>
    </w:p>
    <w:p>
      <w:pPr>
        <w:pStyle w:val="NormalWeb"/>
        <w:spacing w:after="150"/>
      </w:pPr>
      <w:r>
        <w:t xml:space="preserve">SQL Server </w:t>
      </w:r>
      <w:r>
        <w:rPr>
          <w:rStyle w:val="Hyperlink"/>
          <w:color w:val="505050"/>
        </w:rPr>
        <w:t>Licenses</w:t>
      </w:r>
      <w:r>
        <w:t xml:space="preserve"> are platform agnostic and permit deployment and use on Windows or Linux platforms.</w:t>
      </w:r>
    </w:p>
    <w:p>
      <w:pPr>
        <w:pStyle w:val="Heading3"/>
        <w:spacing w:before="150" w:beforeAutospacing="0"/>
        <w:rPr>
          <w:rFonts w:eastAsia="Times New Roman"/>
          <w:color w:val="0078D4"/>
          <w:sz w:val="26"/>
          <w:szCs w:val="26"/>
        </w:rPr>
      </w:pPr>
      <w:r>
        <w:rPr>
          <w:rFonts w:eastAsia="Times New Roman"/>
          <w:color w:val="0078D4"/>
          <w:sz w:val="26"/>
          <w:szCs w:val="26"/>
        </w:rPr>
        <w:t>Running Instances for Standard Edition</w:t>
      </w:r>
    </w:p>
    <w:p>
      <w:pPr>
        <w:pStyle w:val="NormalWeb"/>
        <w:spacing w:after="150"/>
      </w:pPr>
      <w:r>
        <w:t xml:space="preserve">For each </w:t>
      </w:r>
      <w:hyperlink w:anchor="_Toc20" w:tooltip="Server means a physical hardware system capable of running server software." w:history="1">
        <w:r>
          <w:rPr>
            <w:rStyle w:val="Hyperlink"/>
            <w:color w:val="505050"/>
          </w:rPr>
          <w:t>Server</w:t>
        </w:r>
      </w:hyperlink>
      <w:r>
        <w:t xml:space="preserve"> License, software may be run in only one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at a time, but 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Instances</w:t>
        </w:r>
      </w:hyperlink>
      <w:r>
        <w:t xml:space="preserve"> of the server software in that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Distributed Availability Groups Use Limitations for Standard Edition</w:t>
      </w:r>
    </w:p>
    <w:p>
      <w:pPr>
        <w:pStyle w:val="NormalWeb"/>
        <w:spacing w:after="150"/>
      </w:pPr>
      <w:r>
        <w:t>Customer may use Distributed Availability Groups on SQL Server Standard Edition to establish database replication with Azure resources only.</w:t>
      </w:r>
    </w:p>
    <w:p>
      <w:pPr>
        <w:pStyle w:val="Heading3"/>
        <w:spacing w:before="150" w:beforeAutospacing="0"/>
        <w:rPr>
          <w:rFonts w:eastAsia="Times New Roman"/>
          <w:color w:val="0078D4"/>
          <w:sz w:val="26"/>
          <w:szCs w:val="26"/>
        </w:rPr>
      </w:pPr>
      <w:r>
        <w:rPr>
          <w:rFonts w:eastAsia="Times New Roman"/>
          <w:color w:val="0078D4"/>
          <w:sz w:val="26"/>
          <w:szCs w:val="26"/>
        </w:rPr>
        <w:t>Fail-Over Servers for Parallel Data Warehouse (PDW)</w:t>
      </w:r>
    </w:p>
    <w:p>
      <w:pPr>
        <w:pStyle w:val="NormalWeb"/>
        <w:spacing w:after="150"/>
      </w:pPr>
      <w:r>
        <w:t>The PDW Appliance is a single unit made up of two or more compute nodes (Licensed Servers) all controlled by a single PDW control virtual machine (</w:t>
      </w:r>
      <w:hyperlink w:anchor="_Toc20" w:tooltip="Virtual OSE means an OSE that is configured to run on a virtual hardware system." w:history="1">
        <w:r>
          <w:rPr>
            <w:rStyle w:val="Hyperlink"/>
            <w:color w:val="505050"/>
          </w:rPr>
          <w:t>Virtual OSE</w:t>
        </w:r>
      </w:hyperlink>
      <w:r>
        <w:t xml:space="preserve">). Technology is built in to the appliance which allows the software to fail-over to another compute node on the appliance. Customer does not need additional </w:t>
      </w:r>
      <w:hyperlink w:anchor="_Toc20" w:tooltip="License means the right to download, install, access and use a Product." w:history="1">
        <w:r>
          <w:rPr>
            <w:rStyle w:val="Hyperlink"/>
            <w:color w:val="505050"/>
          </w:rPr>
          <w:t>Licenses</w:t>
        </w:r>
      </w:hyperlink>
      <w:r>
        <w:t xml:space="preserve"> for the software running in fail-over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as executed by the PDW Appliance technology.</w:t>
      </w:r>
    </w:p>
    <w:p>
      <w:pPr>
        <w:pStyle w:val="Heading3"/>
        <w:spacing w:before="150" w:beforeAutospacing="0"/>
        <w:rPr>
          <w:rFonts w:eastAsia="Times New Roman"/>
          <w:color w:val="0078D4"/>
          <w:sz w:val="26"/>
          <w:szCs w:val="26"/>
        </w:rPr>
      </w:pPr>
      <w:r>
        <w:rPr>
          <w:rFonts w:eastAsia="Times New Roman"/>
          <w:color w:val="0078D4"/>
          <w:sz w:val="26"/>
          <w:szCs w:val="26"/>
        </w:rPr>
        <w:t>Use of SQL Server with Container Technology</w:t>
      </w:r>
    </w:p>
    <w:p>
      <w:pPr>
        <w:pStyle w:val="NormalWeb"/>
        <w:spacing w:after="150"/>
      </w:pPr>
      <w:r>
        <w:t xml:space="preserve">For purposes of licensing use of SQL Server software running within a container on a container runtime such as docker, cri-o, or containerd, (i) a container is considered to be a </w:t>
      </w:r>
      <w:hyperlink w:anchor="_Toc20" w:tooltip="Virtual OSE means an OSE that is configured to run on a virtual hardware system." w:history="1">
        <w:r>
          <w:rPr>
            <w:rStyle w:val="Hyperlink"/>
            <w:color w:val="505050"/>
          </w:rPr>
          <w:t>Virtual OSE</w:t>
        </w:r>
      </w:hyperlink>
      <w:r>
        <w:t xml:space="preserve">, and (ii) the Physical or Virtual Cores available to that container are considered to be </w:t>
      </w:r>
      <w:hyperlink w:anchor="_Toc20" w:tooltip="Hardware Thread means either a Physical Core or a hyper-thread in a Physical Processor." w:history="1">
        <w:r>
          <w:rPr>
            <w:rStyle w:val="Hyperlink"/>
            <w:color w:val="505050"/>
          </w:rPr>
          <w:t>Hardware Threads</w:t>
        </w:r>
      </w:hyperlink>
      <w:r>
        <w:t xml:space="preserve">. Customer's use is subject to the Per Core License Model or Server/CAL License Model and any other License Terms relevant to the SQL Server Licenses Customer has appropriately assigned to the </w:t>
      </w:r>
      <w:hyperlink w:anchor="_Toc20" w:tooltip="Licensed Server means a single Server to which a License is assigned. See Glossary for full definition." w:history="1">
        <w:r>
          <w:rPr>
            <w:rStyle w:val="Hyperlink"/>
            <w:color w:val="505050"/>
          </w:rPr>
          <w:t>Licensed Server</w:t>
        </w:r>
      </w:hyperlink>
      <w:r>
        <w:t xml:space="preserve"> in connection with that use. For clarity, if hyperthreading is enabled and Customer is licensing use under the Virtual OSE Per Core License Model, Customer must assign a Core License for each </w:t>
      </w:r>
      <w:hyperlink w:anchor="_Toc20" w:tooltip="Hardware Thread means either a Physical Core or a hyper-thread in a Physical Processor." w:history="1">
        <w:r>
          <w:rPr>
            <w:rStyle w:val="Hyperlink"/>
            <w:color w:val="505050"/>
          </w:rPr>
          <w:t>Hardware Thread</w:t>
        </w:r>
      </w:hyperlink>
      <w:r>
        <w:t xml:space="preserve"> mapped to a container, subject to a minimum of four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79"/>
        <w:gridCol w:w="2924"/>
        <w:gridCol w:w="25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all editions (except Parrallel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Quality Connectivity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Backwards Compatibility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Connectivity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 Quality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Distributed Replay Client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Documentation Components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Basic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Complete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Reporting Services Add-in for SharePoint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Client Connectivity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Parallel Data Warehouse Control Virtual Machine</w:t>
            </w:r>
          </w:p>
        </w:tc>
      </w:tr>
    </w:tbl>
    <w:p/>
    <w:p>
      <w:pPr>
        <w:pStyle w:val="Heading3"/>
        <w:spacing w:before="150" w:beforeAutospacing="0"/>
        <w:rPr>
          <w:rFonts w:eastAsia="Times New Roman"/>
          <w:color w:val="0078D4"/>
          <w:sz w:val="26"/>
          <w:szCs w:val="26"/>
        </w:rPr>
      </w:pPr>
      <w:r>
        <w:rPr>
          <w:rFonts w:eastAsia="Times New Roman"/>
          <w:color w:val="0078D4"/>
          <w:sz w:val="26"/>
          <w:szCs w:val="26"/>
        </w:rPr>
        <w:t>Use of Power BI Report Server</w:t>
      </w:r>
    </w:p>
    <w:p>
      <w:pPr>
        <w:pStyle w:val="NormalWeb"/>
        <w:spacing w:after="150"/>
      </w:pPr>
      <w:r>
        <w:t xml:space="preserve">With SQL Server 2025, Customer may run Power BI Report Server software on the </w:t>
      </w:r>
      <w:hyperlink w:anchor="_Toc20" w:tooltip="Licensed Server means a single Server to which a License is assigned. See Glossary for full definition." w:history="1">
        <w:r>
          <w:rPr>
            <w:rStyle w:val="Hyperlink"/>
            <w:color w:val="505050"/>
          </w:rPr>
          <w:t>Licensed Server</w:t>
        </w:r>
      </w:hyperlink>
      <w:r>
        <w:t xml:space="preserve">, on any allowed Fail-over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in accordance with those same limits, or in Azure. Customer may run the software on a maximum numbers of cores equal to the number of SQL Server Standard or Enterprise Edition Core </w:t>
      </w:r>
      <w:hyperlink w:anchor="_Toc20" w:tooltip="License means the right to download, install, access and use a Product." w:history="1">
        <w:r>
          <w:rPr>
            <w:rStyle w:val="Hyperlink"/>
            <w:color w:val="505050"/>
          </w:rPr>
          <w:t>Licenses</w:t>
        </w:r>
      </w:hyperlink>
      <w:r>
        <w:t xml:space="preserve"> assigned to the </w:t>
      </w:r>
      <w:hyperlink w:anchor="_Toc20" w:tooltip="Licensed Server means a single Server to which a License is assigned. See Glossary for full definition." w:history="1">
        <w:r>
          <w:rPr>
            <w:rStyle w:val="Hyperlink"/>
            <w:color w:val="505050"/>
          </w:rPr>
          <w:t>Licensed Server</w:t>
        </w:r>
      </w:hyperlink>
      <w:r>
        <w:t xml:space="preserve">, subject to a minimum of four core licenses per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Alternatively, if the software is run in Azure, Customer must allocate one SQL Server Standard or Enterprise Edition Core </w:t>
      </w:r>
      <w:hyperlink w:anchor="_Toc20" w:tooltip="License means the right to download, install, access and use a Product." w:history="1">
        <w:r>
          <w:rPr>
            <w:rStyle w:val="Hyperlink"/>
            <w:color w:val="505050"/>
          </w:rPr>
          <w:t>License</w:t>
        </w:r>
      </w:hyperlink>
      <w:r>
        <w:t xml:space="preserve"> per virtual core, subject to a minimum of four core licenses per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A Power BI Pro User SL is required to publish shared Power BI reports using the Power BI Report Server. </w:t>
      </w:r>
    </w:p>
    <w:p>
      <w:pPr>
        <w:pStyle w:val="NormalWeb"/>
        <w:spacing w:before="150"/>
      </w:pPr>
      <w:r>
        <w:t xml:space="preserve">For versions of SQL Server Enterprise Edition released prior to 2025, Power BI Report Server use rights apply only to Enterprise Edition Core </w:t>
      </w:r>
      <w:hyperlink w:anchor="_Toc20" w:tooltip="License means the right to download, install, access and use a Product." w:history="1">
        <w:r>
          <w:rPr>
            <w:rStyle w:val="Hyperlink"/>
            <w:color w:val="505050"/>
          </w:rPr>
          <w:t>Licenses</w:t>
        </w:r>
      </w:hyperlink>
      <w:r>
        <w:t xml:space="preserve"> with active SA. This right expires upon expiration of Customer's SA coverage.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20" w:tooltip="Physical Core means a core in a Physical Processor." w:history="1">
        <w:r>
          <w:rPr>
            <w:rStyle w:val="Hyperlink"/>
            <w:color w:val="505050"/>
          </w:rPr>
          <w:t>Physical Core</w:t>
        </w:r>
      </w:hyperlink>
      <w:r>
        <w:t xml:space="preserve"> on a </w:t>
      </w:r>
      <w:hyperlink w:anchor="_Toc20" w:tooltip="Server means a physical hardware system capable of running server software." w:history="1">
        <w:r>
          <w:rPr>
            <w:rStyle w:val="Hyperlink"/>
            <w:color w:val="505050"/>
          </w:rPr>
          <w:t>Server</w:t>
        </w:r>
      </w:hyperlink>
      <w:r>
        <w:t xml:space="preserve"> or Licensing by Individual </w:t>
      </w:r>
      <w:hyperlink w:anchor="_Toc20"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5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5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5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5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5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20"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20"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7"/>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CAL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91"/>
        <w:gridCol w:w="72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See Fail-Over Rights section below for additional terms for SQL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of SQL Server (Not applicable to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5" w:tgtFrame="_blank" w:history="1">
              <w:r>
                <w:rPr>
                  <w:rStyle w:val="Hyperlink"/>
                  <w:rFonts w:ascii="Segoe UI" w:eastAsia="Times New Roman" w:hAnsi="Segoe UI" w:cs="Segoe UI"/>
                  <w:sz w:val="16"/>
                  <w:szCs w:val="16"/>
                </w:rPr>
                <w:t>Product Terms - October 2019</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Unlimited Virtualization</w:t>
      </w:r>
    </w:p>
    <w:p>
      <w:pPr>
        <w:pStyle w:val="NormalWeb"/>
        <w:spacing w:after="150"/>
      </w:pPr>
      <w:r>
        <w:t xml:space="preserve">When licensing by physical core, customers with active Software Assurance may run any number of instances of the server software in any number of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20"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Standard/Enterprise Core - Unlimited Containers</w:t>
      </w:r>
    </w:p>
    <w:p>
      <w:pPr>
        <w:pStyle w:val="NormalWeb"/>
        <w:spacing w:after="150"/>
      </w:pPr>
      <w:r>
        <w:t xml:space="preserve">When licensing by </w:t>
      </w:r>
      <w:hyperlink w:anchor="_Toc20" w:tooltip="Virtual OSE means an OSE that is configured to run on a virtual hardware system." w:history="1">
        <w:r>
          <w:rPr>
            <w:rStyle w:val="Hyperlink"/>
            <w:color w:val="505050"/>
          </w:rPr>
          <w:t>Virtual OSE</w:t>
        </w:r>
      </w:hyperlink>
      <w:r>
        <w:t xml:space="preserve">, customers with active SA may run any number of instances of the server software in any number of containers in the </w:t>
      </w:r>
      <w:hyperlink w:anchor="_Toc20" w:tooltip="Virtual OSE means an OSE that is configured to run on a virtual hardware system." w:history="1">
        <w:r>
          <w:rPr>
            <w:rStyle w:val="Hyperlink"/>
            <w:color w:val="505050"/>
          </w:rPr>
          <w:t>Virtual OSE</w:t>
        </w:r>
      </w:hyperlink>
      <w:r>
        <w:t xml:space="preserve"> on the </w:t>
      </w:r>
      <w:hyperlink w:anchor="_Toc20" w:tooltip="Licensed Server means a single Server to which a License is assigned. See Glossary for full definition." w:history="1">
        <w:r>
          <w:rPr>
            <w:rStyle w:val="Hyperlink"/>
            <w:color w:val="505050"/>
          </w:rPr>
          <w:t>Licensed Server</w:t>
        </w:r>
      </w:hyperlink>
      <w:r>
        <w:t xml:space="preserve">. When electing this benefit, a container is not considered to be a </w:t>
      </w:r>
      <w:hyperlink w:anchor="_Toc20"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5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5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5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tgtFrame="_blank"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5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5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5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5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5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SQL on Microsoft Azure</w:t>
      </w:r>
    </w:p>
    <w:p>
      <w:pPr>
        <w:pStyle w:val="NormalWeb"/>
        <w:spacing w:after="150"/>
      </w:pPr>
      <w:r>
        <w:t>When using SQL Server on Azure under Azure Hybrid Benefit rights, or Disaster Recovery Rights, Customer should indicate such use, as prompted in the Azure portal or Azure command line APIs.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Parallel Data Warehouse Feature Updates</w:t>
      </w:r>
    </w:p>
    <w:p>
      <w:pPr>
        <w:pStyle w:val="NormalWeb"/>
        <w:spacing w:after="150"/>
      </w:pPr>
      <w:r>
        <w:t>Customers with SA coverage are eligible for Parallel Data Warehouse feature releases (e.g., appliance updates) available between major product releases.</w:t>
      </w:r>
    </w:p>
    <w:p>
      <w:pPr>
        <w:pStyle w:val="Heading3"/>
        <w:spacing w:before="150" w:beforeAutospacing="0"/>
        <w:rPr>
          <w:rFonts w:eastAsia="Times New Roman"/>
          <w:color w:val="0078D4"/>
          <w:sz w:val="26"/>
          <w:szCs w:val="26"/>
        </w:rPr>
      </w:pPr>
      <w:r>
        <w:rPr>
          <w:rFonts w:eastAsia="Times New Roman"/>
          <w:color w:val="0078D4"/>
          <w:sz w:val="26"/>
          <w:szCs w:val="26"/>
        </w:rPr>
        <w:t>SQL Server Buy-Out Option under the Enrollment for Application Platform EAP</w:t>
      </w:r>
    </w:p>
    <w:p>
      <w:pPr>
        <w:pStyle w:val="NormalWeb"/>
        <w:spacing w:after="150"/>
      </w:pPr>
      <w:r>
        <w:t xml:space="preserve">Customer may renew SA for SQL Server Enterprise Server/CAL </w:t>
      </w:r>
      <w:hyperlink w:anchor="_Toc20" w:tooltip="License means the right to download, install, access and use a Product." w:history="1">
        <w:r>
          <w:rPr>
            <w:rStyle w:val="Hyperlink"/>
            <w:color w:val="505050"/>
          </w:rPr>
          <w:t>Licenses</w:t>
        </w:r>
      </w:hyperlink>
      <w:r>
        <w:t xml:space="preserve">, but the only buy-out option at the end of Customer’s enrollment term will be for core </w:t>
      </w:r>
      <w:hyperlink w:anchor="_Toc20" w:tooltip="License means the right to download, install, access and use a Product." w:history="1">
        <w:r>
          <w:rPr>
            <w:rStyle w:val="Hyperlink"/>
            <w:color w:val="505050"/>
          </w:rPr>
          <w:t>Licenses</w:t>
        </w:r>
      </w:hyperlink>
      <w:r>
        <w:t>.</w:t>
      </w:r>
    </w:p>
    <w:p w:rsidR="00ED5159" w:rsidP="00ED5159">
      <w:pPr>
        <w:pStyle w:val="ProductList-OfferingGroupHeading"/>
        <w:outlineLvl w:val="1"/>
      </w:pPr>
      <w:r>
        <w:t>Visual Studio</w:t>
      </w:r>
      <w:r>
        <w:fldChar w:fldCharType="begin"/>
      </w:r>
      <w:r>
        <w:instrText xml:space="preserve"> TC </w:instrText>
      </w:r>
      <w:bookmarkStart w:id="40" w:name="_Toc256000031"/>
      <w:r>
        <w:instrText>"</w:instrText>
      </w:r>
      <w:bookmarkStart w:id="41" w:name="_Toc10"/>
      <w:r>
        <w:instrText>Visual Studio</w:instrText>
      </w:r>
      <w:bookmarkEnd w:id="41"/>
      <w:r>
        <w:instrText>"</w:instrText>
      </w:r>
      <w:bookmarkEnd w:id="40"/>
      <w:r>
        <w:instrText xml:space="preserve"> \l 2</w:instrText>
      </w:r>
      <w:r>
        <w:fldChar w:fldCharType="end"/>
      </w:r>
    </w:p>
    <w:p w:rsidR="00ED5159" w:rsidP="00ED5159">
      <w:pPr>
        <w:pStyle w:val="ProductList-Offering2Heading"/>
        <w:outlineLvl w:val="2"/>
      </w:pPr>
      <w:r>
        <w:t>Visual Studio Subscriptions</w:t>
      </w:r>
      <w:r>
        <w:fldChar w:fldCharType="begin"/>
      </w:r>
      <w:r>
        <w:instrText xml:space="preserve"> TC </w:instrText>
      </w:r>
      <w:bookmarkStart w:id="42" w:name="_Toc256000032"/>
      <w:r>
        <w:instrText>"</w:instrText>
      </w:r>
      <w:r>
        <w:instrText>Visual Studio Subscriptions</w:instrText>
      </w:r>
      <w:r>
        <w:instrText>"</w:instrText>
      </w:r>
      <w:bookmarkEnd w:id="4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MSDN Platforms</w:t>
            </w:r>
          </w:p>
        </w:tc>
        <w:tc>
          <w:tcPr/>
          <w:p w:rsidR="00A363CA" w:rsidP="00A363CA">
            <w:pPr>
              <w:pStyle w:val="ProductList-TableBody"/>
            </w:pPr>
            <w:r>
              <w:t>6/13</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Visual Studio Professional Subscription</w:t>
            </w:r>
          </w:p>
        </w:tc>
        <w:tc>
          <w:tcPr/>
          <w:p w:rsidR="00A363CA" w:rsidP="00A363CA">
            <w:pPr>
              <w:pStyle w:val="ProductList-TableBody"/>
            </w:pPr>
          </w:p>
        </w:tc>
        <w:tc>
          <w:tcPr/>
          <w:p w:rsidR="00A363CA" w:rsidP="00A363CA">
            <w:pPr>
              <w:pStyle w:val="ProductList-TableBody"/>
            </w:pPr>
            <w:r>
              <w:t>Open Minimum,Non-Organization Wide in Open Value</w:t>
            </w:r>
          </w:p>
        </w:tc>
      </w:tr>
      <w:tr w:rsidTr="00610FDE">
        <w:tblPrEx>
          <w:tblW w:w="0" w:type="auto"/>
          <w:tblLook w:val="04A0"/>
        </w:tblPrEx>
        <w:tc>
          <w:tcPr/>
          <w:p w:rsidR="00A363CA" w:rsidP="00A363CA">
            <w:pPr>
              <w:pStyle w:val="ProductList-TableBody"/>
            </w:pPr>
            <w:r>
              <w:t>Visual Studio Enterprise Subscription</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Visual Studio Test Professional Subscription</w:t>
            </w:r>
          </w:p>
        </w:tc>
        <w:tc>
          <w:tcPr/>
          <w:p w:rsidR="00A363CA" w:rsidP="00A363CA">
            <w:pPr>
              <w:pStyle w:val="ProductList-TableBody"/>
            </w:pP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16"/>
        <w:gridCol w:w="55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Current Version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2026 (11/25)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2022 (11/21)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Grant for SQL Server Parallel Data Warehouse Developer</w:t>
      </w:r>
    </w:p>
    <w:p>
      <w:pPr>
        <w:pStyle w:val="NormalWeb"/>
        <w:spacing w:after="150"/>
      </w:pPr>
      <w:r>
        <w:t xml:space="preserve">Each </w:t>
      </w:r>
      <w:hyperlink w:anchor="_Toc20" w:tooltip="Licensed User means the single person to whom a License is assigned." w:history="1">
        <w:r>
          <w:rPr>
            <w:rStyle w:val="Hyperlink"/>
            <w:color w:val="505050"/>
          </w:rPr>
          <w:t>Licensed User</w:t>
        </w:r>
      </w:hyperlink>
      <w:r>
        <w:t xml:space="preserve"> of Visual Studio Professional Subscription, Visual Studio Enterprise Subscription and Visual Studio Test Professional Subscription is deemed to have one License for SQL Server 2016 Parallel Data Warehouse Developer.</w:t>
      </w:r>
    </w:p>
    <w:p>
      <w:pPr>
        <w:pStyle w:val="Heading3"/>
        <w:spacing w:before="150" w:beforeAutospacing="0"/>
        <w:rPr>
          <w:rFonts w:eastAsia="Times New Roman"/>
          <w:color w:val="0078D4"/>
          <w:sz w:val="26"/>
          <w:szCs w:val="26"/>
        </w:rPr>
      </w:pPr>
      <w:r>
        <w:rPr>
          <w:rFonts w:eastAsia="Times New Roman"/>
          <w:color w:val="0078D4"/>
          <w:sz w:val="26"/>
          <w:szCs w:val="26"/>
        </w:rPr>
        <w:t>License Grant for Azure DevOps Server 2022</w:t>
      </w:r>
    </w:p>
    <w:p>
      <w:pPr>
        <w:pStyle w:val="NormalWeb"/>
        <w:spacing w:after="150"/>
      </w:pPr>
      <w:r>
        <w:t xml:space="preserve">Each </w:t>
      </w:r>
      <w:hyperlink w:anchor="_Toc20" w:tooltip="Licensed User means the single person to whom a License is assigned." w:history="1">
        <w:r>
          <w:rPr>
            <w:rStyle w:val="Hyperlink"/>
            <w:color w:val="505050"/>
          </w:rPr>
          <w:t>Licensed User</w:t>
        </w:r>
      </w:hyperlink>
      <w:r>
        <w:t xml:space="preserve"> of Visual Studio Professional Subscription, Visual Studio Enterprise Subscription, Visual Studio Test Professional Subscription and MSDN Platforms is deemed to have one Server </w:t>
      </w:r>
      <w:hyperlink w:anchor="_Toc20" w:tooltip="License means the right to download, install, access and use a Product." w:history="1">
        <w:r>
          <w:rPr>
            <w:rStyle w:val="Hyperlink"/>
            <w:color w:val="505050"/>
          </w:rPr>
          <w:t>License</w:t>
        </w:r>
      </w:hyperlink>
      <w:r>
        <w:t xml:space="preserve"> for Azure DevOps Server and one Azure DevOps Server User </w:t>
      </w:r>
      <w:hyperlink w:anchor="_Toc20" w:tooltip="CAL means client access license, which may be assigned by user or device, as appropriate. Refer to glossary for full definition." w:history="1">
        <w:r>
          <w:rPr>
            <w:rStyle w:val="Hyperlink"/>
            <w:color w:val="505050"/>
          </w:rPr>
          <w:t>CAL</w:t>
        </w:r>
      </w:hyperlink>
      <w:r>
        <w:t xml:space="preserve">. The </w:t>
      </w:r>
      <w:hyperlink w:anchor="_Toc20" w:tooltip="CAL means client access license, which may be assigned by user or device, as appropriate. Refer to glossary for full definition." w:history="1">
        <w:r>
          <w:rPr>
            <w:rStyle w:val="Hyperlink"/>
            <w:color w:val="505050"/>
          </w:rPr>
          <w:t>CAL</w:t>
        </w:r>
      </w:hyperlink>
      <w:r>
        <w:t xml:space="preserve"> is for the sole use of the </w:t>
      </w:r>
      <w:hyperlink w:anchor="_Toc20" w:tooltip="Licensed User means the single person to whom a License is assigned." w:history="1">
        <w:r>
          <w:rPr>
            <w:rStyle w:val="Hyperlink"/>
            <w:color w:val="505050"/>
          </w:rPr>
          <w:t>Licensed User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Azure Services</w:t>
      </w:r>
    </w:p>
    <w:p>
      <w:pPr>
        <w:pStyle w:val="NormalWeb"/>
        <w:spacing w:after="150"/>
      </w:pPr>
      <w:r>
        <w:t>Microsoft Azure benefits cannot be combined from multiple Visual Studio Subscriptions or MSDN Platforms onto a single Microsoft Azure account.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for rights to access Azure Virtual Desktop virtual machines.</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84"/>
        <w:gridCol w:w="74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Professional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 Microsoft SharePoint, Windows SDK, Microsoft Office Components, Microsoft Advertising SDK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All, H.264 and/or VC-1 - All (except MSDN Platforms)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0"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Office LTSC Professional Plus or Microsoft 365 Apps for enterprise - Visual Studio Enterprise Subscription</w:t>
      </w:r>
    </w:p>
    <w:p>
      <w:pPr>
        <w:pStyle w:val="NormalWeb"/>
        <w:spacing w:after="150"/>
      </w:pPr>
      <w:r>
        <w:t xml:space="preserve">Each </w:t>
      </w:r>
      <w:hyperlink w:anchor="_Toc20" w:tooltip="Licensed User means the single person to whom a License is assigned." w:history="1">
        <w:r>
          <w:rPr>
            <w:rStyle w:val="Hyperlink"/>
            <w:color w:val="505050"/>
          </w:rPr>
          <w:t>Licensed User</w:t>
        </w:r>
      </w:hyperlink>
      <w:r>
        <w:t xml:space="preserve"> of Visual Studio Enterprise Subscription may also install and use one copy of Office LTSC Professional Plus or Microsoft 365 Apps for enterprise for production use. Except as provided here, the </w:t>
      </w:r>
      <w:hyperlink r:id="rId119" w:history="1">
        <w:r>
          <w:rPr>
            <w:rStyle w:val="Hyperlink"/>
            <w:color w:val="505050"/>
          </w:rPr>
          <w:t>Office Desktop Applications (Windows)</w:t>
        </w:r>
      </w:hyperlink>
      <w:r>
        <w:t xml:space="preserve"> terms applies to the </w:t>
      </w:r>
      <w:hyperlink w:anchor="_Toc20" w:tooltip="Licensed User means the single person to whom a License is assigned." w:history="1">
        <w:r>
          <w:rPr>
            <w:rStyle w:val="Hyperlink"/>
            <w:color w:val="505050"/>
          </w:rPr>
          <w:t>Licensed User</w:t>
        </w:r>
      </w:hyperlink>
      <w:r>
        <w:t xml:space="preserve">'s use of Office LTSC Professional Plus and the </w:t>
      </w:r>
      <w:hyperlink r:id="rId120" w:history="1">
        <w:r>
          <w:rPr>
            <w:rStyle w:val="Hyperlink"/>
            <w:color w:val="505050"/>
          </w:rPr>
          <w:t>Microsoft 365 Applications</w:t>
        </w:r>
      </w:hyperlink>
      <w:r>
        <w:t xml:space="preserve"> terms applies to </w:t>
      </w:r>
      <w:hyperlink w:anchor="_Toc20" w:tooltip="Licensed User means the single person to whom a License is assigned." w:history="1">
        <w:r>
          <w:rPr>
            <w:rStyle w:val="Hyperlink"/>
            <w:color w:val="505050"/>
          </w:rPr>
          <w:t>Licensed User</w:t>
        </w:r>
      </w:hyperlink>
      <w:r>
        <w:t>'s use of Microsoft 365 Apps for enterprise.</w:t>
      </w:r>
    </w:p>
    <w:p>
      <w:pPr>
        <w:pStyle w:val="Heading3"/>
        <w:spacing w:before="150" w:beforeAutospacing="0"/>
        <w:rPr>
          <w:rFonts w:eastAsia="Times New Roman"/>
          <w:color w:val="0078D4"/>
          <w:sz w:val="26"/>
          <w:szCs w:val="26"/>
        </w:rPr>
      </w:pPr>
      <w:r>
        <w:rPr>
          <w:rFonts w:eastAsia="Times New Roman"/>
          <w:color w:val="0078D4"/>
          <w:sz w:val="26"/>
          <w:szCs w:val="26"/>
        </w:rPr>
        <w:t>Terms of Use for Visual Studio Product Family</w:t>
      </w:r>
    </w:p>
    <w:p>
      <w:pPr>
        <w:pStyle w:val="NormalWeb"/>
        <w:spacing w:after="150"/>
      </w:pPr>
      <w:r>
        <w:t xml:space="preserve">Except as expressly provided herein, Customer and Customer's Licensed Users may use Visual Studio Professional, Visual Studio Enterprise, Visual Studio Build Tools, and other extensions and supplements in accordance with the license terms accompanying each software product. For detailed information, please refer to the applicable license terms provided with the software or </w:t>
      </w:r>
      <w:hyperlink r:id="rId121" w:history="1">
        <w:r>
          <w:rPr>
            <w:rStyle w:val="Hyperlink"/>
            <w:color w:val="505050"/>
          </w:rPr>
          <w:t>https://visualstudio.microsoft.com/license-terms/</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Developer Tools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Licenses</w:t>
      </w:r>
    </w:p>
    <w:p>
      <w:pPr>
        <w:numPr>
          <w:ilvl w:val="0"/>
          <w:numId w:val="6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use any number of copies of the software and any prior version on any device for each User License it acquires. Any device that is under the management or control of an entity other than Customer or one of its Affiliates is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0"/>
          <w:numId w:val="60"/>
        </w:numPr>
        <w:spacing w:before="100" w:beforeAutospacing="1" w:line="240" w:lineRule="auto"/>
        <w:ind w:left="600"/>
        <w:rPr>
          <w:rFonts w:ascii="Segoe UI" w:eastAsia="Times New Roman" w:hAnsi="Segoe UI" w:cs="Segoe UI"/>
          <w:color w:val="505050"/>
          <w:sz w:val="18"/>
          <w:szCs w:val="18"/>
        </w:rPr>
      </w:pP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use the software for evaluation and to develop, test, and demonstrate Customer's programs. These rights include the use of the software to simulate an end user environment to diagnose issues related to its programs.</w:t>
      </w:r>
    </w:p>
    <w:p>
      <w:pPr>
        <w:numPr>
          <w:ilvl w:val="0"/>
          <w:numId w:val="6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software is not licensed for use in a Production Environment.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License Terms for Visual Studio Subscriptions</w:t>
      </w:r>
    </w:p>
    <w:p>
      <w:pPr>
        <w:pStyle w:val="NormalWeb"/>
        <w:spacing w:after="150"/>
      </w:pPr>
      <w:r>
        <w:t xml:space="preserve">In addition to the rights in the License Model Terms, Customer may allocate a Visual Studio Subscription for each </w:t>
      </w:r>
      <w:hyperlink w:anchor="_Toc20" w:tooltip="License means the right to download, install, access and use a Product." w:history="1">
        <w:r>
          <w:rPr>
            <w:rStyle w:val="Hyperlink"/>
            <w:color w:val="505050"/>
          </w:rPr>
          <w:t>License</w:t>
        </w:r>
      </w:hyperlink>
      <w:r>
        <w:t xml:space="preserve"> it acquires. For Visual Studio Subscriptions, the "Software" means software made available to Customer's subscription level via Visual Studio Subscription Subscriber Downloads. Any online service made available with Customer's Visual Studio Subscription may not be used in a </w:t>
      </w:r>
      <w:hyperlink w:anchor="_Toc20" w:tooltip="Production Environment means any Physical or Virtual OSE running a production workload or accessing production data, or Physical OSE hosting one or more Virtual OSEs running production workloads or accessing production data." w:history="1">
        <w:r>
          <w:rPr>
            <w:rStyle w:val="Hyperlink"/>
            <w:color w:val="505050"/>
          </w:rPr>
          <w:t>Production Environment</w:t>
        </w:r>
      </w:hyperlink>
      <w:r>
        <w:t>.</w:t>
      </w:r>
    </w:p>
    <w:p>
      <w:pPr>
        <w:pStyle w:val="Heading5"/>
        <w:rPr>
          <w:rFonts w:eastAsia="Times New Roman"/>
        </w:rPr>
      </w:pPr>
      <w:r>
        <w:rPr>
          <w:rStyle w:val="Strong"/>
          <w:rFonts w:eastAsia="Times New Roman"/>
        </w:rPr>
        <w:t>Running the Software on Microsoft Azure Services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Licensed User may run the Software on Microsoft Azure Services during the term of its Visual Studio Subscription.</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use of the Software remains subject to the terms and conditions of Customer's volume licensing agreement and any terms that come with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Developer Tools License Model Terms apply to the use of the Software and Azure Dev/Test offers, except that the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not run Office Professional Plus or System Center Virtual Machine Manager for production use on Microsoft Azure Services.</w:t>
      </w:r>
    </w:p>
    <w:p>
      <w:pPr>
        <w:pStyle w:val="Heading5"/>
        <w:rPr>
          <w:rFonts w:eastAsia="Times New Roman"/>
        </w:rPr>
      </w:pPr>
      <w:r>
        <w:rPr>
          <w:rStyle w:val="Strong"/>
          <w:rFonts w:eastAsia="Times New Roman"/>
        </w:rPr>
        <w:t>Additional Requirements</w:t>
      </w:r>
    </w:p>
    <w:p>
      <w:pPr>
        <w:pStyle w:val="NormalWeb"/>
      </w:pPr>
      <w:r>
        <w:t>To run Software on Microsoft Azure Services Customer must activate its Visual Studio Subscription by linking its Microsoft account to the Visual Studio Subscription.</w:t>
      </w:r>
    </w:p>
    <w:p>
      <w:pPr>
        <w:pStyle w:val="Heading5"/>
        <w:rPr>
          <w:rFonts w:eastAsia="Times New Roman"/>
        </w:rPr>
      </w:pPr>
      <w:r>
        <w:rPr>
          <w:rStyle w:val="Strong"/>
          <w:rFonts w:eastAsia="Times New Roman"/>
        </w:rPr>
        <w:t>Acceptance Testing and Feedback</w:t>
      </w:r>
    </w:p>
    <w:p>
      <w:pPr>
        <w:pStyle w:val="NormalWeb"/>
      </w:pPr>
      <w:r>
        <w:t>Customer's end users may access the Software, and online services made available with Customer's Visual Studio Subscription, to perform acceptance tests or to provide feedback on its programs.</w:t>
      </w:r>
    </w:p>
    <w:p>
      <w:pPr>
        <w:pStyle w:val="Heading5"/>
        <w:rPr>
          <w:rFonts w:eastAsia="Times New Roman"/>
        </w:rPr>
      </w:pPr>
      <w:r>
        <w:rPr>
          <w:rStyle w:val="Strong"/>
          <w:rFonts w:eastAsia="Times New Roman"/>
        </w:rPr>
        <w:t>Windows Server Remote Desktop Services</w:t>
      </w:r>
    </w:p>
    <w:p>
      <w:pPr>
        <w:pStyle w:val="NormalWeb"/>
      </w:pPr>
      <w:r>
        <w:t>Up to 200 anonymous users at a time may use the Remote Desktop Services feature of the Windows Server software to access online demonstrations of Customer's programs.</w:t>
      </w:r>
    </w:p>
    <w:p>
      <w:pPr>
        <w:pStyle w:val="Heading5"/>
        <w:rPr>
          <w:rFonts w:eastAsia="Times New Roman"/>
        </w:rPr>
      </w:pPr>
      <w:r>
        <w:rPr>
          <w:rStyle w:val="Strong"/>
          <w:rFonts w:eastAsia="Times New Roman"/>
        </w:rPr>
        <w:t>Windows Embedded Product</w:t>
      </w:r>
    </w:p>
    <w:p>
      <w:pPr>
        <w:pStyle w:val="NormalWeb"/>
      </w:pPr>
      <w:r>
        <w:t xml:space="preserve">Each Windows Embedded Product is licensed under the terms that come with it, including any Microsoft obligations related to defense of infringement and misappropriation claims. These terms replace the corresponding terms in Customer's volume licensing agreement. Each </w:t>
      </w:r>
      <w:hyperlink w:anchor="_Toc20" w:tooltip="Licensed User means the single person to whom a License is assigned." w:history="1">
        <w:r>
          <w:rPr>
            <w:rStyle w:val="Hyperlink"/>
            <w:color w:val="505050"/>
          </w:rPr>
          <w:t>Licensed User</w:t>
        </w:r>
      </w:hyperlink>
      <w:r>
        <w:t xml:space="preserve"> may install and use an unlimited number of copies of the licensed Windows Embedded Product.</w:t>
      </w:r>
    </w:p>
    <w:p>
      <w:pPr>
        <w:pStyle w:val="Heading5"/>
        <w:rPr>
          <w:rFonts w:eastAsia="Times New Roman"/>
        </w:rPr>
      </w:pPr>
      <w:r>
        <w:rPr>
          <w:rStyle w:val="Strong"/>
          <w:rFonts w:eastAsia="Times New Roman"/>
        </w:rPr>
        <w:t>Data Collection</w:t>
      </w:r>
    </w:p>
    <w:p>
      <w:pPr>
        <w:pStyle w:val="NormalWeb"/>
      </w:pPr>
      <w:r>
        <w:t>The Data collection practices of Software are as described in the terms accompanying them.</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06"/>
        <w:gridCol w:w="682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Product Terms - September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Eligibility</w:t>
      </w:r>
    </w:p>
    <w:p>
      <w:pPr>
        <w:pStyle w:val="NormalWeb"/>
        <w:spacing w:after="150"/>
      </w:pPr>
      <w:r>
        <w:t xml:space="preserve">Customers with expiring SA on any Visual Studio Subscription License or an active retail subscription corresponding to the Visual Studio offerings in the Product Terms may renew coverage under any Visual Studio Subscription License. When renewing to a different Subscription level, the new use terms replace the prior use terms, and any software not included in the new Subscription may no longer be used. Renewing into coverage that corresponds to a higher Visual Studio edition is facilitated through Step Up Licenses (refer to </w:t>
      </w:r>
      <w:hyperlink r:id="rId104" w:tgtFrame="_blank" w:history="1">
        <w:r>
          <w:rPr>
            <w:rStyle w:val="Hyperlink"/>
            <w:color w:val="505050"/>
          </w:rPr>
          <w:t>Software Assurance Benefits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Visual Studio Subscription Perpetual Rights</w:t>
      </w:r>
    </w:p>
    <w:p>
      <w:pPr>
        <w:pStyle w:val="NormalWeb"/>
        <w:spacing w:after="150"/>
      </w:pPr>
      <w:r>
        <w:t>Customer's rights to use any software licensed through Visual Studio Subscription become perpetual when Customer's right to use Visual Studio becomes perpetual.</w:t>
      </w:r>
    </w:p>
    <w:p w:rsidR="00ED5159" w:rsidP="00ED5159">
      <w:pPr>
        <w:pStyle w:val="ProductList-Offering2Heading"/>
        <w:outlineLvl w:val="2"/>
      </w:pPr>
      <w:r>
        <w:t>Azure DevOps Server</w:t>
      </w:r>
      <w:r>
        <w:fldChar w:fldCharType="begin"/>
      </w:r>
      <w:r>
        <w:instrText xml:space="preserve"> TC </w:instrText>
      </w:r>
      <w:bookmarkStart w:id="43" w:name="_Toc256000033"/>
      <w:r>
        <w:instrText>"</w:instrText>
      </w:r>
      <w:r>
        <w:instrText>Azure DevOps Server</w:instrText>
      </w:r>
      <w:r>
        <w:instrText>"</w:instrText>
      </w:r>
      <w:bookmarkEnd w:id="4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Azure DevOps Server 2022 with SQL Server Technology</w:t>
            </w:r>
          </w:p>
        </w:tc>
        <w:tc>
          <w:tcPr/>
          <w:p w:rsidR="00A363CA" w:rsidP="00A363CA">
            <w:pPr>
              <w:pStyle w:val="ProductList-TableBody"/>
            </w:pPr>
            <w:r>
              <w:t>11/22</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Azure DevOps Server 2022 CAL (Device and User)</w:t>
            </w:r>
          </w:p>
        </w:tc>
        <w:tc>
          <w:tcPr/>
          <w:p w:rsidR="00A363CA" w:rsidP="00A363CA">
            <w:pPr>
              <w:pStyle w:val="ProductList-TableBody"/>
            </w:pPr>
            <w:r>
              <w:t>11/22</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98"/>
        <w:gridCol w:w="64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2020 (10/20)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Usage Not Requiring CALs</w:t>
      </w:r>
    </w:p>
    <w:p>
      <w:pPr>
        <w:pStyle w:val="NormalWeb"/>
        <w:spacing w:after="150"/>
      </w:pPr>
      <w:r>
        <w:t xml:space="preserve">The following uses do not require </w:t>
      </w:r>
      <w:hyperlink w:anchor="_Toc20" w:tooltip="CAL means client access license, which may be assigned by user or device, as appropriate. (Refer to Glossary for full definition)" w:history="1">
        <w:r>
          <w:rPr>
            <w:rStyle w:val="Hyperlink"/>
            <w:color w:val="505050"/>
          </w:rPr>
          <w:t>CALs</w:t>
        </w:r>
      </w:hyperlink>
      <w:r>
        <w:t>; view, edit, or enter work items; access Azure DevOps Server Reporting; accessing Azure DevOps Services via a Azure DevOps Server Proxy; providing approvals to stages as part of the Release Management pipeline; and accessing Azure DevOps Server through a pooled connection from another integrated application or service.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0"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Azure DevOps Server Build Services</w:t>
      </w:r>
    </w:p>
    <w:p>
      <w:pPr>
        <w:pStyle w:val="NormalWeb"/>
        <w:spacing w:after="150"/>
      </w:pPr>
      <w:r>
        <w:t xml:space="preserve">If Customer has one or more </w:t>
      </w:r>
      <w:hyperlink w:anchor="_Toc20" w:tooltip="Licensed User means the single person to whom a License is assigned." w:history="1">
        <w:r>
          <w:rPr>
            <w:rStyle w:val="Hyperlink"/>
            <w:color w:val="505050"/>
          </w:rPr>
          <w:t>Licensed Users</w:t>
        </w:r>
      </w:hyperlink>
      <w:r>
        <w:t xml:space="preserve"> of Visual Studio Enterprise Subscription, Visual Studio Professional Subscription, Visual Studio Enterprise monthly subscription, or Visual Studio Professional monthly subscription then Customer may also install the Visual Studio software and permit access and use of it as part Azure DevOps Server Build Services by Customer’s </w:t>
      </w:r>
      <w:hyperlink w:anchor="_Toc20" w:tooltip="Licensed User means the single person to whom a License is assigned." w:history="1">
        <w:r>
          <w:rPr>
            <w:rStyle w:val="Hyperlink"/>
            <w:color w:val="505050"/>
          </w:rPr>
          <w:t>Licensed Users</w:t>
        </w:r>
      </w:hyperlink>
      <w:r>
        <w:t xml:space="preserve"> and </w:t>
      </w:r>
      <w:hyperlink w:anchor="_Toc20" w:tooltip="Licensed Device means a single physical hardware system to which a License is assigned (see Glossary for full definition)" w:history="1">
        <w:r>
          <w:rPr>
            <w:rStyle w:val="Hyperlink"/>
            <w:color w:val="505050"/>
          </w:rPr>
          <w:t>Licensed Devices</w:t>
        </w:r>
      </w:hyperlink>
      <w:r>
        <w:t xml:space="preserve"> of Azure DevOps Server.</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Azure DevOps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Build Services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6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61"/>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2022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paid user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w:t>
      </w:r>
    </w:p>
    <w:p>
      <w:pPr>
        <w:pStyle w:val="NormalWeb"/>
        <w:spacing w:after="150"/>
      </w:pPr>
      <w:r>
        <w:t>Test Plan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Test Manager paid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MSDN Platforms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Windows Desktop Operating System</w:t>
      </w:r>
      <w:r>
        <w:fldChar w:fldCharType="begin"/>
      </w:r>
      <w:r>
        <w:instrText xml:space="preserve"> TC </w:instrText>
      </w:r>
      <w:bookmarkStart w:id="44" w:name="_Toc256000034"/>
      <w:r>
        <w:instrText>"</w:instrText>
      </w:r>
      <w:r>
        <w:instrText>Windows Desktop Operating System</w:instrText>
      </w:r>
      <w:r>
        <w:instrText>"</w:instrText>
      </w:r>
      <w:bookmarkEnd w:id="4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11 Education (Per Device)</w:t>
            </w:r>
          </w:p>
        </w:tc>
        <w:tc>
          <w:tcPr/>
          <w:p w:rsidR="00A363CA" w:rsidP="00A363CA">
            <w:pPr>
              <w:pStyle w:val="ProductList-TableBody"/>
            </w:pPr>
            <w:r>
              <w:t>8/15</w:t>
            </w:r>
          </w:p>
        </w:tc>
        <w:tc>
          <w:tcPr/>
          <w:p w:rsidR="00A363CA" w:rsidP="00A363CA">
            <w:pPr>
              <w:pStyle w:val="ProductList-TableBody"/>
            </w:pPr>
            <w:r>
              <w:t>Education Desktop</w:t>
            </w:r>
          </w:p>
        </w:tc>
      </w:tr>
      <w:tr w:rsidTr="00610FDE">
        <w:tblPrEx>
          <w:tblW w:w="0" w:type="auto"/>
          <w:tblLook w:val="04A0"/>
        </w:tblPrEx>
        <w:tc>
          <w:tcPr/>
          <w:p w:rsidR="00A363CA" w:rsidP="00A363CA">
            <w:pPr>
              <w:pStyle w:val="ProductList-TableBody"/>
            </w:pPr>
            <w:r>
              <w:t>Windows VDA per device (SL)</w:t>
            </w:r>
          </w:p>
        </w:tc>
        <w:tc>
          <w:tcPr/>
          <w:p w:rsidR="00A363CA" w:rsidP="00A363CA">
            <w:pPr>
              <w:pStyle w:val="ProductList-TableBody"/>
            </w:pPr>
            <w:r>
              <w:t>7/07</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61"/>
        <w:gridCol w:w="77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LTSC 2019 (10/18), Windows Embedded 8.1 Industry  (4/14)</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06" w:tgtFrame="_blank"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License Assignment for Windows Desktop Operating System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User License Assignment Eligibility (Excluding Virtual Desktop Access)</w:t>
      </w:r>
    </w:p>
    <w:p>
      <w:pPr>
        <w:pStyle w:val="NormalWeb"/>
        <w:spacing w:after="150"/>
      </w:pPr>
      <w:r>
        <w:t xml:space="preserve">The </w:t>
      </w:r>
      <w:hyperlink w:anchor="_Toc20" w:tooltip="Licensed User means the single person to whom a License is assigned." w:history="1">
        <w:r>
          <w:rPr>
            <w:rStyle w:val="Hyperlink"/>
            <w:color w:val="505050"/>
          </w:rPr>
          <w:t>Licensed User</w:t>
        </w:r>
      </w:hyperlink>
      <w:r>
        <w:t xml:space="preserve"> must be the </w:t>
      </w:r>
      <w:hyperlink w:anchor="_Toc20" w:tooltip="Primary User means the user who uses a Licensed Device more than 50% of the time in any 90 day period." w:history="1">
        <w:r>
          <w:rPr>
            <w:rStyle w:val="Hyperlink"/>
            <w:color w:val="505050"/>
          </w:rPr>
          <w:t>Primary User</w:t>
        </w:r>
      </w:hyperlink>
      <w:r>
        <w:t xml:space="preserve"> of at least one device licensed with a Qualifying OS. This one device must also be the Primary User’s primary work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Device License Assignment Eligibility (Excluding Virtual Desktop Access)</w:t>
      </w:r>
    </w:p>
    <w:p>
      <w:pPr>
        <w:pStyle w:val="NormalWeb"/>
        <w:spacing w:after="150"/>
      </w:pPr>
      <w:r>
        <w:t xml:space="preserve">The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must be licensed with a Qualifying OS, and the Qualifying OS must be installed on the </w:t>
      </w:r>
      <w:hyperlink w:anchor="_Toc20" w:tooltip="Licensed Device means a single physical hardware system to which a License is assigned (see Glossary for full definition)." w:history="1">
        <w:r>
          <w:rPr>
            <w:rStyle w:val="Hyperlink"/>
            <w:color w:val="505050"/>
          </w:rPr>
          <w:t>Licensed Device</w:t>
        </w:r>
      </w:hyperlink>
      <w:r>
        <w:t>. Per Device license assignment is permanent unless Customer has Software Assurance for that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Virtual Desktop Access (VDA) License Assignment Eligibility</w:t>
      </w:r>
    </w:p>
    <w:p>
      <w:pPr>
        <w:pStyle w:val="NormalWeb"/>
        <w:spacing w:after="150"/>
      </w:pPr>
      <w:r>
        <w:t>VDA Per Device and Per User licenses may be assigned to any user or device.</w:t>
      </w:r>
    </w:p>
    <w:p>
      <w:pPr>
        <w:pStyle w:val="Heading3"/>
        <w:spacing w:before="150" w:beforeAutospacing="0"/>
        <w:rPr>
          <w:rFonts w:eastAsia="Times New Roman"/>
          <w:color w:val="0078D4"/>
          <w:sz w:val="26"/>
          <w:szCs w:val="26"/>
        </w:rPr>
      </w:pPr>
      <w:r>
        <w:rPr>
          <w:rFonts w:eastAsia="Times New Roman"/>
          <w:color w:val="0078D4"/>
          <w:sz w:val="26"/>
          <w:szCs w:val="26"/>
        </w:rPr>
        <w:t>Qualifying Operating Systems </w:t>
      </w:r>
    </w:p>
    <w:p>
      <w:pPr>
        <w:pStyle w:val="NormalWeb"/>
        <w:spacing w:after="150"/>
      </w:pPr>
      <w:r>
        <w:t>Windows software acquired through a volume licensing agreement may only be installed or activated on devices licensed to run one of the qualifying operating systems (OS) below.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for Per User Licenses and Virtual Desktop Access Per Device/User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05"/>
        <w:gridCol w:w="4149"/>
        <w:gridCol w:w="277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Agreement, Microsoft Products and Services Agreement, Select, Select Plus, Open Value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IoT 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pStyle w:val="NormalWeb"/>
      </w:pPr>
      <w:r>
        <w:rPr>
          <w:vertAlign w:val="superscript"/>
        </w:rPr>
        <w:t xml:space="preserve">1 </w:t>
      </w:r>
      <w:r>
        <w:t>Windows 7 Operating Systems covered by an Extended Security Update (ESU) license are Qualifying Operating Systems during the device's active ESU coverage period. Windows 7 Enterprise, Professional, Ultimate and Professional/Ultimate for Embedded Systems editions are equivalent to Windows 8 Pro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 Per Device Licenses (Excluding Virtual Desktop Access Licenses)</w:t>
      </w:r>
    </w:p>
    <w:p>
      <w:pPr>
        <w:pStyle w:val="NormalWeb"/>
        <w:spacing w:after="150"/>
      </w:pPr>
      <w:r>
        <w:t>Unless Customer has Software Assurance for the device, Customer must remove the Qualifying OS from the device before installing Windows software acquired through a volume licensing agreement on a Licensed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43"/>
        <w:gridCol w:w="1626"/>
        <w:gridCol w:w="1653"/>
        <w:gridCol w:w="1652"/>
        <w:gridCol w:w="1496"/>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New Enterprise Agreement (EA)/Open Value Company Wide (OV-OW) </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8/8.1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Apple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macOS </w:t>
            </w:r>
            <w:r>
              <w:rPr>
                <w:rFonts w:ascii="Segoe UI" w:eastAsia="Times New Roman" w:hAnsi="Segoe UI" w:cs="Segoe UI"/>
                <w:sz w:val="16"/>
                <w:szCs w:val="16"/>
                <w:vertAlign w:val="superscript"/>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Embedded Operating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10/11 IoT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2000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XP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Vista Business/Ultimate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7 Professional/Ultimate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NormalWeb"/>
        <w:spacing w:before="150"/>
      </w:pPr>
      <w:r>
        <w:rPr>
          <w:vertAlign w:val="superscript"/>
        </w:rPr>
        <w:t xml:space="preserve">2 </w:t>
      </w:r>
      <w:r>
        <w:t>Windows 7 Operating Systems covered by an Extended Security Update (ESU) license are Qualifying Operating Systems during the device's active ESU coverage period. Windows 7 Enterprise, Professional, and Ultimate editions are equivalent to Windows 8 Pro edition eligibility. Windows 7 Home Premium, Home Basic, and Starter Edition editions are equivalent to Windows 8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NormalWeb"/>
        <w:spacing w:before="150"/>
      </w:pPr>
      <w:r>
        <w:rPr>
          <w:vertAlign w:val="superscript"/>
        </w:rPr>
        <w:t xml:space="preserve">3 </w:t>
      </w:r>
      <w:r>
        <w:t>macOS must be preinstalled by the authorized manufacturer prior to the initial sale of the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Use Qualifying OS for Per Device Licenses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48"/>
        <w:gridCol w:w="2192"/>
        <w:gridCol w:w="2252"/>
        <w:gridCol w:w="2178"/>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New Enterprise Agreement (EA)/Open Value Company Wide (OV-OW)</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10/11 IoT Enterprise for Retail or Thin Clients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8 and 8.1 Industry Retail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for Point of Service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XP Embedded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Heading5"/>
        <w:rPr>
          <w:rFonts w:eastAsia="Times New Roman"/>
        </w:rPr>
      </w:pPr>
      <w:r>
        <w:rPr>
          <w:rStyle w:val="Strong"/>
          <w:rFonts w:eastAsia="Times New Roman"/>
        </w:rPr>
        <w:t>Restricted Use Qualifying Operating Systems</w:t>
      </w:r>
    </w:p>
    <w:p>
      <w:pPr>
        <w:pStyle w:val="NormalWeb"/>
      </w:pPr>
      <w:r>
        <w:t>The right to use Windows software acquired through a volume licensing agreement on a device licensed with a Restricted Use Qualifying OS is limited to the specific use for which the device was designed. The device running the acquired Windows software may not be used as a general-purpose PC or as a commercially viable substitute for such a system. Acquired Windows software installed on devices licensed with a Point of Sale (POS) version of Windows Embedded must be primarily used for running a POS application.</w:t>
      </w:r>
    </w:p>
    <w:p>
      <w:pPr>
        <w:pStyle w:val="Heading5"/>
        <w:rPr>
          <w:rFonts w:eastAsia="Times New Roman"/>
        </w:rPr>
      </w:pPr>
      <w:r>
        <w:rPr>
          <w:rStyle w:val="Strong"/>
          <w:rFonts w:eastAsia="Times New Roman"/>
        </w:rPr>
        <w:t>Software Assurance Purchase Limitation for Restricted Use Qualifying Operating Systems</w:t>
      </w:r>
    </w:p>
    <w:p>
      <w:pPr>
        <w:pStyle w:val="NormalWeb"/>
      </w:pPr>
      <w:r>
        <w:t>Software Assurance may not be acquired for devices licensed with Restricted Use Qualifying Operating Systems. This limitation does not apply to devices licensed with Windows 10/11 IoT for Retail or Thin Clients.</w:t>
      </w:r>
    </w:p>
    <w:p>
      <w:pPr>
        <w:pStyle w:val="Heading3"/>
        <w:spacing w:before="150" w:beforeAutospacing="0"/>
        <w:rPr>
          <w:rFonts w:eastAsia="Times New Roman"/>
          <w:color w:val="0078D4"/>
          <w:sz w:val="26"/>
          <w:szCs w:val="26"/>
        </w:rPr>
      </w:pPr>
      <w:r>
        <w:rPr>
          <w:rFonts w:eastAsia="Times New Roman"/>
          <w:color w:val="0078D4"/>
          <w:sz w:val="26"/>
          <w:szCs w:val="26"/>
        </w:rPr>
        <w:t>Third Party Re-imaging</w:t>
      </w:r>
    </w:p>
    <w:p>
      <w:pPr>
        <w:pStyle w:val="NormalWeb"/>
        <w:spacing w:after="150"/>
      </w:pPr>
      <w:r>
        <w:t>Before a third party may re-image a Customer’s devices, Customer must provide the third party with written documentation showing it has the requisite licenses for the installation.</w:t>
      </w:r>
    </w:p>
    <w:p>
      <w:pPr>
        <w:pStyle w:val="Heading3"/>
        <w:spacing w:before="150" w:beforeAutospacing="0"/>
        <w:rPr>
          <w:rFonts w:eastAsia="Times New Roman"/>
          <w:color w:val="0078D4"/>
          <w:sz w:val="26"/>
          <w:szCs w:val="26"/>
        </w:rPr>
      </w:pPr>
      <w:r>
        <w:rPr>
          <w:rFonts w:eastAsia="Times New Roman"/>
          <w:color w:val="0078D4"/>
          <w:sz w:val="26"/>
          <w:szCs w:val="26"/>
        </w:rPr>
        <w:t>Regional Fulfillment Options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KN Editions</w:t>
      </w:r>
    </w:p>
    <w:p>
      <w:pPr>
        <w:pStyle w:val="NormalWeb"/>
        <w:spacing w:after="150"/>
      </w:pPr>
      <w:r>
        <w:t>Customers located in Korea with an active volume licensing agreement or enrollment may acquire media for Windows KN editions for deployment and use in Korea. No other use is permitted.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N Editions (Not with Windows Media Player)</w:t>
      </w:r>
    </w:p>
    <w:p>
      <w:pPr>
        <w:pStyle w:val="NormalWeb"/>
        <w:spacing w:after="150"/>
      </w:pPr>
      <w:r>
        <w:t>Customers located in countries established in the European Union (EU) or European Free Trade Association (EFTA) with an active volume licensing agreement or enrollment may acquire media for Microsoft Windows N editions for deployment and use in countries in the European Union (EU) or the European Free Trade Association (EFTA). (For purposes of Open License, an "active agreement" is one associated with an active Open License Authorization Number.)</w:t>
      </w:r>
    </w:p>
    <w:p>
      <w:pPr>
        <w:pStyle w:val="Heading3"/>
        <w:spacing w:before="150" w:beforeAutospacing="0"/>
        <w:rPr>
          <w:rFonts w:eastAsia="Times New Roman"/>
          <w:color w:val="0078D4"/>
          <w:sz w:val="26"/>
          <w:szCs w:val="26"/>
        </w:rPr>
      </w:pPr>
      <w:r>
        <w:rPr>
          <w:rFonts w:eastAsia="Times New Roman"/>
          <w:color w:val="0078D4"/>
          <w:sz w:val="26"/>
          <w:szCs w:val="26"/>
        </w:rPr>
        <w:t>Windows Embedded 8 Standard Enterprise Kit</w:t>
      </w:r>
    </w:p>
    <w:p>
      <w:pPr>
        <w:pStyle w:val="NormalWeb"/>
        <w:spacing w:after="150"/>
      </w:pPr>
      <w:r>
        <w:t>Use of the software features enabled by the Windows Embedded 8 Standard Enterprise Kit is subject to the license terms for the underlying Windows Embedded 8 Standard software. The right to use the software features expires when the right to use the underlying software expires. The Windows Embedded 8 Standard Enterprise Kit License must be permanently assigned to a single device and may not be transferred to any other device.</w:t>
      </w:r>
    </w:p>
    <w:p>
      <w:pPr>
        <w:pStyle w:val="Heading3"/>
        <w:spacing w:before="150" w:beforeAutospacing="0"/>
        <w:rPr>
          <w:rFonts w:eastAsia="Times New Roman"/>
          <w:color w:val="0078D4"/>
          <w:sz w:val="26"/>
          <w:szCs w:val="26"/>
        </w:rPr>
      </w:pPr>
      <w:r>
        <w:rPr>
          <w:rFonts w:eastAsia="Times New Roman"/>
          <w:color w:val="0078D4"/>
          <w:sz w:val="26"/>
          <w:szCs w:val="26"/>
        </w:rPr>
        <w:t>Automatic Updates</w:t>
      </w:r>
    </w:p>
    <w:p>
      <w:pPr>
        <w:pStyle w:val="NormalWeb"/>
        <w:spacing w:after="150"/>
      </w:pPr>
      <w:r>
        <w:t>Customer authorizes Microsoft to download and install updates automatically on devices running Windows 10/11 unless they have been configured to prevent automatic updates using supported methods. All updates are licensed under the same terms as the Product to which they apply.</w:t>
      </w:r>
    </w:p>
    <w:p>
      <w:pPr>
        <w:pStyle w:val="Heading3"/>
        <w:spacing w:before="150" w:beforeAutospacing="0"/>
        <w:rPr>
          <w:rFonts w:eastAsia="Times New Roman"/>
          <w:color w:val="0078D4"/>
          <w:sz w:val="26"/>
          <w:szCs w:val="26"/>
        </w:rPr>
      </w:pPr>
      <w:r>
        <w:rPr>
          <w:rFonts w:eastAsia="Times New Roman"/>
          <w:color w:val="0078D4"/>
          <w:sz w:val="26"/>
          <w:szCs w:val="26"/>
        </w:rPr>
        <w:t>Academic and Charity Programs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Assignment</w:t>
      </w:r>
    </w:p>
    <w:p>
      <w:pPr>
        <w:pStyle w:val="Heading5"/>
        <w:rPr>
          <w:rFonts w:eastAsia="Times New Roman"/>
        </w:rPr>
      </w:pPr>
      <w:r>
        <w:rPr>
          <w:rStyle w:val="Strong"/>
          <w:rFonts w:eastAsia="Times New Roman"/>
        </w:rPr>
        <w:t>Per User License Assignment</w:t>
      </w:r>
    </w:p>
    <w:p>
      <w:pPr>
        <w:pStyle w:val="NormalWeb"/>
      </w:pPr>
      <w:r>
        <w:t xml:space="preserve">The </w:t>
      </w:r>
      <w:hyperlink w:anchor="_Toc20" w:tooltip="Licensed User means the single person to whom a License is assigned." w:history="1">
        <w:r>
          <w:rPr>
            <w:rStyle w:val="Hyperlink"/>
            <w:color w:val="505050"/>
          </w:rPr>
          <w:t>Licensed User</w:t>
        </w:r>
      </w:hyperlink>
      <w:r>
        <w:t xml:space="preserve"> must be the </w:t>
      </w:r>
      <w:hyperlink w:anchor="_Toc20" w:tooltip="Primary User means the user who uses a Licensed Device more than 50% of the time in any 90 day period." w:history="1">
        <w:r>
          <w:rPr>
            <w:rStyle w:val="Hyperlink"/>
            <w:color w:val="505050"/>
          </w:rPr>
          <w:t>Primary User</w:t>
        </w:r>
      </w:hyperlink>
      <w:r>
        <w:t xml:space="preserve"> of at least one device that satisfies the Qualifying OS Per Device License requirements.</w:t>
      </w:r>
    </w:p>
    <w:p>
      <w:pPr>
        <w:pStyle w:val="Heading5"/>
        <w:rPr>
          <w:rFonts w:eastAsia="Times New Roman"/>
        </w:rPr>
      </w:pPr>
      <w:r>
        <w:rPr>
          <w:rStyle w:val="Strong"/>
          <w:rFonts w:eastAsia="Times New Roman"/>
        </w:rPr>
        <w:t>Per Device License Assignment</w:t>
      </w:r>
    </w:p>
    <w:p>
      <w:pPr>
        <w:pStyle w:val="NormalWeb"/>
      </w:pPr>
      <w:r>
        <w:t xml:space="preserve">The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must satisfy the Qualifying OS Per Device license requirements, and the Qualifying OS must be installed on the </w:t>
      </w:r>
      <w:hyperlink w:anchor="_Toc20" w:tooltip="Licensed Device means a single physical hardware system to which a License is assigned (see Glossary for full definition)." w:history="1">
        <w:r>
          <w:rPr>
            <w:rStyle w:val="Hyperlink"/>
            <w:color w:val="505050"/>
          </w:rPr>
          <w:t>Licensed Device</w:t>
        </w:r>
      </w:hyperlink>
      <w:r>
        <w:t>. Per Device license assignment is permanent unless Customer has Software Assurance for that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Academic Program Windows Edition Rights</w:t>
      </w:r>
    </w:p>
    <w:p>
      <w:pPr>
        <w:pStyle w:val="NormalWeb"/>
        <w:spacing w:after="150"/>
      </w:pPr>
      <w:r>
        <w:t>Windows Education licenses include rights to install or activate Windows Enterprise in lieu of Windows Education.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Lab and Library Use</w:t>
      </w:r>
    </w:p>
    <w:p>
      <w:pPr>
        <w:pStyle w:val="NormalWeb"/>
        <w:spacing w:after="150"/>
      </w:pPr>
      <w:r>
        <w:t xml:space="preserve">Institutions with Windows Education E3/E5, or Windows Education (per device) assigned to all faculty and staff, </w:t>
      </w:r>
      <w:hyperlink w:anchor="_Toc20"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0"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may install Windows Education, Windows Enterprise, or Windows Pro Academic on any open access lab or library within the Institution's Organization. Use of the software is otherwise subject to the License terms for Windows Education. This provision does not apply to User SLs acquired under the Microsoft Cloud Agreement and Microsoft Customer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Shared Devices</w:t>
      </w:r>
    </w:p>
    <w:p>
      <w:pPr>
        <w:pStyle w:val="NormalWeb"/>
        <w:spacing w:after="150"/>
      </w:pPr>
      <w:r>
        <w:t xml:space="preserve">Institutions with Windows Education E3/E5 assigned to all </w:t>
      </w:r>
      <w:hyperlink w:anchor="_Toc20"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or </w:t>
      </w:r>
      <w:hyperlink w:anchor="_Toc20"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are licensed to run Windows Education, Windows Enterprise, or Windows Pro Academic on any shared device with a qualifying operating system within the Institution's Organization. For the purposes of this subsection, shared device means a device not used by any one person more than 50% of the time during a single work day period, and not assigned to any </w:t>
      </w:r>
      <w:hyperlink w:anchor="_Toc20" w:tooltip="Primary User means the user who uses a Licensed Device more than 50% of the time in any 90 day period." w:history="1">
        <w:r>
          <w:rPr>
            <w:rStyle w:val="Hyperlink"/>
            <w:color w:val="505050"/>
          </w:rPr>
          <w:t>Primary User</w:t>
        </w:r>
      </w:hyperlink>
      <w:r>
        <w:t xml:space="preserve"> as their primary work device. Use of Windows on shared devices does not count as use of an Education Platform Product under the Enrollment for Education Solutions. Use of the software is otherwise subject to the License terms for Windows Education.</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6"/>
        <w:gridCol w:w="68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xml:space="preserve"> (see Additional License Terms for Online Services section below)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H.265/HEVC - refer to </w:t>
            </w:r>
            <w:hyperlink r:id="rId114"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License Terms for Online Services</w:t>
      </w:r>
    </w:p>
    <w:p>
      <w:pPr>
        <w:pStyle w:val="NormalWeb"/>
        <w:spacing w:after="150"/>
      </w:pPr>
      <w:r>
        <w:t xml:space="preserve">Certain Windows software licenses include some Online Services which are governed by the </w:t>
      </w:r>
      <w:hyperlink r:id="rId122" w:history="1">
        <w:r>
          <w:rPr>
            <w:rStyle w:val="Hyperlink"/>
            <w:color w:val="505050"/>
          </w:rPr>
          <w:t>Universal License Terms for Online Services</w:t>
        </w:r>
      </w:hyperlink>
      <w:r>
        <w:t>, including but not limited to, Microsoft Defender for Endpoint, Windows Autopilot, Windows Autopatch, Windows Update for Business Reports, and Windows Update for Business deployment service. </w:t>
      </w:r>
    </w:p>
    <w:p>
      <w:pPr>
        <w:pStyle w:val="Heading3"/>
        <w:spacing w:before="150" w:beforeAutospacing="0"/>
        <w:rPr>
          <w:rFonts w:eastAsia="Times New Roman"/>
          <w:color w:val="0078D4"/>
          <w:sz w:val="26"/>
          <w:szCs w:val="26"/>
        </w:rPr>
      </w:pPr>
      <w:r>
        <w:rPr>
          <w:rFonts w:eastAsia="Times New Roman"/>
          <w:color w:val="0078D4"/>
          <w:sz w:val="26"/>
          <w:szCs w:val="26"/>
        </w:rPr>
        <w:t>Windows Local Use</w:t>
      </w:r>
    </w:p>
    <w:p>
      <w:pPr>
        <w:pStyle w:val="NormalWeb"/>
        <w:spacing w:after="150"/>
      </w:pPr>
      <w:r>
        <w:t>Customer may run Windows software acquired through a volume licensing agreement as one Physical OSE locally on Licensed Devices. This local use right applies to VDA per device licenses only if the Licensed Device is also licensed with a Qualifying Operating System. Licensed Users may run Windows software acquired through a volume licensing agreement as one Physical OSE locally on devices licensed with a Qualifying Operating System.</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Based Activation for Windows</w:t>
      </w:r>
    </w:p>
    <w:p>
      <w:pPr>
        <w:pStyle w:val="NormalWeb"/>
        <w:spacing w:after="150"/>
      </w:pPr>
      <w:hyperlink w:anchor="_Toc20" w:tooltip="Licensed User means the single person to whom a License is assigned." w:history="1">
        <w:r>
          <w:rPr>
            <w:rStyle w:val="Hyperlink"/>
            <w:color w:val="505050"/>
          </w:rPr>
          <w:t>Licensed Users</w:t>
        </w:r>
      </w:hyperlink>
      <w:r>
        <w:t xml:space="preserve"> using Microsoft Entra ID-based activation may activate the software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 up to five concurrent devices running either Windows 10 Pro Anniversary Update or Windows 10 Enterprise Creator's Update or a later version.</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Endpoint</w:t>
      </w:r>
    </w:p>
    <w:p>
      <w:pPr>
        <w:pStyle w:val="NormalWeb"/>
        <w:spacing w:after="150"/>
      </w:pPr>
      <w:r>
        <w:t>Eligible Licensed Users may use Microsoft Defender for Endpoint on up to five concurrent devices.</w:t>
      </w:r>
    </w:p>
    <w:p>
      <w:pPr>
        <w:pStyle w:val="Heading3"/>
        <w:spacing w:before="150" w:beforeAutospacing="0"/>
        <w:rPr>
          <w:rFonts w:eastAsia="Times New Roman"/>
          <w:color w:val="0078D4"/>
          <w:sz w:val="26"/>
          <w:szCs w:val="26"/>
        </w:rPr>
      </w:pPr>
      <w:r>
        <w:rPr>
          <w:rFonts w:eastAsia="Times New Roman"/>
          <w:color w:val="0078D4"/>
          <w:sz w:val="26"/>
          <w:szCs w:val="26"/>
        </w:rPr>
        <w:t>Windows Apps</w:t>
      </w:r>
    </w:p>
    <w:p>
      <w:pPr>
        <w:pStyle w:val="NormalWeb"/>
        <w:spacing w:after="150"/>
      </w:pPr>
      <w:r>
        <w:t xml:space="preserve">Unless other terms are displayed to Customer or presented in the app's settings, Customer agrees the services that it accesses from the Windows app is governed by the Microsoft Services Agreement at </w:t>
      </w:r>
      <w:hyperlink r:id="rId123" w:tgtFrame="_blank" w:history="1">
        <w:r>
          <w:rPr>
            <w:rStyle w:val="Hyperlink"/>
            <w:color w:val="505050"/>
          </w:rPr>
          <w:t>http://go.microsoft.com/fwlink/?linkid=246338</w:t>
        </w:r>
      </w:hyperlink>
      <w:r>
        <w:t xml:space="preserve"> or for Windows apps that access Xbox services, the Xbox.com terms of use at </w:t>
      </w:r>
      <w:hyperlink r:id="rId124" w:tgtFrame="_blank" w:history="1">
        <w:r>
          <w:rPr>
            <w:rStyle w:val="Hyperlink"/>
            <w:color w:val="505050"/>
          </w:rPr>
          <w:t>http://xbox.com/legal/livetou</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11 Upgrade Benefit</w:t>
      </w:r>
    </w:p>
    <w:p>
      <w:pPr>
        <w:pStyle w:val="NormalWeb"/>
        <w:spacing w:after="150"/>
      </w:pPr>
      <w:r>
        <w:t>The following User SLs include a Windows 11 upgrade benefit (version upgrade only, edition remains the same) for device(s) licensed with Windows 8, 8.1, 10: </w:t>
      </w:r>
    </w:p>
    <w:p>
      <w:pPr>
        <w:numPr>
          <w:ilvl w:val="0"/>
          <w:numId w:val="6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Enterprise/Education (all)</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(all that include Windows 11 Enterprise)</w:t>
      </w:r>
    </w:p>
    <w:p>
      <w:pPr>
        <w:pStyle w:val="Heading3"/>
        <w:spacing w:before="150" w:beforeAutospacing="0"/>
        <w:rPr>
          <w:rFonts w:eastAsia="Times New Roman"/>
          <w:color w:val="0078D4"/>
          <w:sz w:val="26"/>
          <w:szCs w:val="26"/>
        </w:rPr>
      </w:pPr>
      <w:r>
        <w:rPr>
          <w:rFonts w:eastAsia="Times New Roman"/>
          <w:color w:val="0078D4"/>
          <w:sz w:val="26"/>
          <w:szCs w:val="26"/>
        </w:rPr>
        <w:t>Windows 11 Virtualization on Azure</w:t>
      </w:r>
    </w:p>
    <w:p>
      <w:pPr>
        <w:pStyle w:val="NormalWeb"/>
        <w:spacing w:after="150"/>
      </w:pPr>
      <w:r>
        <w:t xml:space="preserve">Customers with Windows 11 Enterprise Per User SLs, Windows 11 Education Per User SLs, or VDA Per User SLs using Microsoft Entra ID-based activation on supported editions may install the Windows 10 Creators Update or later version software on a virtual machine running in Customer's Microsoft Azure accounts. Each </w:t>
      </w:r>
      <w:hyperlink w:anchor="_Toc20" w:tooltip="Licensed User means the single person to whom a License is assigned." w:history="1">
        <w:r>
          <w:rPr>
            <w:rStyle w:val="Hyperlink"/>
            <w:color w:val="505050"/>
          </w:rPr>
          <w:t>Licensed User</w:t>
        </w:r>
      </w:hyperlink>
      <w:r>
        <w:t xml:space="preserve"> may access up to four instances of the software. Azure Government customers may use KMS activation in lieu of Microsoft Entra ID-based activation. When configuring the image(s) on Microsoft Azure, Customers must indicate their use of the multitenant hosting for Windows and adhere to other software configuration requirements available at </w:t>
      </w:r>
      <w:hyperlink r:id="rId125" w:tgtFrame="_blank" w:history="1">
        <w:r>
          <w:rPr>
            <w:rStyle w:val="Hyperlink"/>
            <w:color w:val="505050"/>
          </w:rPr>
          <w:t>https://docs.microsoft.com/windows/deployment/vda-subscription-activation</w:t>
        </w:r>
      </w:hyperlink>
      <w:r>
        <w:t xml:space="preserve">. This section does not apply to Students receiving access to software through </w:t>
      </w: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w:t>
      </w:r>
    </w:p>
    <w:p>
      <w:pPr>
        <w:pStyle w:val="Heading4"/>
        <w:rPr>
          <w:rFonts w:ascii="Segoe UI" w:eastAsia="Times New Roman" w:hAnsi="Segoe UI" w:cs="Segoe UI"/>
          <w:i/>
          <w:iCs/>
          <w:color w:val="0067C3"/>
          <w:sz w:val="20"/>
          <w:szCs w:val="20"/>
        </w:rPr>
      </w:pPr>
      <w:r>
        <w:rPr>
          <w:rStyle w:val="Strong"/>
          <w:rFonts w:ascii="Segoe UI" w:eastAsia="Times New Roman" w:hAnsi="Segoe UI" w:cs="Segoe UI"/>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Per User Access Operating System  </w:t>
      </w:r>
    </w:p>
    <w:p>
      <w:pPr>
        <w:pStyle w:val="NormalWeb"/>
        <w:spacing w:after="150"/>
      </w:pPr>
      <w:r>
        <w:t>Universal Terms. The following Universal License Terms for all Software do not apply to the Azure Virtual Desktop per user access operating system software: Rights to Use Other Versions and Lower Editions; Software Assurance; Outsourcing Software Management.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Operating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6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one copy of the software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within a local virtual hardware system on 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for each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the software on up to two processors.</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Local use is permitted for any user.</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is permitted for the </w:t>
      </w:r>
      <w:hyperlink w:anchor="_Toc20"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for any other user from another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a Windows VDA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one user may access and use the software at a time.</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connect up to 20 devices to the Licensed Device for file sharing, printing, Internet Information Services, Internet Connection Sharing or telephony services.</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 unlimited number of connections are allowed for KMS activation or similar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6"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82"/>
        <w:gridCol w:w="674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(Windows Companion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February 2016 – Product Terms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Additional Use Rights</w:t>
      </w:r>
    </w:p>
    <w:p>
      <w:pPr>
        <w:pStyle w:val="NormalWeb"/>
        <w:spacing w:after="150"/>
      </w:pPr>
      <w:r>
        <w:t>This section (Software Assurance) applies to the following licenses.</w:t>
      </w:r>
    </w:p>
    <w:p>
      <w:pPr>
        <w:numPr>
          <w:ilvl w:val="0"/>
          <w:numId w:val="6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E3/E5</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per device</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Education E3/E5</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per device</w:t>
      </w:r>
    </w:p>
    <w:p>
      <w:pPr>
        <w:pStyle w:val="NormalWeb"/>
        <w:spacing w:before="150"/>
      </w:pPr>
      <w:r>
        <w:t xml:space="preserve">This provision does not apply to SLs acquired under the Microsoft Cloud Agreement and Microsoft Customer Agreement or by way of the </w:t>
      </w: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Virtualization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Local Virtualization</w:t>
      </w:r>
    </w:p>
    <w:p>
      <w:pPr>
        <w:pStyle w:val="NormalWeb"/>
        <w:spacing w:after="150"/>
      </w:pPr>
      <w:r>
        <w:t xml:space="preserve">Customer may run Windows software acquired through a volume licensing agreement on up to four </w:t>
      </w:r>
      <w:hyperlink w:anchor="_Toc20" w:tooltip="Virtual OSE means an OSE that is configured to run on a virtual hardware system" w:history="1">
        <w:r>
          <w:rPr>
            <w:rStyle w:val="Hyperlink"/>
            <w:color w:val="505050"/>
          </w:rPr>
          <w:t>Virtual OSEs</w:t>
        </w:r>
      </w:hyperlink>
      <w:r>
        <w:t xml:space="preserve"> locally on </w:t>
      </w:r>
      <w:hyperlink w:anchor="_Toc20" w:tooltip="Licensed Device means a single physical hardware system to which a License is assigned (see Glossary for full definition)" w:history="1">
        <w:r>
          <w:rPr>
            <w:rStyle w:val="Hyperlink"/>
            <w:color w:val="505050"/>
          </w:rPr>
          <w:t>Licensed Devices</w:t>
        </w:r>
      </w:hyperlink>
      <w:r>
        <w:t xml:space="preserve">. This local use right applies to VDA Per Device licenses only if the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is also licensed with a Qualifying Operating System. </w:t>
      </w:r>
      <w:hyperlink w:anchor="_Toc20" w:tooltip="Licensed User means the single person to whom a License is assigned." w:history="1">
        <w:r>
          <w:rPr>
            <w:rStyle w:val="Hyperlink"/>
            <w:color w:val="505050"/>
          </w:rPr>
          <w:t>Licensed Users</w:t>
        </w:r>
      </w:hyperlink>
      <w:r>
        <w:t xml:space="preserve"> may run Windows software acquired through a volume licensing agreement on up to four </w:t>
      </w:r>
      <w:hyperlink w:anchor="_Toc20" w:tooltip="Virtual OSE means an OSE that is configured to run on a virtual hardware system" w:history="1">
        <w:r>
          <w:rPr>
            <w:rStyle w:val="Hyperlink"/>
            <w:color w:val="505050"/>
          </w:rPr>
          <w:t>Virtual OSEs</w:t>
        </w:r>
      </w:hyperlink>
      <w:r>
        <w:t xml:space="preserve"> locally on devices licensed with a Qualifying Operating System. If all permitted </w:t>
      </w:r>
      <w:hyperlink w:anchor="_Toc20" w:tooltip="Virtual OSE means an OSE that is configured to run on a virtual hardware system" w:history="1">
        <w:r>
          <w:rPr>
            <w:rStyle w:val="Hyperlink"/>
            <w:color w:val="505050"/>
          </w:rPr>
          <w:t>Virtual OSEs</w:t>
        </w:r>
      </w:hyperlink>
      <w:r>
        <w:t xml:space="preserve"> are used Customer may use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only to host and manage the </w:t>
      </w:r>
      <w:hyperlink w:anchor="_Toc20" w:tooltip="Virtual OSE means an OSE that is configured to run on a virtual hardware system" w:history="1">
        <w:r>
          <w:rPr>
            <w:rStyle w:val="Hyperlink"/>
            <w:color w:val="505050"/>
          </w:rPr>
          <w:t>Virtual OSEs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Remote Virtualization</w:t>
      </w:r>
    </w:p>
    <w:p>
      <w:pPr>
        <w:pStyle w:val="NormalWeb"/>
        <w:spacing w:after="150"/>
      </w:pPr>
      <w:r>
        <w:t xml:space="preserve">Any user of a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or any device used by a </w:t>
      </w:r>
      <w:hyperlink w:anchor="_Toc20" w:tooltip="Licensed User means the single person to whom a License is assigned." w:history="1">
        <w:r>
          <w:rPr>
            <w:rStyle w:val="Hyperlink"/>
            <w:color w:val="505050"/>
          </w:rPr>
          <w:t>Licensed User</w:t>
        </w:r>
      </w:hyperlink>
      <w:r>
        <w:t xml:space="preserve">, may remotely access up to four </w:t>
      </w:r>
      <w:hyperlink w:anchor="_Toc20" w:tooltip="Virtual OSE means an OSE that is configured to run on a virtual hardware system" w:history="1">
        <w:r>
          <w:rPr>
            <w:rStyle w:val="Hyperlink"/>
            <w:color w:val="505050"/>
          </w:rPr>
          <w:t>Virtual OSEs</w:t>
        </w:r>
      </w:hyperlink>
      <w:r>
        <w:t xml:space="preserve"> or one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of Windows software acquired through a volume licensing agreement. Customer's use of </w:t>
      </w: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27" w:history="1">
        <w:r>
          <w:rPr>
            <w:rStyle w:val="Hyperlink"/>
            <w:color w:val="505050"/>
          </w:rPr>
          <w:t>Outsourcing Software Management</w:t>
        </w:r>
      </w:hyperlink>
      <w:r>
        <w:t xml:space="preserve"> clause. Notwithstanding anything to the contrary in the </w:t>
      </w:r>
      <w:hyperlink r:id="rId127" w:history="1">
        <w:r>
          <w:rPr>
            <w:rStyle w:val="Hyperlink"/>
            <w:color w:val="505050"/>
          </w:rPr>
          <w:t>Outsourcing Software Management</w:t>
        </w:r>
      </w:hyperlink>
      <w:r>
        <w:t xml:space="preserve"> clause, Customer's VDA E3 and E5 </w:t>
      </w:r>
      <w:hyperlink w:anchor="_Toc20" w:tooltip="Licensed User means the single person to whom a License is assigned." w:history="1">
        <w:r>
          <w:rPr>
            <w:rStyle w:val="Hyperlink"/>
            <w:color w:val="505050"/>
          </w:rPr>
          <w:t>Licensed Users</w:t>
        </w:r>
      </w:hyperlink>
      <w:r>
        <w:t xml:space="preserve"> may remotely access Windows software under these Remote Virtualization rights on any </w:t>
      </w:r>
      <w:hyperlink w:anchor="_Toc20" w:tooltip="Listed Providers include entities identified by Microsoft at http://aka.ms/listedproviders. Microsoft may identify additional Listed Providers at http://aka.ms/listedproviders from time to time." w:history="1">
        <w:r>
          <w:rPr>
            <w:rStyle w:val="Hyperlink"/>
            <w:color w:val="505050"/>
          </w:rPr>
          <w:t>Listed Provider</w:t>
        </w:r>
      </w:hyperlink>
      <w:r>
        <w:t>'s devices dedicated to Customer's use.</w:t>
      </w:r>
    </w:p>
    <w:p>
      <w:pPr>
        <w:pStyle w:val="Heading3"/>
        <w:spacing w:before="150" w:beforeAutospacing="0"/>
        <w:rPr>
          <w:rFonts w:eastAsia="Times New Roman"/>
          <w:color w:val="0078D4"/>
          <w:sz w:val="26"/>
          <w:szCs w:val="26"/>
        </w:rPr>
      </w:pPr>
      <w:r>
        <w:rPr>
          <w:rFonts w:eastAsia="Times New Roman"/>
          <w:color w:val="0078D4"/>
          <w:sz w:val="26"/>
          <w:szCs w:val="26"/>
        </w:rPr>
        <w:t>10.1" Screen Device Benefit</w:t>
      </w:r>
    </w:p>
    <w:p>
      <w:pPr>
        <w:pStyle w:val="NormalWeb"/>
        <w:spacing w:after="150"/>
      </w:pPr>
      <w:r>
        <w:t>Customer with Per User license may install Windows software acquired through a volume licensing agreement on all Windows licensed devices with integrated screens 10.1" diagonally or less.</w:t>
      </w:r>
    </w:p>
    <w:p>
      <w:pPr>
        <w:pStyle w:val="Heading3"/>
        <w:spacing w:before="150" w:beforeAutospacing="0"/>
        <w:rPr>
          <w:rFonts w:eastAsia="Times New Roman"/>
          <w:color w:val="0078D4"/>
          <w:sz w:val="26"/>
          <w:szCs w:val="26"/>
        </w:rPr>
      </w:pPr>
      <w:r>
        <w:rPr>
          <w:rFonts w:eastAsia="Times New Roman"/>
          <w:color w:val="0078D4"/>
          <w:sz w:val="26"/>
          <w:szCs w:val="26"/>
        </w:rPr>
        <w:t>Windows Pro SA</w:t>
      </w:r>
    </w:p>
    <w:p>
      <w:pPr>
        <w:pStyle w:val="NormalWeb"/>
        <w:spacing w:after="150"/>
      </w:pPr>
      <w:r>
        <w:t>Customers who previously acquired SA for Windows Pro may renew SA on their covered devices without the need to buy a Windows Enterprise license.</w:t>
      </w:r>
    </w:p>
    <w:p>
      <w:pPr>
        <w:pStyle w:val="Heading3"/>
        <w:spacing w:before="150" w:beforeAutospacing="0"/>
        <w:rPr>
          <w:rFonts w:eastAsia="Times New Roman"/>
          <w:color w:val="0078D4"/>
          <w:sz w:val="26"/>
          <w:szCs w:val="26"/>
        </w:rPr>
      </w:pPr>
      <w:r>
        <w:rPr>
          <w:rFonts w:eastAsia="Times New Roman"/>
          <w:color w:val="0078D4"/>
          <w:sz w:val="26"/>
          <w:szCs w:val="26"/>
        </w:rPr>
        <w:t>Microsoft Desktop Optimization Pack (MDOP)</w:t>
      </w:r>
    </w:p>
    <w:p>
      <w:pPr>
        <w:pStyle w:val="NormalWeb"/>
        <w:spacing w:after="150"/>
      </w:pPr>
      <w:r>
        <w:t xml:space="preserve">Customer may install and use management functionality in the MDOP on Customer’s other devices dedicated to their use to manage software on the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or </w:t>
      </w:r>
      <w:hyperlink w:anchor="_Toc20" w:tooltip="Licensed User means the single person to whom a License is assigned." w:history="1">
        <w:r>
          <w:rPr>
            <w:rStyle w:val="Hyperlink"/>
            <w:color w:val="505050"/>
          </w:rPr>
          <w:t>Licensed User</w:t>
        </w:r>
      </w:hyperlink>
      <w:r>
        <w:t>’s Devices. Customer may also use the AGPM, DaRT and UE-V to manage software on servers within its domain, so long as the desktops within that domain are licensed for MDOP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MDOP Eligibility</w:t>
      </w:r>
    </w:p>
    <w:p>
      <w:pPr>
        <w:pStyle w:val="NormalWeb"/>
        <w:spacing w:after="150"/>
      </w:pPr>
      <w:r>
        <w:t>Customers with the following licenses have rights to use MDOP and do not need to purchase MDOP separately.</w:t>
      </w:r>
    </w:p>
    <w:p>
      <w:pPr>
        <w:numPr>
          <w:ilvl w:val="0"/>
          <w:numId w:val="6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Enterprise E3/E5</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Education E3/E5</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Agreement with an August 1, 2015, or later effective date and VDA per device or Windows Enterprise per device.</w:t>
      </w:r>
    </w:p>
    <w:p>
      <w:pPr>
        <w:pStyle w:val="Heading3"/>
        <w:spacing w:before="150" w:beforeAutospacing="0"/>
        <w:rPr>
          <w:rFonts w:eastAsia="Times New Roman"/>
          <w:color w:val="0078D4"/>
          <w:sz w:val="26"/>
          <w:szCs w:val="26"/>
        </w:rPr>
      </w:pPr>
      <w:r>
        <w:rPr>
          <w:rFonts w:eastAsia="Times New Roman"/>
          <w:color w:val="0078D4"/>
          <w:sz w:val="26"/>
          <w:szCs w:val="26"/>
        </w:rPr>
        <w:t>Rights to run Clustered HPC Applications</w:t>
      </w:r>
    </w:p>
    <w:p>
      <w:pPr>
        <w:pStyle w:val="NormalWeb"/>
        <w:spacing w:after="150"/>
      </w:pPr>
      <w:r>
        <w:t xml:space="preserve">A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or a device used by a </w:t>
      </w:r>
      <w:hyperlink w:anchor="_Toc20" w:tooltip="Licensed User means the single person to whom a License is assigned." w:history="1">
        <w:r>
          <w:rPr>
            <w:rStyle w:val="Hyperlink"/>
            <w:color w:val="505050"/>
          </w:rPr>
          <w:t>Licensed User</w:t>
        </w:r>
      </w:hyperlink>
      <w:r>
        <w:t xml:space="preserve"> may be used as a </w:t>
      </w:r>
      <w:hyperlink w:anchor="_Toc20" w:tooltip="Cycle Harvesting Node means a device that is not dedicated to running Clustered HPC Applications or job scheduling services for Clustered HPC Applications." w:history="1">
        <w:r>
          <w:rPr>
            <w:rStyle w:val="Hyperlink"/>
            <w:color w:val="505050"/>
          </w:rPr>
          <w:t>Cycle Harvesting Node</w:t>
        </w:r>
      </w:hyperlink>
      <w:r>
        <w:t xml:space="preserve"> to run </w:t>
      </w:r>
      <w:hyperlink w:anchor="_Toc20" w:tooltip="Clustered HPC Application means a high performance computing applications that solves, in parallel, complex computational problems. (Refer to  Glossary for full definition)" w:history="1">
        <w:r>
          <w:rPr>
            <w:rStyle w:val="Hyperlink"/>
            <w:color w:val="505050"/>
          </w:rPr>
          <w:t>Clustered HPC Applications</w:t>
        </w:r>
      </w:hyperlink>
      <w:r>
        <w:t>, as long as the device is not used as a general purpose Server, database Server, web Server, e-mail Server, print Server or file Server, for other multi-user access purposes, or for any other similar resource sharing purpose.</w:t>
      </w:r>
    </w:p>
    <w:p>
      <w:pPr>
        <w:pStyle w:val="Heading3"/>
        <w:spacing w:before="150" w:beforeAutospacing="0"/>
        <w:rPr>
          <w:rFonts w:eastAsia="Times New Roman"/>
          <w:color w:val="0078D4"/>
          <w:sz w:val="26"/>
          <w:szCs w:val="26"/>
        </w:rPr>
      </w:pPr>
      <w:r>
        <w:rPr>
          <w:rFonts w:eastAsia="Times New Roman"/>
          <w:color w:val="0078D4"/>
          <w:sz w:val="26"/>
          <w:szCs w:val="26"/>
        </w:rPr>
        <w:t>Software Assurance Lapse on Perpetual Licenses</w:t>
      </w:r>
    </w:p>
    <w:p>
      <w:pPr>
        <w:pStyle w:val="NormalWeb"/>
        <w:spacing w:after="150"/>
      </w:pPr>
      <w:r>
        <w:t xml:space="preserve">Windows Enterprise General Availability Channel must be uninstalled on any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if Software Assurance coverage lapses. If the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was assigned a perpetual Windows Enterprise license, Customer may install on the </w:t>
      </w:r>
      <w:hyperlink w:anchor="_Toc20" w:tooltip="Licensed Device means a single physical hardware system to which a License is assigned (see Glossary for full definition)." w:history="1">
        <w:r>
          <w:rPr>
            <w:rStyle w:val="Hyperlink"/>
            <w:color w:val="505050"/>
          </w:rPr>
          <w:t>Licensed Device</w:t>
        </w:r>
      </w:hyperlink>
      <w:r>
        <w:t xml:space="preserve"> the version of Windows Enterprise Long Term Servicing Channel that is current at the time of the lapse.</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Windows Desktop Operating System</w:t>
      </w:r>
    </w:p>
    <w:p>
      <w:pPr>
        <w:pStyle w:val="NormalWeb"/>
        <w:spacing w:after="150"/>
      </w:pPr>
      <w:r>
        <w:t>The Licensed User must be the Primary User of a device with either active Windows Desktop Operating System SA coverage or Windows VDA coverage.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18"/>
        <w:gridCol w:w="411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E3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E5 Add-on</w:t>
            </w:r>
          </w:p>
        </w:tc>
      </w:tr>
    </w:tbl>
    <w:p/>
    <w:p w:rsidR="00ED5159" w:rsidP="00ED5159">
      <w:pPr>
        <w:pStyle w:val="ProductList-OfferingGroupHeading"/>
        <w:outlineLvl w:val="1"/>
      </w:pPr>
      <w:r>
        <w:t>Windows Server</w:t>
      </w:r>
      <w:r>
        <w:fldChar w:fldCharType="begin"/>
      </w:r>
      <w:r>
        <w:instrText xml:space="preserve"> TC </w:instrText>
      </w:r>
      <w:bookmarkStart w:id="45" w:name="_Toc256000035"/>
      <w:r>
        <w:instrText>"</w:instrText>
      </w:r>
      <w:bookmarkStart w:id="46" w:name="_Toc12"/>
      <w:r>
        <w:instrText>Windows Server</w:instrText>
      </w:r>
      <w:bookmarkEnd w:id="46"/>
      <w:r>
        <w:instrText>"</w:instrText>
      </w:r>
      <w:bookmarkEnd w:id="45"/>
      <w:r>
        <w:instrText xml:space="preserve"> \l 2</w:instrText>
      </w:r>
      <w:r>
        <w:fldChar w:fldCharType="end"/>
      </w:r>
    </w:p>
    <w:p w:rsidR="00ED5159" w:rsidP="00ED5159">
      <w:pPr>
        <w:pStyle w:val="ProductList-Offering2Heading"/>
        <w:outlineLvl w:val="2"/>
      </w:pPr>
      <w:r>
        <w:t>Windows Multipoint Server</w:t>
      </w:r>
      <w:r>
        <w:fldChar w:fldCharType="begin"/>
      </w:r>
      <w:r>
        <w:instrText xml:space="preserve"> TC </w:instrText>
      </w:r>
      <w:bookmarkStart w:id="47" w:name="_Toc256000036"/>
      <w:r>
        <w:instrText>"</w:instrText>
      </w:r>
      <w:r>
        <w:instrText>Windows Multipoint Server</w:instrText>
      </w:r>
      <w:r>
        <w:instrText>"</w:instrText>
      </w:r>
      <w:bookmarkEnd w:id="4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MultiPoint Server 2016 Premium</w:t>
            </w:r>
          </w:p>
        </w:tc>
        <w:tc>
          <w:tcPr/>
          <w:p w:rsidR="00A363CA" w:rsidP="00A363CA">
            <w:pPr>
              <w:pStyle w:val="ProductList-TableBody"/>
            </w:pPr>
            <w:r>
              <w:t>10/16</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399"/>
        <w:gridCol w:w="193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MultiPoint Server 2016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10</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21"/>
        <w:gridCol w:w="6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2012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3"/>
        <w:gridCol w:w="62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 refer to </w:t>
            </w:r>
            <w:hyperlink r:id="rId114"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Running Instances of the Software</w:t>
      </w:r>
    </w:p>
    <w:p>
      <w:pPr>
        <w:pStyle w:val="NormalWeb"/>
        <w:spacing w:after="150"/>
      </w:pPr>
      <w:r>
        <w:t xml:space="preserve">Customer may run on the </w:t>
      </w:r>
      <w:hyperlink w:anchor="_Toc20" w:tooltip="Licensed Server means a single Server to which a License is assigned. See Glossary for full definition." w:history="1">
        <w:r>
          <w:rPr>
            <w:rStyle w:val="Hyperlink"/>
            <w:color w:val="505050"/>
          </w:rPr>
          <w:t>Licensed Server</w:t>
        </w:r>
      </w:hyperlink>
      <w:r>
        <w:t xml:space="preserve"> at any one time one </w:t>
      </w:r>
      <w:hyperlink w:anchor="_Toc20" w:tooltip="Instance means an image of software that is created by executing the software's setup or install procedure or by duplicating an existing Instance." w:history="1">
        <w:r>
          <w:rPr>
            <w:rStyle w:val="Hyperlink"/>
            <w:color w:val="505050"/>
          </w:rPr>
          <w:t>Instance</w:t>
        </w:r>
      </w:hyperlink>
      <w:r>
        <w:t xml:space="preserve"> of the server software in each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and one </w:t>
      </w:r>
      <w:hyperlink w:anchor="_Toc20" w:tooltip="Virtual OSE means an OSE that is configured to run on a virtual hardware system." w:history="1">
        <w:r>
          <w:rPr>
            <w:rStyle w:val="Hyperlink"/>
            <w:color w:val="505050"/>
          </w:rPr>
          <w:t>Virtual OSE</w:t>
        </w:r>
      </w:hyperlink>
      <w:r>
        <w:t xml:space="preserve">. If Customer uses the server software in a </w:t>
      </w:r>
      <w:hyperlink w:anchor="_Toc20" w:tooltip="Virtual OSE means an OSE that is configured to run on a virtual hardware system." w:history="1">
        <w:r>
          <w:rPr>
            <w:rStyle w:val="Hyperlink"/>
            <w:color w:val="505050"/>
          </w:rPr>
          <w:t>Virtual OSE</w:t>
        </w:r>
      </w:hyperlink>
      <w:r>
        <w:t xml:space="preserve">, then server software used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may be used only to host and manage the </w:t>
      </w:r>
      <w:hyperlink w:anchor="_Toc20"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Access Licenses</w:t>
      </w:r>
    </w:p>
    <w:p>
      <w:pPr>
        <w:pStyle w:val="NormalWeb"/>
        <w:spacing w:after="150"/>
      </w:pPr>
      <w:hyperlink w:anchor="_Toc20" w:tooltip="CAL means client access license, which may be assigned by user or device, as appropriate. (Refer to Glossary for full definition)" w:history="1">
        <w:r>
          <w:rPr>
            <w:rStyle w:val="Hyperlink"/>
            <w:color w:val="505050"/>
          </w:rPr>
          <w:t>CALs</w:t>
        </w:r>
      </w:hyperlink>
      <w:r>
        <w:t xml:space="preserve"> are not required for access in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that is used solely for hosting and managing </w:t>
      </w:r>
      <w:hyperlink w:anchor="_Toc20" w:tooltip="Virtual OSE means an OSE that is configured to run on a virtual hardware system" w:history="1">
        <w:r>
          <w:rPr>
            <w:rStyle w:val="Hyperlink"/>
            <w:color w:val="505050"/>
          </w:rPr>
          <w:t>Virtual 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MultiPoint Server 2016 Connector</w:t>
      </w:r>
    </w:p>
    <w:p>
      <w:pPr>
        <w:pStyle w:val="NormalWeb"/>
        <w:spacing w:after="150"/>
      </w:pPr>
      <w:r>
        <w:t>Customer may install and use the Windows Server 2016 MultiPoint Connector software on any device that is licensed to access Windows Server 2016 (or later). It may use this software only to access the MultiPoint Server software. If it accesses the server software from this device solely to use the MultiPoint Dashboard it does not need a Remote Desktop Services CAL.</w:t>
      </w:r>
    </w:p>
    <w:p>
      <w:pPr>
        <w:pStyle w:val="Heading3"/>
        <w:spacing w:before="150" w:beforeAutospacing="0"/>
        <w:rPr>
          <w:rFonts w:eastAsia="Times New Roman"/>
          <w:color w:val="0078D4"/>
          <w:sz w:val="26"/>
          <w:szCs w:val="26"/>
        </w:rPr>
      </w:pPr>
      <w:r>
        <w:rPr>
          <w:rFonts w:eastAsia="Times New Roman"/>
          <w:color w:val="0078D4"/>
          <w:sz w:val="26"/>
          <w:szCs w:val="26"/>
        </w:rPr>
        <w:t>Installation Type</w:t>
      </w:r>
    </w:p>
    <w:p>
      <w:pPr>
        <w:pStyle w:val="NormalWeb"/>
        <w:spacing w:after="150"/>
      </w:pPr>
      <w:r>
        <w:t>Customer may only install Remote Desktop Services and deploy and use the MultiPoint Services role.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For a list of Additional Software refer to </w:t>
            </w:r>
            <w:hyperlink r:id="rId128" w:history="1">
              <w:r>
                <w:rPr>
                  <w:rStyle w:val="Hyperlink"/>
                  <w:rFonts w:ascii="Segoe UI" w:eastAsia="Times New Roman" w:hAnsi="Segoe UI" w:cs="Segoe UI"/>
                  <w:sz w:val="16"/>
                  <w:szCs w:val="16"/>
                </w:rPr>
                <w:t>http://go.microsoft.com/fwlink/?LinkId=245856</w:t>
              </w:r>
            </w:hyperlink>
            <w:r>
              <w:rPr>
                <w:rFonts w:ascii="Segoe UI" w:eastAsia="Times New Roman" w:hAnsi="Segoe UI" w:cs="Segoe UI"/>
                <w:sz w:val="16"/>
                <w:szCs w:val="16"/>
              </w:rPr>
              <w: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6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67"/>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 and Windows Server 2025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Remote Desktop Services CAL and CAL Equivalent License (refer to </w:t>
            </w:r>
            <w:hyperlink r:id="rId109"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Active Directory Rights Management Services CAL </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9"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966"/>
        <w:gridCol w:w="53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9" w:tgtFrame="_blank" w:history="1">
              <w:r>
                <w:rPr>
                  <w:rStyle w:val="Hyperlink"/>
                  <w:rFonts w:ascii="Segoe UI" w:eastAsia="Times New Roman" w:hAnsi="Segoe UI" w:cs="Segoe UI"/>
                  <w:sz w:val="16"/>
                  <w:szCs w:val="16"/>
                </w:rPr>
                <w:t>Product Term - October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2Heading"/>
        <w:outlineLvl w:val="2"/>
      </w:pPr>
      <w:r>
        <w:t>Windows Server Standard, Datacenter, and Essentials</w:t>
      </w:r>
      <w:r>
        <w:fldChar w:fldCharType="begin"/>
      </w:r>
      <w:r>
        <w:instrText xml:space="preserve"> TC </w:instrText>
      </w:r>
      <w:bookmarkStart w:id="48" w:name="_Toc256000037"/>
      <w:r>
        <w:instrText>"</w:instrText>
      </w:r>
      <w:r>
        <w:instrText>Windows Server Standard, Datacenter, and Essentials</w:instrText>
      </w:r>
      <w:r>
        <w:instrText>"</w:instrText>
      </w:r>
      <w:bookmarkEnd w:id="4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Server 2025 Datacenter (16-packs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CAL</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2019 Essentials</w:t>
            </w:r>
          </w:p>
        </w:tc>
        <w:tc>
          <w:tcPr/>
          <w:p w:rsidR="00A363CA" w:rsidP="00A363CA">
            <w:pPr>
              <w:pStyle w:val="ProductList-TableBody"/>
            </w:pPr>
            <w:r>
              <w:t>10/18</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Standard (2-packs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Remote Desktop Services External Connector</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External Connector</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Standard (16-packs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Remote Desktop Services CAL (Device and User)</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Datacenter (2-packs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Active Directory Rights Management Services External Connector</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Active Directory Rights Management Services CAL</w:t>
            </w:r>
          </w:p>
        </w:tc>
        <w:tc>
          <w:tcPr/>
          <w:p w:rsidR="00A363CA" w:rsidP="00A363CA">
            <w:pPr>
              <w:pStyle w:val="ProductList-TableBody"/>
            </w:pPr>
            <w:r>
              <w:t>11/24</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57"/>
        <w:gridCol w:w="60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2022 (8/21)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Windows Server Premium Assurance Add-on</w:t>
      </w:r>
    </w:p>
    <w:p>
      <w:pPr>
        <w:pStyle w:val="NormalWeb"/>
        <w:spacing w:after="150"/>
      </w:pPr>
      <w:r>
        <w:t xml:space="preserve">Customers looking for terms and conditions for Premium Assurance Add-on should refer to the January 2018 Product Terms (which may be found at </w:t>
      </w:r>
      <w:hyperlink r:id="rId130" w:tgtFrame="_blank" w:history="1">
        <w:r>
          <w:rPr>
            <w:rStyle w:val="Hyperlink"/>
            <w:color w:val="505050"/>
          </w:rPr>
          <w:t>https://www.aka.ms/licensingdocs</w:t>
        </w:r>
      </w:hyperlink>
      <w:r>
        <w:t>)</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34"/>
        <w:gridCol w:w="729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Datacenter to Standard or Essentials, Standard to Essentials (for versions 2008 R2 and prior refer to the Product Terms - September 2018)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or 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Malware Protection - refer to </w:t>
            </w:r>
            <w:hyperlink r:id="rId114"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Terms for Windows Server 2019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 on Use</w:t>
      </w:r>
    </w:p>
    <w:p>
      <w:pPr>
        <w:numPr>
          <w:ilvl w:val="0"/>
          <w:numId w:val="6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At any one time, Customer may use a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each of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and in one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run the server software within a domain where the Server's Active Directory is configured as (i) the domain controller (a single server which contains all the flexible single master operations (FSMO) roles), (ii) the root of the domain forest, (iii) not to be a child domain, and (iv) to have no trust relationship with any other domains. If the server software is used in a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the Instance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may be used only to run hardware virtualization software, provide hardware virtualization services, or run software to manage and service </w:t>
      </w:r>
      <w:hyperlink w:anchor="_Toc20" w:tooltip="Operating System Environment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Operating System Environment</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That Instance does not need to meet the requirements in (I) through (iv)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Using the Server Software</w:t>
      </w:r>
    </w:p>
    <w:p>
      <w:pPr>
        <w:pStyle w:val="NormalWeb"/>
        <w:spacing w:after="150"/>
      </w:pPr>
      <w:r>
        <w:t>A User Account is a unique user name with its associated password created through the Windows Server 2019 Essentials Console. Customer may use up to 25 user accounts. Each user account permits a named user to access and use the server software on that server. It may reassign a user account from one user to another provided that the reassignment does not occur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2019 Essentials Connector</w:t>
      </w:r>
    </w:p>
    <w:p>
      <w:pPr>
        <w:pStyle w:val="NormalWeb"/>
        <w:spacing w:after="150"/>
      </w:pPr>
      <w:r>
        <w:t>Customer may install and use the Windows Server 2019 Essentials Connector software on no more than 50 devices at any one time. It may use this software only with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Active Directory Rights Management Services Access</w:t>
      </w:r>
    </w:p>
    <w:p>
      <w:pPr>
        <w:pStyle w:val="NormalWeb"/>
        <w:spacing w:after="150"/>
      </w:pPr>
      <w:r>
        <w:t>Customer must acquire a Windows Server 2025 Active Directory Rights Management Services CAL for each User Account through which a user directly or indirectly accesses the Windows Server 2025 Active Directory Rights Management Services functionality.</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 without Hyper-V isolation with Windows Server 2025 Standard and Datacenter</w:t>
      </w:r>
    </w:p>
    <w:p>
      <w:pPr>
        <w:pStyle w:val="NormalWeb"/>
        <w:spacing w:after="150"/>
      </w:pPr>
      <w:r>
        <w:t xml:space="preserve">Customer may use any number of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Windows Server Containers without Hyper-V isolation on the </w:t>
      </w:r>
      <w:hyperlink w:anchor="_Toc20"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Server 2025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 Migration Tool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GBUNIECN.EXE Utility</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6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6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6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6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0"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6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0"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0"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0"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0"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0"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0"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0"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0"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0"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0"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0"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0"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0"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20"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w:t>
      </w:r>
      <w:hyperlink w:anchor="_Toc20" w:tooltip="Licensed Server means a single Server to which a License is assigned. See Glossary for full definition." w:history="1">
        <w:r>
          <w:rPr>
            <w:rStyle w:val="Hyperlink"/>
            <w:color w:val="505050"/>
          </w:rPr>
          <w:t>Licensed Server</w:t>
        </w:r>
      </w:hyperlink>
      <w:r>
        <w:t xml:space="preserve"> for each </w:t>
      </w:r>
      <w:hyperlink w:anchor="_Toc20"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20" w:tooltip="Virtual OSE means an OSE that is configured to run on a virtual hardware system." w:history="1">
        <w:r>
          <w:rPr>
            <w:rStyle w:val="Hyperlink"/>
            <w:color w:val="505050"/>
          </w:rPr>
          <w:t>Virtual OSE</w:t>
        </w:r>
      </w:hyperlink>
      <w:r>
        <w:t xml:space="preserve">,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*As an exception, users do not need Windows Server CALs when accessing the server software solely to sync between an Active Directory infrastructure running on Customer's Licensed Servers and Microsoft Entra ID.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CAL</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User SL</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CAL</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User CAL</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User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*Also required for any person for whom the software issues or manages identity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Synchronization Service</w:t>
      </w:r>
    </w:p>
    <w:p>
      <w:pPr>
        <w:pStyle w:val="NormalWeb"/>
        <w:spacing w:after="150"/>
      </w:pPr>
      <w:r>
        <w:t>Microsoft Identity Manager 2016 CALs not required for users only using Microsoft Identity Manager synchronization service.</w:t>
      </w:r>
    </w:p>
    <w:p>
      <w:pPr>
        <w:pStyle w:val="Heading3"/>
        <w:spacing w:before="150" w:beforeAutospacing="0"/>
        <w:rPr>
          <w:rFonts w:eastAsia="Times New Roman"/>
          <w:color w:val="0078D4"/>
          <w:sz w:val="26"/>
          <w:szCs w:val="26"/>
        </w:rPr>
      </w:pPr>
      <w:r>
        <w:rPr>
          <w:rFonts w:eastAsia="Times New Roman"/>
          <w:color w:val="0078D4"/>
          <w:sz w:val="26"/>
          <w:szCs w:val="26"/>
        </w:rPr>
        <w:t>Server External User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External Connector</w:t>
            </w:r>
          </w:p>
        </w:tc>
      </w:tr>
    </w:tbl>
    <w:p>
      <w:pPr>
        <w:rPr>
          <w:rFonts w:eastAsia="Times New Roman"/>
          <w:color w:val="0078D4"/>
          <w:sz w:val="26"/>
          <w:szCs w:val="26"/>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External Connector License</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External Connector</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External Connector License</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External Connector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External Connector License</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0"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External Connector</w:t>
            </w:r>
          </w:p>
        </w:tc>
      </w:tr>
    </w:tbl>
    <w:p>
      <w:pPr>
        <w:pStyle w:val="NormalWeb"/>
      </w:pPr>
      <w:r>
        <w:rPr>
          <w:i/>
          <w:iCs/>
        </w:rPr>
        <w:t>*Also required for any External User for whom the software issues or manages identity information (in absence of Microsoft Identity Manager 2016 CALs).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66"/>
        <w:gridCol w:w="81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w:t>
            </w:r>
            <w:hyperlink r:id="rId105" w:tgtFrame="_blank" w:history="1">
              <w:r>
                <w:rPr>
                  <w:rStyle w:val="Hyperlink"/>
                  <w:rFonts w:ascii="Segoe UI" w:eastAsia="Times New Roman" w:hAnsi="Segoe UI" w:cs="Segoe UI"/>
                  <w:sz w:val="16"/>
                  <w:szCs w:val="16"/>
                </w:rPr>
                <w:t>Product List - October 2013 and March 2014</w:t>
              </w:r>
            </w:hyperlink>
            <w:r>
              <w:rPr>
                <w:rFonts w:ascii="Segoe UI" w:eastAsia="Times New Roman" w:hAnsi="Segoe UI" w:cs="Segoe UI"/>
                <w:sz w:val="16"/>
                <w:szCs w:val="16"/>
              </w:rPr>
              <w:t xml:space="preserve"> (prior versions as well as HPC Pack, Windows HPC Server, Windows Server Enterprise, Windows Server HPC Edition, Windows Server for Itanium Based Systems, Windows Small Business Server);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(Forefront Identity Manager 2010 R2);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(except Essentials)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Remote Desktop Services (“RDS”) User CAL and User SL Extended Rights</w:t>
      </w:r>
    </w:p>
    <w:p>
      <w:pPr>
        <w:pStyle w:val="NormalWeb"/>
        <w:spacing w:after="150"/>
      </w:pPr>
      <w:r>
        <w:t xml:space="preserve">Customer may use its RDS User CALs and User SLs with Windows Server software running in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dedicated to its internal use on either Microsoft Azure Services or the shared or dedicated servers of a </w:t>
      </w:r>
      <w:hyperlink w:anchor="_Toc20"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for which it has completed and submitted the License Mobility verification form. Other than administrative access by Customer’s </w:t>
      </w:r>
      <w:hyperlink w:anchor="_Toc20"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no other party may access the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(s). For any </w:t>
      </w:r>
      <w:hyperlink w:anchor="_Toc20" w:tooltip="CAL means client access license, which may be assigned by user or device, as appropriate. Refer to glossary for full definition." w:history="1">
        <w:r>
          <w:rPr>
            <w:rStyle w:val="Hyperlink"/>
            <w:color w:val="505050"/>
          </w:rPr>
          <w:t>CAL</w:t>
        </w:r>
      </w:hyperlink>
      <w:r>
        <w:t xml:space="preserve"> or User SL Customer has used in this manner, it may later move to Microsoft Azure Services or a new </w:t>
      </w:r>
      <w:hyperlink w:anchor="_Toc20"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but not sooner than 90 days after it initiated use in the environment it is leaving.</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 Server </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Product entry for rights to access Azure Virtual Desktop Windows Server virtual machines.</w:t>
      </w:r>
    </w:p>
    <w:p>
      <w:pPr>
        <w:pStyle w:val="Heading3"/>
        <w:spacing w:before="150" w:beforeAutospacing="0"/>
        <w:rPr>
          <w:rFonts w:eastAsia="Times New Roman"/>
          <w:color w:val="0078D4"/>
          <w:sz w:val="26"/>
          <w:szCs w:val="26"/>
        </w:rPr>
      </w:pPr>
      <w:r>
        <w:rPr>
          <w:rFonts w:eastAsia="Times New Roman"/>
          <w:color w:val="0078D4"/>
          <w:sz w:val="26"/>
          <w:szCs w:val="26"/>
        </w:rPr>
        <w:t>Windows Server Annual Channel for Containers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w:t>
      </w:r>
    </w:p>
    <w:p>
      <w:pPr>
        <w:pStyle w:val="NormalWeb"/>
        <w:spacing w:after="150"/>
      </w:pPr>
      <w:r>
        <w:t>Customer may only use Windows Server Annual Channel for Containers if it has Windows Server Datacenter core licenses with either an active subscription or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Annual Channel for Containers only as an operating system to host Windows Server containers in conjunction with a Certified Kubernetes product, as defined by Cloud Native Computing Foundation.</w:t>
      </w:r>
    </w:p>
    <w:p w:rsidR="00ED5159" w:rsidP="00ED5159">
      <w:pPr>
        <w:pStyle w:val="ProductList-OfferingGroupHeading"/>
        <w:outlineLvl w:val="1"/>
      </w:pPr>
      <w:r>
        <w:t>Enterprise Mobility + Security</w:t>
      </w:r>
      <w:r>
        <w:fldChar w:fldCharType="begin"/>
      </w:r>
      <w:r>
        <w:instrText xml:space="preserve"> TC </w:instrText>
      </w:r>
      <w:bookmarkStart w:id="49" w:name="_Toc256000038"/>
      <w:r>
        <w:instrText>"</w:instrText>
      </w:r>
      <w:r>
        <w:instrText>Enterprise Mobility + Security</w:instrText>
      </w:r>
      <w:r>
        <w:instrText>"</w:instrText>
      </w:r>
      <w:bookmarkEnd w:id="4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Enterprise Mobility + Security A3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Enterprise Mobility + Security A3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Enterprise Mobility + Security A5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Enterprise Mobility + Security A5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29"/>
        <w:gridCol w:w="67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33" w:history="1">
              <w:r>
                <w:rPr>
                  <w:rFonts w:ascii="Segoe UI" w:eastAsia="Times New Roman" w:hAnsi="Segoe UI" w:cs="Segoe UI"/>
                  <w:sz w:val="16"/>
                  <w:szCs w:val="16"/>
                  <w:u w:val="single"/>
                </w:rPr>
                <w:t>Student Use Benefits and Academic Programs section</w:t>
              </w:r>
            </w:hyperlink>
          </w:p>
        </w:tc>
      </w:tr>
    </w:tbl>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7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73"/>
        <w:gridCol w:w="44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(E3/A3 and E5/A5) Add-on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 w:rsidR="00ED5159" w:rsidP="00ED5159">
      <w:pPr>
        <w:pStyle w:val="ProductList-OfferingGroupHeading"/>
        <w:outlineLvl w:val="1"/>
      </w:pPr>
      <w:r>
        <w:t>Microsoft 365</w:t>
      </w:r>
      <w:r>
        <w:fldChar w:fldCharType="begin"/>
      </w:r>
      <w:r>
        <w:instrText xml:space="preserve"> TC </w:instrText>
      </w:r>
      <w:bookmarkStart w:id="50" w:name="_Toc256000039"/>
      <w:r>
        <w:instrText>"</w:instrText>
      </w:r>
      <w:r>
        <w:instrText>Microsoft 365</w:instrText>
      </w:r>
      <w:r>
        <w:instrText>"</w:instrText>
      </w:r>
      <w:bookmarkEnd w:id="5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Entra ID Governance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ID Governance P2</w:t>
            </w:r>
          </w:p>
        </w:tc>
        <w:tc>
          <w:tcPr/>
          <w:p w:rsidR="00A363CA" w:rsidP="00A363CA">
            <w:pPr>
              <w:pStyle w:val="ProductList-TableBody"/>
            </w:pP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(no Teams); Microsoft 365 F1/F3; Microsoft 365 F1/F3 EEA; Microsoft Purview Suite FLW; 10-Year Audit Log Retention FLW; Entra ID Governance Frontline Worker; Microsoft 365 F5 eDiscovery and Audit; Microsoft 365 F5 Information Protection and Governance; Microsoft 365 F5 Insider Risk Management; Microsoft Defender Suite FLW; Microsoft Defender + Purview Suite FLW; Microsoft Defender Vulnerability Management FLW; Microsoft Entra ID Governance Step-Up for Microsoft Entra ID F2 for Frontline Worker; Microsoft Entra Internet Access FLW; Microsoft Entra Private Access FLW; Microsoft Entra Suite Add-on for Microsoft Entra ID F2 for FLW; Microsoft Entra Suite FLW</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33"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License Terms</w:t>
      </w:r>
    </w:p>
    <w:p>
      <w:pPr>
        <w:pStyle w:val="NormalWeb"/>
        <w:spacing w:after="150"/>
      </w:pPr>
      <w:r>
        <w:t>Microsoft 365 is governed by the License Terms of the individual products and services comprising Microsoft 365, as modified by the License Terms in this Microsoft 365 Product Entry.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Components</w:t>
      </w:r>
    </w:p>
    <w:p>
      <w:pPr>
        <w:numPr>
          <w:ilvl w:val="0"/>
          <w:numId w:val="7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E3/E5 the components include </w:t>
      </w:r>
      <w:hyperlink r:id="rId134" w:history="1">
        <w:r>
          <w:rPr>
            <w:rStyle w:val="Hyperlink"/>
            <w:rFonts w:ascii="Segoe UI" w:eastAsia="Times New Roman" w:hAnsi="Segoe UI" w:cs="Segoe UI"/>
            <w:color w:val="505050"/>
            <w:sz w:val="18"/>
            <w:szCs w:val="18"/>
          </w:rPr>
          <w:t>Office 365 E3/E5</w:t>
        </w:r>
      </w:hyperlink>
      <w:r>
        <w:rPr>
          <w:rFonts w:ascii="Segoe UI" w:eastAsia="Times New Roman" w:hAnsi="Segoe UI" w:cs="Segoe UI"/>
          <w:color w:val="505050"/>
          <w:sz w:val="18"/>
          <w:szCs w:val="18"/>
        </w:rPr>
        <w:t xml:space="preserve">, </w:t>
      </w:r>
      <w:hyperlink r:id="rId135" w:history="1">
        <w:r>
          <w:rPr>
            <w:rStyle w:val="Hyperlink"/>
            <w:rFonts w:ascii="Segoe UI" w:eastAsia="Times New Roman" w:hAnsi="Segoe UI" w:cs="Segoe UI"/>
            <w:color w:val="505050"/>
            <w:sz w:val="18"/>
            <w:szCs w:val="18"/>
          </w:rPr>
          <w:t>Enterprise Mobility + Security E3/E5</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E3/E5</w:t>
        </w:r>
      </w:hyperlink>
      <w:r>
        <w:rPr>
          <w:rFonts w:ascii="Segoe UI" w:eastAsia="Times New Roman" w:hAnsi="Segoe UI" w:cs="Segoe UI"/>
          <w:color w:val="505050"/>
          <w:sz w:val="18"/>
          <w:szCs w:val="18"/>
        </w:rPr>
        <w:t xml:space="preserve"> Per User.</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A3/A5 the components include </w:t>
      </w:r>
      <w:hyperlink r:id="rId134" w:history="1">
        <w:r>
          <w:rPr>
            <w:rStyle w:val="Hyperlink"/>
            <w:rFonts w:ascii="Segoe UI" w:eastAsia="Times New Roman" w:hAnsi="Segoe UI" w:cs="Segoe UI"/>
            <w:color w:val="505050"/>
            <w:sz w:val="18"/>
            <w:szCs w:val="18"/>
          </w:rPr>
          <w:t>Office 365 A3/A5</w:t>
        </w:r>
      </w:hyperlink>
      <w:r>
        <w:rPr>
          <w:rFonts w:ascii="Segoe UI" w:eastAsia="Times New Roman" w:hAnsi="Segoe UI" w:cs="Segoe UI"/>
          <w:color w:val="505050"/>
          <w:sz w:val="18"/>
          <w:szCs w:val="18"/>
        </w:rPr>
        <w:t xml:space="preserve">, </w:t>
      </w:r>
      <w:hyperlink r:id="rId135" w:history="1">
        <w:r>
          <w:rPr>
            <w:rStyle w:val="Hyperlink"/>
            <w:rFonts w:ascii="Segoe UI" w:eastAsia="Times New Roman" w:hAnsi="Segoe UI" w:cs="Segoe UI"/>
            <w:color w:val="505050"/>
            <w:sz w:val="18"/>
            <w:szCs w:val="18"/>
          </w:rPr>
          <w:t>Enterprise Mobility + Security A3/A5</w:t>
        </w:r>
      </w:hyperlink>
      <w:r>
        <w:rPr>
          <w:rFonts w:ascii="Segoe UI" w:eastAsia="Times New Roman" w:hAnsi="Segoe UI" w:cs="Segoe UI"/>
          <w:color w:val="505050"/>
          <w:sz w:val="18"/>
          <w:szCs w:val="18"/>
        </w:rPr>
        <w:t xml:space="preserve">, </w:t>
      </w:r>
      <w:hyperlink r:id="rId70" w:history="1">
        <w:r>
          <w:rPr>
            <w:rStyle w:val="Hyperlink"/>
            <w:rFonts w:ascii="Segoe UI" w:eastAsia="Times New Roman" w:hAnsi="Segoe UI" w:cs="Segoe UI"/>
            <w:color w:val="505050"/>
            <w:sz w:val="18"/>
            <w:szCs w:val="18"/>
          </w:rPr>
          <w:t>Windows 11 Education A3/A5</w:t>
        </w:r>
      </w:hyperlink>
      <w:r>
        <w:rPr>
          <w:rFonts w:ascii="Segoe UI" w:eastAsia="Times New Roman" w:hAnsi="Segoe UI" w:cs="Segoe UI"/>
          <w:color w:val="505050"/>
          <w:sz w:val="18"/>
          <w:szCs w:val="18"/>
        </w:rPr>
        <w:t xml:space="preserve">, and </w:t>
      </w:r>
      <w:hyperlink r:id="rId136" w:history="1">
        <w:r>
          <w:rPr>
            <w:rStyle w:val="Hyperlink"/>
            <w:rFonts w:ascii="Segoe UI" w:eastAsia="Times New Roman" w:hAnsi="Segoe UI" w:cs="Segoe UI"/>
            <w:color w:val="505050"/>
            <w:sz w:val="18"/>
            <w:szCs w:val="18"/>
          </w:rPr>
          <w:t>Minecraft: Education Edition</w:t>
        </w:r>
      </w:hyperlink>
      <w:r>
        <w:rPr>
          <w:rFonts w:ascii="Segoe UI" w:eastAsia="Times New Roman" w:hAnsi="Segoe UI" w:cs="Segoe UI"/>
          <w:color w:val="505050"/>
          <w:sz w:val="18"/>
          <w:szCs w:val="18"/>
        </w:rPr>
        <w:t>.</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F3 the components include </w:t>
      </w:r>
      <w:hyperlink r:id="rId134" w:history="1">
        <w:r>
          <w:rPr>
            <w:rStyle w:val="Hyperlink"/>
            <w:rFonts w:ascii="Segoe UI" w:eastAsia="Times New Roman" w:hAnsi="Segoe UI" w:cs="Segoe UI"/>
            <w:color w:val="505050"/>
            <w:sz w:val="18"/>
            <w:szCs w:val="18"/>
          </w:rPr>
          <w:t>Office 365 F3</w:t>
        </w:r>
      </w:hyperlink>
      <w:r>
        <w:rPr>
          <w:rFonts w:ascii="Segoe UI" w:eastAsia="Times New Roman" w:hAnsi="Segoe UI" w:cs="Segoe UI"/>
          <w:color w:val="505050"/>
          <w:sz w:val="18"/>
          <w:szCs w:val="18"/>
        </w:rPr>
        <w:t xml:space="preserve">, </w:t>
      </w:r>
      <w:hyperlink r:id="rId135"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w:t>
        </w:r>
      </w:hyperlink>
      <w:r>
        <w:rPr>
          <w:rFonts w:ascii="Segoe UI" w:eastAsia="Times New Roman" w:hAnsi="Segoe UI" w:cs="Segoe UI"/>
          <w:color w:val="505050"/>
          <w:sz w:val="18"/>
          <w:szCs w:val="18"/>
        </w:rPr>
        <w:t>.</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F1 the components include </w:t>
      </w:r>
      <w:hyperlink r:id="rId135"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limited Office services.</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E3/Education A3 - Unattended License the components include </w:t>
      </w:r>
      <w:hyperlink r:id="rId134" w:history="1">
        <w:r>
          <w:rPr>
            <w:rStyle w:val="Hyperlink"/>
            <w:rFonts w:ascii="Segoe UI" w:eastAsia="Times New Roman" w:hAnsi="Segoe UI" w:cs="Segoe UI"/>
            <w:color w:val="505050"/>
            <w:sz w:val="18"/>
            <w:szCs w:val="18"/>
          </w:rPr>
          <w:t>Office 365 E3/A3</w:t>
        </w:r>
      </w:hyperlink>
      <w:r>
        <w:rPr>
          <w:rFonts w:ascii="Segoe UI" w:eastAsia="Times New Roman" w:hAnsi="Segoe UI" w:cs="Segoe UI"/>
          <w:color w:val="505050"/>
          <w:sz w:val="18"/>
          <w:szCs w:val="18"/>
        </w:rPr>
        <w:t xml:space="preserve">, </w:t>
      </w:r>
      <w:hyperlink r:id="rId135" w:history="1">
        <w:r>
          <w:rPr>
            <w:rStyle w:val="Hyperlink"/>
            <w:rFonts w:ascii="Segoe UI" w:eastAsia="Times New Roman" w:hAnsi="Segoe UI" w:cs="Segoe UI"/>
            <w:color w:val="505050"/>
            <w:sz w:val="18"/>
            <w:szCs w:val="18"/>
          </w:rPr>
          <w:t>Enterprise Mobility + Security E3/A3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E3/A3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Assignment and Windows Use Rights</w:t>
      </w:r>
    </w:p>
    <w:p>
      <w:pPr>
        <w:pStyle w:val="NormalWeb"/>
        <w:spacing w:after="150"/>
      </w:pPr>
      <w:r>
        <w:t>The use rights for the Windows component of Microsoft 365 licenses are modified as follows:</w:t>
      </w:r>
    </w:p>
    <w:p>
      <w:pPr>
        <w:numPr>
          <w:ilvl w:val="0"/>
          <w:numId w:val="21"/>
        </w:numPr>
        <w:spacing w:line="240" w:lineRule="auto"/>
        <w:ind w:left="600"/>
        <w:rPr>
          <w:rFonts w:ascii="Segoe UI" w:eastAsia="Times New Roman" w:hAnsi="Segoe UI" w:cs="Segoe UI"/>
          <w:color w:val="505050"/>
          <w:sz w:val="18"/>
          <w:szCs w:val="18"/>
        </w:rPr>
      </w:pP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are not required to be the </w:t>
      </w:r>
      <w:hyperlink w:anchor="_Toc20"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any device. </w:t>
      </w:r>
    </w:p>
    <w:p>
      <w:pPr>
        <w:numPr>
          <w:ilvl w:val="0"/>
          <w:numId w:val="21"/>
        </w:numPr>
        <w:spacing w:before="100" w:beforeAutospacing="1" w:line="240" w:lineRule="auto"/>
        <w:ind w:left="600"/>
        <w:rPr>
          <w:rFonts w:ascii="Segoe UI" w:eastAsia="Times New Roman" w:hAnsi="Segoe UI" w:cs="Segoe UI"/>
          <w:color w:val="505050"/>
          <w:sz w:val="18"/>
          <w:szCs w:val="18"/>
        </w:rPr>
      </w:pP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only run Windows Enterprise locally on devices with a Qualifying Operating System.</w:t>
      </w:r>
    </w:p>
    <w:p>
      <w:pPr>
        <w:pStyle w:val="Heading5"/>
        <w:rPr>
          <w:rFonts w:eastAsia="Times New Roman"/>
        </w:rPr>
      </w:pPr>
      <w:r>
        <w:rPr>
          <w:rStyle w:val="Strong"/>
          <w:rFonts w:eastAsia="Times New Roman"/>
        </w:rPr>
        <w:t>Windows Use Rights for Microsoft 365 F3</w:t>
      </w:r>
    </w:p>
    <w:p>
      <w:pPr>
        <w:pStyle w:val="NormalWeb"/>
      </w:pPr>
      <w:r>
        <w:t>The use rights for the Windows component of Microsoft 365 F3 licenses are further modified as follows: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use Windows Enterprise LTSC do not apply.</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install and use MDOP do not apply.</w:t>
      </w:r>
    </w:p>
    <w:p>
      <w:pPr>
        <w:pStyle w:val="Heading5"/>
        <w:rPr>
          <w:rFonts w:eastAsia="Times New Roman"/>
        </w:rPr>
      </w:pPr>
      <w:r>
        <w:rPr>
          <w:rStyle w:val="Strong"/>
          <w:rFonts w:eastAsia="Times New Roman"/>
        </w:rPr>
        <w:t>Smartphone and Tablet Devices</w:t>
      </w:r>
    </w:p>
    <w:p>
      <w:pPr>
        <w:pStyle w:val="NormalWeb"/>
      </w:pPr>
      <w:r>
        <w:t>Each Microsoft 365 F3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5"/>
        <w:rPr>
          <w:rFonts w:eastAsia="Times New Roman"/>
        </w:rPr>
      </w:pPr>
      <w:r>
        <w:rPr>
          <w:rStyle w:val="Strong"/>
          <w:rFonts w:eastAsia="Times New Roman"/>
        </w:rPr>
        <w:t>Microsoft 365 F1 User Mailbox Use Rights</w:t>
      </w:r>
    </w:p>
    <w:p>
      <w:pPr>
        <w:pStyle w:val="NormalWeb"/>
      </w:pPr>
      <w:r>
        <w:t>M365 F1 does not include rights to an Exchange mailbox. In order to enable a full Teams experience, M365 F1 licenses may come with the Exchange Online K1 service plan enabled. Although the Exchange Online K1 service plan will provision a mailbox for the user, M365 F1 users are not entitled to use the mailbox. We recommend that you disable Outlook on the web via these steps (</w:t>
      </w:r>
      <w:hyperlink r:id="rId137" w:tgtFrame="_blank" w:history="1">
        <w:r>
          <w:rPr>
            <w:rStyle w:val="Hyperlink"/>
            <w:color w:val="505050"/>
          </w:rPr>
          <w:t>https://docs.microsoft.com/exchange/recipients-in-exchange-online/manage-user-mailboxes/enable-or-disable-outlook-web-app</w:t>
        </w:r>
      </w:hyperlink>
      <w:r>
        <w:t>) except for use with Microsoft Bookings (</w:t>
      </w:r>
      <w:hyperlink r:id="rId138" w:tgtFrame="_blank" w:history="1">
        <w:r>
          <w:rPr>
            <w:rStyle w:val="Hyperlink"/>
            <w:color w:val="505050"/>
          </w:rPr>
          <w:t>https://learn.microsoft.com/microsoft-365/bookings/bookings-overview</w:t>
        </w:r>
      </w:hyperlink>
      <w:r>
        <w:t>) and ask your users not to access the Exchange mailbox via any other methods.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Copilot and Microsoft 365 Copilot Chat </w:t>
      </w:r>
    </w:p>
    <w:p>
      <w:pPr>
        <w:pStyle w:val="Heading5"/>
        <w:rPr>
          <w:rFonts w:eastAsia="Times New Roman"/>
        </w:rPr>
      </w:pPr>
      <w:r>
        <w:rPr>
          <w:rStyle w:val="Strong"/>
          <w:rFonts w:eastAsia="Times New Roman"/>
        </w:rPr>
        <w:t>Data Handling</w:t>
      </w:r>
    </w:p>
    <w:p>
      <w:pPr>
        <w:pStyle w:val="NormalWeb"/>
      </w:pPr>
      <w:r>
        <w:t xml:space="preserve">These Products enable sharing of data, including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with other Products as described in product documentation. If Customer shares data with another Product, the data is subject to the Product Terms applicable to that Product.</w:t>
      </w:r>
    </w:p>
    <w:p>
      <w:pPr>
        <w:pStyle w:val="Heading5"/>
        <w:rPr>
          <w:rFonts w:eastAsia="Times New Roman"/>
        </w:rPr>
      </w:pPr>
      <w:r>
        <w:rPr>
          <w:rStyle w:val="Strong"/>
          <w:rFonts w:eastAsia="Times New Roman"/>
        </w:rPr>
        <w:t>Query Data</w:t>
      </w:r>
    </w:p>
    <w:p>
      <w:pPr>
        <w:pStyle w:val="NormalWeb"/>
      </w:pPr>
      <w:r>
        <w:t xml:space="preserve">If permitted by Customer, users may elect to use web query functionality optionally available through Bing as a connected service subject to the "Bing" terms of use set forth in the </w:t>
      </w:r>
      <w:hyperlink r:id="rId25" w:tgtFrame="_blank" w:history="1">
        <w:r>
          <w:rPr>
            <w:rStyle w:val="Hyperlink"/>
            <w:color w:val="505050"/>
          </w:rPr>
          <w:t>Universal Terms for Online Services</w:t>
        </w:r>
      </w:hyperlink>
      <w:r>
        <w:t xml:space="preserve">. Notwithstanding the foregoing, any terms applicable to the web query functionality, queries, or other data (including any </w:t>
      </w:r>
      <w:hyperlink w:anchor="_Toc20" w:tooltip="Personal Data means any information relating to an identified or identifiable natural person." w:history="1">
        <w:r>
          <w:rPr>
            <w:rStyle w:val="Hyperlink"/>
            <w:color w:val="505050"/>
          </w:rPr>
          <w:t>Personal Data</w:t>
        </w:r>
      </w:hyperlink>
      <w:r>
        <w:t>) ("Query Data") sent from Entra ID-authenticated use of Microsoft 365 Copilot and Microsoft 365 Copilot Chat to Bing are subject to the following terms:</w:t>
      </w:r>
    </w:p>
    <w:p>
      <w:pPr>
        <w:numPr>
          <w:ilvl w:val="0"/>
          <w:numId w:val="3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E3/E5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Servers</w:t>
      </w:r>
    </w:p>
    <w:p>
      <w:pPr>
        <w:pStyle w:val="NormalWeb"/>
        <w:spacing w:after="150"/>
      </w:pPr>
      <w:r>
        <w:t xml:space="preserve">Each </w:t>
      </w:r>
      <w:hyperlink w:anchor="_Toc20" w:tooltip="Licensed User means the single person to whom a License is assigned." w:history="1">
        <w:r>
          <w:rPr>
            <w:rStyle w:val="Hyperlink"/>
            <w:color w:val="505050"/>
          </w:rPr>
          <w:t>Licensed User</w:t>
        </w:r>
      </w:hyperlink>
      <w:r>
        <w:t xml:space="preserve"> assigned a Microsoft 365 E3/E5 User SL may:</w:t>
      </w:r>
    </w:p>
    <w:p>
      <w:pPr>
        <w:numPr>
          <w:ilvl w:val="0"/>
          <w:numId w:val="7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install any number of copies of the following server software on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dedicated to Customer's use: Exchange Server, SharePoint Server, and Skype for Business Server; and</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access to the above server software is exclusive to those users assigned a Microsoft 365 E3/E5 User SL or </w:t>
      </w:r>
      <w:hyperlink w:anchor="_Toc20" w:tooltip="see Glossary for full definition." w:history="1">
        <w:r>
          <w:rPr>
            <w:rStyle w:val="Hyperlink"/>
            <w:rFonts w:ascii="Segoe UI" w:eastAsia="Times New Roman" w:hAnsi="Segoe UI" w:cs="Segoe UI"/>
            <w:color w:val="505050"/>
            <w:sz w:val="18"/>
            <w:szCs w:val="18"/>
          </w:rPr>
          <w:t>External Users</w:t>
        </w:r>
      </w:hyperlink>
      <w:r>
        <w:rPr>
          <w:rFonts w:ascii="Segoe UI" w:eastAsia="Times New Roman" w:hAnsi="Segoe UI" w:cs="Segoe UI"/>
          <w:color w:val="505050"/>
          <w:sz w:val="18"/>
          <w:szCs w:val="18"/>
        </w:rPr>
        <w:t>.</w:t>
      </w:r>
    </w:p>
    <w:p>
      <w:pPr>
        <w:pStyle w:val="NormalWeb"/>
        <w:spacing w:before="150"/>
      </w:pPr>
      <w:hyperlink w:anchor="_Toc20"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39" w:history="1">
        <w:r>
          <w:rPr>
            <w:rStyle w:val="Hyperlink"/>
            <w:color w:val="505050"/>
          </w:rPr>
          <w:t>Outsourcing Software Management</w:t>
        </w:r>
      </w:hyperlink>
      <w:r>
        <w:t xml:space="preserve"> clause. This entitlement does not apply to User SLs acquired under the Microsoft Cloud Agreement and Microsoft Customer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Professional Plus</w:t>
      </w:r>
    </w:p>
    <w:p>
      <w:pPr>
        <w:pStyle w:val="Heading5"/>
        <w:rPr>
          <w:rFonts w:eastAsia="Times New Roman"/>
        </w:rPr>
      </w:pPr>
      <w:r>
        <w:rPr>
          <w:rFonts w:eastAsia="Times New Roman"/>
        </w:rPr>
        <w:t>Microsoft 365 User SLs acquired in MPSA</w:t>
      </w:r>
    </w:p>
    <w:p>
      <w:pPr>
        <w:pStyle w:val="NormalWeb"/>
      </w:pPr>
      <w:r>
        <w:t xml:space="preserve">For each Licensed User with a device covered with Software Assurance for Office Professional Plus to whom Customer assigns a Microsoft 365 User SL, Customer may install one local copy of Office Professional Plus for the sole use of the </w:t>
      </w:r>
      <w:hyperlink w:anchor="_Toc20" w:tooltip="Licensed User means the single person to whom a License is assigned." w:history="1">
        <w:r>
          <w:rPr>
            <w:rStyle w:val="Hyperlink"/>
            <w:color w:val="505050"/>
          </w:rPr>
          <w:t>Licensed User</w:t>
        </w:r>
      </w:hyperlink>
      <w:r>
        <w:t xml:space="preserve"> for the duration of the subscription.</w:t>
      </w:r>
    </w:p>
    <w:p>
      <w:pPr>
        <w:pStyle w:val="Heading3"/>
        <w:spacing w:before="150" w:beforeAutospacing="0"/>
        <w:rPr>
          <w:rFonts w:eastAsia="Times New Roman"/>
          <w:color w:val="0078D4"/>
          <w:sz w:val="26"/>
          <w:szCs w:val="26"/>
        </w:rPr>
      </w:pPr>
      <w:r>
        <w:rPr>
          <w:rFonts w:eastAsia="Times New Roman"/>
          <w:color w:val="0078D4"/>
          <w:sz w:val="26"/>
          <w:szCs w:val="26"/>
        </w:rPr>
        <w:t>Microsoft 365 EEA (no Teams) and Microsoft Teams EEA</w:t>
      </w:r>
    </w:p>
    <w:p>
      <w:pPr>
        <w:pStyle w:val="NormalWeb"/>
        <w:spacing w:after="150"/>
      </w:pPr>
      <w:r>
        <w:t>Customers in European Economic Area (EEA) countries and Switzerland may acquire and use Microsoft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Microsoft 365 (no Teams) and Microsoft Teams Enterprise</w:t>
      </w:r>
    </w:p>
    <w:p>
      <w:pPr>
        <w:pStyle w:val="NormalWeb"/>
        <w:spacing w:after="150"/>
      </w:pPr>
      <w:r>
        <w:t>Customers not in European Economic Area (EEA) countries and Switzerland may acquire and use Microsoft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 </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09"/>
        <w:gridCol w:w="70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Microsoft Purview Suite/Edu; Microsoft 365 E5/A5 eDiscovery and Audit;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 Microsoft Defender + Purview Suite FLW; Microsoft 365 F5 eDiscovery and Audit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Career Coach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A1/A3/A5; Microsoft 365 A3/A5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Clipchamp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 Business Standard/Business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E3/E5/A3/A5/G3/G5; Microsoft 365 F1/F3; Enterprise Mobility + Security E3/E5; Microsoft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E5/A5/G5; Microsoft Defender Suite; Microsoft Defender Suite FLW; Microsoft Defender + Purview Suite FLW; 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Step-Up for Microsoft Entra ID F2 for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Insider Risk Management Forensic Evidence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E5/G5; Microsoft Purview Suite; Microsoft Purview Suite Gov; Microsoft 365 E5/G5 Insider Risk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Advanced Data Residency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Plan; Office 365 suite;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Cross-tenant User Data Migration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F3/A1/E3/A3/E5/A5;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Information Protection and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Microsoft 365 Business Premium/F1/F3/E3/A3, or</w:t>
            </w:r>
          </w:p>
          <w:p>
            <w:pPr>
              <w:pStyle w:val="NormalWeb"/>
              <w:spacing w:before="150"/>
            </w:pPr>
            <w:r>
              <w:rPr>
                <w:u w:val="single"/>
              </w:rPr>
              <w:t>Any one of the following</w:t>
            </w:r>
            <w:r>
              <w:rPr>
                <w:rStyle w:val="Strong"/>
              </w:rPr>
              <w:t>:</w:t>
            </w:r>
          </w:p>
          <w:p>
            <w:pPr>
              <w:pStyle w:val="NormalWeb"/>
              <w:spacing w:before="150"/>
            </w:pPr>
            <w:r>
              <w:t xml:space="preserve">Microsoft 365 Business Basic/Business Standard; Office 365 F3/E1/E3/A3/E5/A5; Exchange Online; SharePoint Online; OneDrive </w:t>
            </w:r>
            <w:r>
              <w:rPr>
                <w:rStyle w:val="Strong"/>
                <w:u w:val="single"/>
              </w:rPr>
              <w:t>and</w:t>
            </w:r>
            <w:r>
              <w:rPr>
                <w:rStyle w:val="Strong"/>
              </w:rPr>
              <w:t xml:space="preserve"> </w:t>
            </w:r>
            <w:r>
              <w:t>Enterprise Mobility +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(including Gov/Edu)</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E3/A3/G3; Office 365 E3/A3/G3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Edu - Student Use Benefit Add-on </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M365 A5 Student Use Benefit, M365 A5 Unified Edu Sub Student Use Benefit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eDiscovery and Audit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Information Protection and Governance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Insider Risk Management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eDiscovery and Audit</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 Office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Edu/Gov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A3/G3; Office 365 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F1/F3; Office 365 F3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eDiscovery and Audit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Information Protection and Governance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 Purview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Basic/Business Standard/Business Premium/F1/A1/F3/E3/A3/E5/A5; Office 365 F3/E1/A1/E3/A3/E5/A5; Exchange Online; SharePoint Online; OneDrive; Microsoft Clipchamp; Microsoft Teams EEA/Enterprise/Essentials; Planner Plan 1; Project Online; Visio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Premium/F1/F3/E3/A1/A3/E5/A5; Office 365 F3/E1/E3/A1/A3/E5/A5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Services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IoT - EIoT Device License -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Suite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Suite for Business Premium</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Premium</w:t>
            </w: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Purview Suite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and Purview Suites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 to Microsoft Defender for Endpoint for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for servers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E3/A3/G3; Microsoft 365 Enterprise Mobility &amp; Security E3/A3/G3; Microsoft 365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 Microsoft Defender Suite;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F2 for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365 F5</w:t>
            </w:r>
            <w:r>
              <w:rPr>
                <w:rStyle w:val="Strong"/>
                <w:rFonts w:ascii="Segoe UI" w:eastAsia="Times New Roman" w:hAnsi="Segoe UI" w:cs="Segoe UI"/>
                <w:sz w:val="16"/>
                <w:szCs w:val="16"/>
              </w:rPr>
              <w:t xml:space="preserve"> </w:t>
            </w:r>
            <w:r>
              <w:rPr>
                <w:rFonts w:ascii="Segoe UI" w:eastAsia="Times New Roman" w:hAnsi="Segoe UI" w:cs="Segoe UI"/>
                <w:sz w:val="16"/>
                <w:szCs w:val="16"/>
              </w:rPr>
              <w:t>Security &amp; Compliance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Managed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 Microsoft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Defender for Endpoint Plan 2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Employee Communications and Communities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Learning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Pulse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Premium/F1/F3/E3/E5; Office 365 F3/E1/E3/E5; Microsoft Teams Essentials; Microsoft Teams Enterprise;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Workplace Analytics and Employee Feedback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A3/E3/G3/A5/E5/G5; Office 365 A1/E1/G1/A3/E3/G3/A5/E5/G5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Python in Excel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Standard /Business Premium/E3/E5; Office 365 E3/E5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Remote Network Bandwidth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 Microsoft 365 Enterprise Mobility &amp; Security E3/A3; Microsoft 365 Business Premium; Microsoft Entra Internet Access; Microsoft Entra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Advanced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Premium/F1/F3/E3/A3/G3/E5/A5/G5; Office 365 F3/E1/A1/E3/A3/G3/E5/A5/G5; SharePoint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VDA Add-on for M365 E3/E5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w:t>
            </w:r>
          </w:p>
        </w:tc>
      </w:tr>
    </w:tbl>
    <w:p/>
    <w:p w:rsidR="00ED5159" w:rsidP="00ED5159">
      <w:pPr>
        <w:pStyle w:val="ProductList-Offering1SubSection"/>
      </w:pPr>
      <w:r>
        <w:t>Service Specific Terms</w:t>
      </w:r>
    </w:p>
    <w:p>
      <w:pPr>
        <w:pStyle w:val="NormalWeb"/>
      </w:pPr>
      <w:r>
        <w:t xml:space="preserve">Customers may deploy eligible products on Amazon WorkSpaces.  See </w:t>
      </w:r>
      <w:hyperlink r:id="rId140"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365 - Unattended License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hyperlink w:anchor="_Toc20" w:tooltip="Robotic Process Automation, otherwise known as " w:history="1">
        <w:r>
          <w:rPr>
            <w:rStyle w:val="Hyperlink"/>
            <w:color w:val="505050"/>
          </w:rPr>
          <w:t>Robotic Process Automation</w:t>
        </w:r>
      </w:hyperlink>
      <w:r>
        <w:t>", otherwise known as "RPA" or "bots" means an application, or any set of applications used to capture data and manipulate applications to perform repetitive tasks.  Bots operate upon any UI element of Windows within an OSE and/or operates upon any Office application in any OSE.</w:t>
      </w:r>
    </w:p>
    <w:p>
      <w:pPr>
        <w:pStyle w:val="NormalWeb"/>
        <w:spacing w:before="150"/>
      </w:pPr>
      <w:r>
        <w:t>"</w:t>
      </w:r>
      <w:hyperlink w:anchor="_Toc20" w:tooltip="Unattended Bot - Any bot that doesn't strictly conform to the definition of Attended Bot shall be considered an Unattended Bot." w:history="1">
        <w:r>
          <w:rPr>
            <w:rStyle w:val="Hyperlink"/>
            <w:color w:val="505050"/>
          </w:rPr>
          <w:t>Unattended Bot</w:t>
        </w:r>
      </w:hyperlink>
      <w:r>
        <w:t>" - Any bot that does not strictly conform to the definition of "</w:t>
      </w:r>
      <w:hyperlink w:anchor="_Toc20" w:tooltip="Attended Bot - An Attended Bot assists a person to execute automation on the person's local and/or remote workstations. See full definition in Glossary." w:history="1">
        <w:r>
          <w:rPr>
            <w:rStyle w:val="Hyperlink"/>
            <w:color w:val="505050"/>
          </w:rPr>
          <w:t>Attended Bot</w:t>
        </w:r>
      </w:hyperlink>
      <w:r>
        <w:t>" shall be considered an "</w:t>
      </w:r>
      <w:hyperlink w:anchor="_Toc20" w:tooltip="Unattended Bot - Any bot that doesn't strictly conform to the definition of Attended Bot shall be considered an Unattended Bot." w:history="1">
        <w:r>
          <w:rPr>
            <w:rStyle w:val="Hyperlink"/>
            <w:color w:val="505050"/>
          </w:rPr>
          <w:t>Unattended Bot</w:t>
        </w:r>
      </w:hyperlink>
      <w:r>
        <w:t>."</w:t>
      </w:r>
    </w:p>
    <w:p>
      <w:pPr>
        <w:pStyle w:val="NormalWeb"/>
        <w:spacing w:before="150"/>
      </w:pPr>
      <w:r>
        <w:t>"</w:t>
      </w:r>
      <w:hyperlink w:anchor="_Toc20" w:tooltip="Attended Bot - An Attended Bot assists a person to execute automation on the person's local and/or remote workstations. See full definition in Glossary." w:history="1">
        <w:r>
          <w:rPr>
            <w:rStyle w:val="Hyperlink"/>
            <w:color w:val="505050"/>
          </w:rPr>
          <w:t>Attended Bot</w:t>
        </w:r>
      </w:hyperlink>
      <w:r>
        <w:t xml:space="preserve">" - An </w:t>
      </w:r>
      <w:hyperlink w:anchor="_Toc20" w:tooltip="Attended Bot - An Attended Bot assists a person to execute automation on the person's local and/or remote workstations. See full definition in Glossary." w:history="1">
        <w:r>
          <w:rPr>
            <w:rStyle w:val="Hyperlink"/>
            <w:color w:val="505050"/>
          </w:rPr>
          <w:t>Attended Bot</w:t>
        </w:r>
      </w:hyperlink>
      <w:r>
        <w:t xml:space="preserve"> assists a person to execute automation on the person's local and/or remote workstations. It operates concurrently with the person on the same workstation/s to accomplish repetitive tasks and is triggered by explicit actions of that person.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Assignment and Use Rights  </w:t>
      </w:r>
    </w:p>
    <w:p>
      <w:pPr>
        <w:numPr>
          <w:ilvl w:val="0"/>
          <w:numId w:val="73"/>
        </w:numPr>
        <w:spacing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 Microsoft 365 A3/E3 - Unattended License to an </w:t>
      </w:r>
      <w:hyperlink w:anchor="_Toc20"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w:t>
        </w:r>
      </w:hyperlink>
      <w:r>
        <w:rPr>
          <w:rFonts w:ascii="Segoe UI" w:eastAsia="Times New Roman" w:hAnsi="Segoe UI" w:cs="Segoe UI"/>
          <w:color w:val="505050"/>
          <w:sz w:val="18"/>
          <w:szCs w:val="18"/>
        </w:rPr>
        <w:t xml:space="preserve"> running on either of the following:</w:t>
      </w:r>
    </w:p>
    <w:p>
      <w:pPr>
        <w:numPr>
          <w:ilvl w:val="1"/>
          <w:numId w:val="7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Hardware dedicated to Customer's use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1"/>
          <w:numId w:val="7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 virtual machine on Azure (including Azure Virtual Desktop).</w:t>
      </w:r>
    </w:p>
    <w:p>
      <w:pPr>
        <w:numPr>
          <w:ilvl w:val="1"/>
          <w:numId w:val="7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365 Enterprise.</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There is no Qualifying OS requirement for the Microsoft 365 A3/E3 suite.</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Each Microsoft 365 A3/E3 - Unattended License allows the use of the M365 A3/E3 suite in only a single unique physical or virtual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w:t>
      </w:r>
      <w:hyperlink w:anchor="_Toc20" w:tooltip="Robotic Process Automation, otherwise known as " w:history="1">
        <w:r>
          <w:rPr>
            <w:rStyle w:val="Hyperlink"/>
            <w:rFonts w:ascii="Segoe UI" w:eastAsia="Times New Roman" w:hAnsi="Segoe UI" w:cs="Segoe UI"/>
            <w:color w:val="505050"/>
            <w:sz w:val="18"/>
            <w:szCs w:val="18"/>
          </w:rPr>
          <w:t>Robotic Process Automation</w:t>
        </w:r>
      </w:hyperlink>
      <w:r>
        <w:rPr>
          <w:rFonts w:ascii="Segoe UI" w:eastAsia="Times New Roman" w:hAnsi="Segoe UI" w:cs="Segoe UI"/>
          <w:color w:val="505050"/>
          <w:sz w:val="18"/>
          <w:szCs w:val="18"/>
        </w:rPr>
        <w:t>.</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Microsoft 365 A3/E3 - Unattended License is allowed a single unique instance of Microsoft 365 Apps for enterprise.</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License reassignment for bots follow the same rules for users and devices as if the bot is a user. (See </w:t>
      </w:r>
      <w:hyperlink r:id="rId103" w:history="1">
        <w:r>
          <w:rPr>
            <w:rStyle w:val="Hyperlink"/>
            <w:rFonts w:ascii="Segoe UI" w:eastAsia="Times New Roman" w:hAnsi="Segoe UI" w:cs="Segoe UI"/>
            <w:color w:val="505050"/>
            <w:sz w:val="18"/>
            <w:szCs w:val="18"/>
          </w:rPr>
          <w:t>License Assignment and Reassignment</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numPr>
          <w:ilvl w:val="0"/>
          <w:numId w:val="21"/>
        </w:numPr>
        <w:spacing w:line="240" w:lineRule="auto"/>
        <w:ind w:left="600"/>
        <w:rPr>
          <w:rFonts w:ascii="Segoe UI" w:eastAsia="Times New Roman" w:hAnsi="Segoe UI" w:cs="Segoe UI"/>
          <w:color w:val="505050"/>
          <w:sz w:val="18"/>
          <w:szCs w:val="18"/>
        </w:rPr>
      </w:pPr>
      <w:hyperlink w:anchor="_Toc20"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Bots</w:t>
        </w:r>
      </w:hyperlink>
      <w:r>
        <w:rPr>
          <w:rFonts w:ascii="Segoe UI" w:eastAsia="Times New Roman" w:hAnsi="Segoe UI" w:cs="Segoe UI"/>
          <w:color w:val="505050"/>
          <w:sz w:val="18"/>
          <w:szCs w:val="18"/>
        </w:rPr>
        <w:t xml:space="preserve"> may not create or replicate activities or workflows on behalf of an unlicensed user or device. (See </w:t>
      </w:r>
      <w:hyperlink r:id="rId103" w:history="1">
        <w:r>
          <w:rPr>
            <w:rStyle w:val="Hyperlink"/>
            <w:rFonts w:ascii="Segoe UI" w:eastAsia="Times New Roman" w:hAnsi="Segoe UI" w:cs="Segoe UI"/>
            <w:color w:val="505050"/>
            <w:sz w:val="18"/>
            <w:szCs w:val="18"/>
          </w:rPr>
          <w:t>Multiplexing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reserves the right to restrict or disable Microsoft API calls with reasonable notice, due to unreasonable amount of bandwidth, adversely impacting the stability of Microsoft API's, or adversely affecting the behavior of other apps.</w:t>
      </w:r>
    </w:p>
    <w:p>
      <w:pPr>
        <w:pStyle w:val="Heading3"/>
        <w:spacing w:before="150" w:beforeAutospacing="0"/>
        <w:rPr>
          <w:rFonts w:eastAsia="Times New Roman"/>
          <w:color w:val="0078D4"/>
          <w:sz w:val="26"/>
          <w:szCs w:val="26"/>
        </w:rPr>
      </w:pPr>
      <w:r>
        <w:rPr>
          <w:rFonts w:eastAsia="Times New Roman"/>
          <w:color w:val="0078D4"/>
          <w:sz w:val="26"/>
          <w:szCs w:val="26"/>
        </w:rPr>
        <w:t>Microsoft Defender External Attack Surface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Customer may use Microsoft Defender External Attack Surface Management (EASM) solely for Customer's internal use of defending its and its affiliates' assets. The EASM data and reports include material that is confidential and proprietary to Microsoft and Customer must keep that material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Threat Intelligence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Microsoft Defender Threat Intelligence (MDTI) is for Customer's and its affiliates' internal use only. For example, Customer may not commercially exploit or make available to any third party MDTI or any of its output or reports based on that output.  The MDTI data and reports include material that is confidential and proprietary to Microsoft. The compilation of MDTI data and reports is Microsoft's valuable trade secret. Customer must keep the MDTI data and reports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Business</w:t>
      </w:r>
    </w:p>
    <w:p>
      <w:pPr>
        <w:pStyle w:val="NormalWeb"/>
        <w:spacing w:after="150"/>
      </w:pPr>
      <w:r>
        <w:t xml:space="preserve">Notwithstanding the </w:t>
      </w:r>
      <w:hyperlink r:id="rId118" w:tgtFrame="_blank" w:history="1">
        <w:r>
          <w:rPr>
            <w:rStyle w:val="Hyperlink"/>
            <w:color w:val="505050"/>
          </w:rPr>
          <w:t>Outsourcing Software Management</w:t>
        </w:r>
      </w:hyperlink>
      <w:r>
        <w:t xml:space="preserve"> clause, Customer may use Defender for Business with user desktops running on Microsoft Azure, its own devices, or devices under the day-to-day management and control of third parties.</w:t>
      </w:r>
    </w:p>
    <w:p>
      <w:pPr>
        <w:pStyle w:val="NormalWeb"/>
        <w:spacing w:before="150"/>
      </w:pPr>
      <w:r>
        <w:t xml:space="preserve">Eligible </w:t>
      </w:r>
      <w:hyperlink w:anchor="_Toc20" w:tooltip="Licensed User means the single person to whom a License is assigned." w:history="1">
        <w:r>
          <w:rPr>
            <w:rStyle w:val="Hyperlink"/>
            <w:color w:val="505050"/>
          </w:rPr>
          <w:t>Licensed Users</w:t>
        </w:r>
      </w:hyperlink>
      <w:r>
        <w:t xml:space="preserve"> may use Microsoft Defender for Business on up to five concurrent devices. Customer may not use a Microsoft Defender for Business User SL with server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NormalWeb"/>
        <w:spacing w:before="150"/>
      </w:pPr>
      <w:r>
        <w:t xml:space="preserve">Additional Product Terms available under </w:t>
      </w:r>
      <w:hyperlink r:id="rId141" w:tgtFrame="_blank" w:history="1">
        <w:r>
          <w:rPr>
            <w:rStyle w:val="Hyperlink"/>
            <w:color w:val="505050"/>
          </w:rPr>
          <w:t>Microsoft Defender for Business servers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IoT - Enterprise IoT (EIoT) capabilities</w:t>
      </w:r>
    </w:p>
    <w:p>
      <w:pPr>
        <w:pStyle w:val="NormalWeb"/>
        <w:spacing w:after="150"/>
      </w:pPr>
      <w:r>
        <w:t>Microsoft 365 E5 or Microsoft Defender Suite customer is entitled to cover up to five concurrent IoT Devices in the context of business operations (EIoT) for each Microsoft 365 E5 or Microsoft Defender Suite License. For any additional EIoT device coverage, the customer must purchase one Microsoft Defender for IoT - EIoT Device License - add-on license per additional EIoT device.</w:t>
      </w:r>
    </w:p>
    <w:p>
      <w:pPr>
        <w:pStyle w:val="Heading3"/>
        <w:spacing w:before="150" w:beforeAutospacing="0"/>
        <w:rPr>
          <w:rFonts w:eastAsia="Times New Roman"/>
          <w:color w:val="0078D4"/>
          <w:sz w:val="26"/>
          <w:szCs w:val="26"/>
        </w:rPr>
      </w:pPr>
      <w:r>
        <w:rPr>
          <w:rFonts w:eastAsia="Times New Roman"/>
          <w:color w:val="0078D4"/>
          <w:sz w:val="26"/>
          <w:szCs w:val="26"/>
        </w:rPr>
        <w:t>Microsoft Defender Vulnerability Management</w:t>
      </w:r>
    </w:p>
    <w:p>
      <w:pPr>
        <w:pStyle w:val="NormalWeb"/>
        <w:spacing w:after="150"/>
      </w:pPr>
      <w:r>
        <w:t xml:space="preserve">Eligible </w:t>
      </w:r>
      <w:hyperlink w:anchor="_Toc20" w:tooltip="Licensed User means the single person to whom a License is assigned." w:history="1">
        <w:r>
          <w:rPr>
            <w:rStyle w:val="Hyperlink"/>
            <w:color w:val="505050"/>
          </w:rPr>
          <w:t>Licensed Users</w:t>
        </w:r>
      </w:hyperlink>
      <w:r>
        <w:t xml:space="preserve"> may use Microsoft Defender Vulnerability Management or Microsoft Defender Vulnerability Management Add-on on up to five concurrent devices. Customer may not use Microsoft Defender Vulnerability Management or Microsoft Defender Vulnerability Management Add-On User SLs with server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Managed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Managed Service</w:t>
      </w:r>
    </w:p>
    <w:p>
      <w:pPr>
        <w:pStyle w:val="NormalWeb"/>
        <w:spacing w:after="150"/>
      </w:pPr>
      <w:r>
        <w:t xml:space="preserve">Microsoft Managed Desktop includes an Online Service component and Professional Service Component which is subject to the Professional Services terms (refer to </w:t>
      </w:r>
      <w:hyperlink r:id="rId48" w:tgtFrame="_blank" w:history="1">
        <w:r>
          <w:rPr>
            <w:rStyle w:val="Hyperlink"/>
            <w:color w:val="505050"/>
          </w:rPr>
          <w:t>Professional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Viva Glint </w:t>
      </w:r>
    </w:p>
    <w:p>
      <w:pPr>
        <w:pStyle w:val="NormalWeb"/>
        <w:spacing w:after="150"/>
      </w:pPr>
      <w:r>
        <w:t xml:space="preserve">Viva Glint includes an Online Services component and a Supplemental Professional Services (as defined in the </w:t>
      </w:r>
      <w:hyperlink w:anchor="_Toc20" w:tooltip="Data Protection Addendum (DPA) means the Microsoft Products and Services Data Protection Addendum published at https://aka.ms/DPA." w:history="1">
        <w:r>
          <w:rPr>
            <w:rStyle w:val="Hyperlink"/>
            <w:color w:val="505050"/>
          </w:rPr>
          <w:t>DPA</w:t>
        </w:r>
      </w:hyperlink>
      <w:r>
        <w:t xml:space="preserve">) component. Viva Glint Supplemental Professional Services are subject to the Professional Services terms and the Supplemental Professional Services terms in the </w:t>
      </w:r>
      <w:hyperlink w:anchor="_Toc20" w:tooltip="Data Protection Addendum (DPA) means the Microsoft Products and Services Data Protection Addendum published at https://aka.ms/DPA." w:history="1">
        <w:r>
          <w:rPr>
            <w:rStyle w:val="Hyperlink"/>
            <w:color w:val="505050"/>
          </w:rPr>
          <w:t>DPA</w:t>
        </w:r>
      </w:hyperlink>
      <w:r>
        <w:t xml:space="preserve">. Delivery of Viva Glint Supplemental Professional Services requires Microsoft to store, process, and access Professional Services Data (as defined in the </w:t>
      </w:r>
      <w:hyperlink w:anchor="_Toc20" w:tooltip="Data Protection Addendum (DPA) means the Microsoft Products and Services Data Protection Addendum published at https://aka.ms/DPA." w:history="1">
        <w:r>
          <w:rPr>
            <w:rStyle w:val="Hyperlink"/>
            <w:color w:val="505050"/>
          </w:rPr>
          <w:t>DPA</w:t>
        </w:r>
      </w:hyperlink>
      <w:r>
        <w:t>). </w:t>
      </w:r>
    </w:p>
    <w:p>
      <w:pPr>
        <w:pStyle w:val="NormalWeb"/>
        <w:spacing w:before="150"/>
      </w:pPr>
      <w:r>
        <w:t>Users may access non-Microsoft third-party content through Viva Glint. Third-party content and any associated services are subject to the content provider's privacy and service terms.</w:t>
      </w:r>
    </w:p>
    <w:p>
      <w:pPr>
        <w:pStyle w:val="Heading5"/>
        <w:rPr>
          <w:rFonts w:eastAsia="Times New Roman"/>
        </w:rPr>
      </w:pPr>
      <w:r>
        <w:rPr>
          <w:rFonts w:eastAsia="Times New Roman"/>
        </w:rPr>
        <w:t>Definitions</w:t>
      </w:r>
    </w:p>
    <w:p>
      <w:pPr>
        <w:pStyle w:val="NormalWeb"/>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42" w:tgtFrame="_blank" w:history="1">
        <w:r>
          <w:rPr>
            <w:rStyle w:val="Hyperlink"/>
            <w:color w:val="505050"/>
          </w:rPr>
          <w:t>https://www.linkedin.com/legal/l/lsa.</w:t>
        </w:r>
      </w:hyperlink>
    </w:p>
    <w:p>
      <w:pPr>
        <w:pStyle w:val="NormalWeb"/>
        <w:spacing w:before="150"/>
      </w:pPr>
      <w:r>
        <w:rPr>
          <w:rStyle w:val="Strong"/>
        </w:rPr>
        <w:t>Entitlement Term</w:t>
      </w:r>
      <w:r>
        <w:t xml:space="preserve"> means the period from Qualified Customer's purchase of Viva Glint until the earliest of: 1) migration of Qualified Customer's data from Legacy Glint Services to Viva Glint; 2) the date that Qualified Customer declines migration of its data from Legacy Glint Services to Viva Glint; or 3) termination of Qualified Customer's Viva Glint enrollment or volume licensing agreement. </w:t>
      </w:r>
    </w:p>
    <w:p>
      <w:pPr>
        <w:pStyle w:val="Heading3"/>
        <w:spacing w:before="150" w:beforeAutospacing="0"/>
        <w:rPr>
          <w:rFonts w:eastAsia="Times New Roman"/>
          <w:color w:val="0078D4"/>
          <w:sz w:val="26"/>
          <w:szCs w:val="26"/>
        </w:rPr>
      </w:pPr>
      <w:r>
        <w:rPr>
          <w:rFonts w:eastAsia="Times New Roman"/>
          <w:color w:val="0078D4"/>
          <w:sz w:val="26"/>
          <w:szCs w:val="26"/>
        </w:rPr>
        <w:t>Microsoft Security Copilot Inclusion in Microsoft 365 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Copilot Security Compute Units in Microsoft 365 E5</w:t>
      </w:r>
    </w:p>
    <w:p>
      <w:pPr>
        <w:pStyle w:val="NormalWeb"/>
        <w:spacing w:after="150"/>
      </w:pPr>
      <w:r>
        <w:t>Each Microsoft 365 E5 subscription includes Security Copilot, with a monthly allocation of Security Compute Units (SCUs). [</w:t>
      </w:r>
      <w:hyperlink r:id="rId143" w:tgtFrame="_blank" w:history="1">
        <w:r>
          <w:rPr>
            <w:rStyle w:val="Hyperlink"/>
            <w:color w:val="505050"/>
          </w:rPr>
          <w:t>Learn more</w:t>
        </w:r>
      </w:hyperlink>
      <w:r>
        <w:t>] </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7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have active SA or an active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the corresponding Qualifying Licenses</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this Appendix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w:t>
      </w:r>
    </w:p>
    <w:p>
      <w:pPr>
        <w:pStyle w:val="Heading3"/>
        <w:spacing w:before="150" w:beforeAutospacing="0"/>
        <w:rPr>
          <w:rFonts w:eastAsia="Times New Roman"/>
          <w:color w:val="0078D4"/>
          <w:sz w:val="26"/>
          <w:szCs w:val="26"/>
        </w:rPr>
      </w:pPr>
      <w:r>
        <w:rPr>
          <w:rFonts w:eastAsia="Times New Roman"/>
          <w:color w:val="0078D4"/>
          <w:sz w:val="26"/>
          <w:szCs w:val="26"/>
        </w:rPr>
        <w:t>Microsoft 365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89"/>
        <w:gridCol w:w="50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Add-on for Microsoft 365 E3 (User SL)</w:t>
            </w:r>
          </w:p>
        </w:tc>
      </w:tr>
    </w:tbl>
    <w:p>
      <w:pPr>
        <w:rPr>
          <w:rFonts w:eastAsia="Times New Roman"/>
          <w:color w:val="0078D4"/>
          <w:sz w:val="26"/>
          <w:szCs w:val="26"/>
        </w:rPr>
      </w:pPr>
    </w:p>
    <w:p w:rsidR="00ED5159" w:rsidP="00ED5159">
      <w:pPr>
        <w:pStyle w:val="ProductList-OfferingGroupHeading"/>
        <w:outlineLvl w:val="1"/>
      </w:pPr>
      <w:r>
        <w:t>Microsoft Azure</w:t>
      </w:r>
      <w:r>
        <w:fldChar w:fldCharType="begin"/>
      </w:r>
      <w:r>
        <w:instrText xml:space="preserve"> TC </w:instrText>
      </w:r>
      <w:bookmarkStart w:id="51" w:name="_Toc256000040"/>
      <w:r>
        <w:instrText>"</w:instrText>
      </w:r>
      <w:r>
        <w:instrText>Microsoft Azure</w:instrText>
      </w:r>
      <w:r>
        <w:instrText>"</w:instrText>
      </w:r>
      <w:bookmarkEnd w:id="5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Azure Services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for Identity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for Identity Client Management License Add-on (User SL)</w:t>
            </w:r>
          </w:p>
        </w:tc>
        <w:tc>
          <w:tcPr/>
          <w:p w:rsidR="00A363CA" w:rsidP="00A363CA">
            <w:pPr>
              <w:pStyle w:val="ProductList-TableBody"/>
            </w:pPr>
            <w:r>
              <w:t>Additional Product</w:t>
            </w:r>
          </w:p>
        </w:tc>
      </w:tr>
    </w:tbl>
    <w:p>
      <w:pPr>
        <w:pStyle w:val="NormalWeb"/>
      </w:pPr>
      <w:r>
        <w:rPr>
          <w:i/>
          <w:iCs/>
        </w:rPr>
        <w:t>*Also available through Microsoft Customer Agreement and Reduction Eligible when acquired under that agreement.</w:t>
      </w:r>
    </w:p>
    <w:p>
      <w:pPr>
        <w:pStyle w:val="Heading3"/>
        <w:spacing w:before="150" w:beforeAutospacing="0"/>
        <w:rPr>
          <w:rFonts w:eastAsia="Times New Roman"/>
          <w:color w:val="0078D4"/>
          <w:sz w:val="26"/>
          <w:szCs w:val="26"/>
        </w:rPr>
      </w:pPr>
      <w:r>
        <w:rPr>
          <w:rFonts w:eastAsia="Times New Roman"/>
          <w:color w:val="0078D4"/>
          <w:sz w:val="26"/>
          <w:szCs w:val="26"/>
        </w:rPr>
        <w:t>Product Conditions: </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hyperlink r:id="rId25" w:tgtFrame="_blank" w:history="1">
              <w:r>
                <w:rPr>
                  <w:rStyle w:val="Hyperlink"/>
                  <w:color w:val="505050"/>
                </w:rPr>
                <w:t>Universal License Terms for Online Services</w:t>
              </w:r>
            </w:hyperlink>
            <w:r>
              <w:t xml:space="preserve"> (For Azure Virtual Desktop per user access, Windows operating system is governed by the </w:t>
            </w:r>
            <w:hyperlink r:id="rId118" w:tgtFrame="_blank" w:history="1">
              <w:r>
                <w:rPr>
                  <w:rStyle w:val="Hyperlink"/>
                  <w:color w:val="505050"/>
                </w:rPr>
                <w:t>Universal License Terms for all Software</w:t>
              </w:r>
            </w:hyperlink>
            <w:r>
              <w:t xml:space="preserve"> and includes specific terms in </w:t>
            </w:r>
            <w:hyperlink r:id="rId38" w:tgtFrame="_blank" w:history="1">
              <w:r>
                <w:rPr>
                  <w:rStyle w:val="Hyperlink"/>
                  <w:color w:val="505050"/>
                </w:rPr>
                <w:t>Windows Desktop Operating System</w:t>
              </w:r>
            </w:hyperlink>
            <w:r>
              <w:t xml:space="preserve"> terms).</w:t>
            </w:r>
          </w:p>
          <w:p>
            <w:pPr>
              <w:pStyle w:val="NormalWeb"/>
              <w:spacing w:before="150"/>
            </w:pPr>
            <w:r>
              <w:t xml:space="preserve">Azure Kubernetes Service Edge Essentials is governed by the </w:t>
            </w:r>
            <w:hyperlink r:id="rId118" w:tgtFrame="_blank" w:history="1">
              <w:r>
                <w:rPr>
                  <w:rStyle w:val="Hyperlink"/>
                  <w:color w:val="505050"/>
                </w:rPr>
                <w:t>Universal License Terms for all Software</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F1; Microsoft Entra ID F2</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44" w:tgtFrame="_blank"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Product Categories</w:t>
      </w:r>
    </w:p>
    <w:p>
      <w:pPr>
        <w:pStyle w:val="NormalWeb"/>
        <w:spacing w:after="150"/>
      </w:pPr>
      <w:r>
        <w:t>This table highlights which Azure products fall under the categories of Microsoft Azure User Plans, Microsoft Azure Support Plans, and Microsoft Azure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371"/>
        <w:gridCol w:w="795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Category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User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Plan 1, 2 &amp; F2 (User SL), Microsoft Defender for Identity &amp; F1 (User SL), Microsoft Defender for Identity Client Management License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Active Professional Direct Support, Azure Active Standard Support, Microsoft Azure StorSimple Premium &amp; Standard Support, Microsoft Azure StorSimple Standard Support to Premium Support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Microsoft Azure Services means the Microsoft services and features identified at http://azure.microsoft.com/services/, except those licensed separately. See Glossary for full definition." w:history="1">
              <w:r>
                <w:rPr>
                  <w:rStyle w:val="Hyperlink"/>
                  <w:rFonts w:ascii="Segoe UI" w:eastAsia="Times New Roman" w:hAnsi="Segoe UI" w:cs="Segoe UI"/>
                  <w:sz w:val="16"/>
                  <w:szCs w:val="16"/>
                </w:rPr>
                <w:t>Microsoft Azure Services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 (per Device), Microsoft Translator API, Microsoft Azure Services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Services Plans</w:t>
      </w:r>
    </w:p>
    <w:p>
      <w:pPr>
        <w:pStyle w:val="NormalWeb"/>
        <w:spacing w:after="150"/>
      </w:pPr>
      <w:r>
        <w:t xml:space="preserve">If subscribed to by Customer as a </w:t>
      </w:r>
      <w:hyperlink w:anchor="_Toc20"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individual Microsoft Azure Services may have different program availability or be subject to different terms.  Other than Azure Stack Hub, Services purchased as a </w:t>
      </w:r>
      <w:hyperlink w:anchor="_Toc20"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are not eligible for the Azure Customer Solution clause in the General Service Terms for Azure.</w:t>
      </w:r>
    </w:p>
    <w:p>
      <w:pPr>
        <w:pStyle w:val="Heading3"/>
        <w:spacing w:before="150" w:beforeAutospacing="0"/>
        <w:rPr>
          <w:rFonts w:eastAsia="Times New Roman"/>
          <w:color w:val="0078D4"/>
          <w:sz w:val="26"/>
          <w:szCs w:val="26"/>
        </w:rPr>
      </w:pPr>
      <w:r>
        <w:rPr>
          <w:rFonts w:eastAsia="Times New Roman"/>
          <w:color w:val="0078D4"/>
          <w:sz w:val="26"/>
          <w:szCs w:val="26"/>
        </w:rPr>
        <w:t>Subscription Term</w:t>
      </w:r>
    </w:p>
    <w:p>
      <w:pPr>
        <w:pStyle w:val="NormalWeb"/>
        <w:spacing w:after="150"/>
      </w:pPr>
      <w:r>
        <w:t xml:space="preserve">Except as described below for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Customer may only subscribe to Microsoft Azure Services (including </w:t>
      </w:r>
      <w:hyperlink w:anchor="_Toc20"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Plans</w:t>
        </w:r>
      </w:hyperlink>
      <w:r>
        <w:t>) for a subscription term that ends on the end date of Customer's Enrollment ("coterminous"). Customer must have at least two months remaining in its Enrollment term in order to subscribe to Microsoft Azure Services.</w:t>
      </w:r>
    </w:p>
    <w:p>
      <w:pPr>
        <w:pStyle w:val="Heading3"/>
        <w:spacing w:before="150" w:beforeAutospacing="0"/>
        <w:rPr>
          <w:rFonts w:eastAsia="Times New Roman"/>
          <w:color w:val="0078D4"/>
          <w:sz w:val="26"/>
          <w:szCs w:val="26"/>
        </w:rPr>
      </w:pPr>
      <w:r>
        <w:rPr>
          <w:rFonts w:eastAsia="Times New Roman"/>
          <w:color w:val="0078D4"/>
          <w:sz w:val="26"/>
          <w:szCs w:val="26"/>
        </w:rPr>
        <w:t>Purchasing Microsoft Azure Services</w:t>
      </w:r>
    </w:p>
    <w:p>
      <w:pPr>
        <w:pStyle w:val="NormalWeb"/>
        <w:spacing w:after="150"/>
      </w:pPr>
      <w:r>
        <w:t>Microsoft Azure Services may be purchased in one or a combination of the following ways:</w:t>
      </w:r>
    </w:p>
    <w:p>
      <w:pPr>
        <w:pStyle w:val="NormalWeb"/>
        <w:spacing w:before="150"/>
      </w:pPr>
      <w:r>
        <w:rPr>
          <w:rStyle w:val="Strong"/>
        </w:rPr>
        <w:t>Azure prepayment</w:t>
      </w:r>
      <w:r>
        <w:t xml:space="preserve">: Customer will have access to its entire </w:t>
      </w:r>
      <w:hyperlink w:anchor="_Toc20"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throughout the term of its Enrollment if Customer agrees to be invoiced for the full amount upfront (the "Fully Prepaid Option"). Alternatively, if Customer elects to be invoiced for its </w:t>
      </w:r>
      <w:hyperlink w:anchor="_Toc20"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on an annual basis, Customer will have access to an </w:t>
      </w:r>
      <w:hyperlink w:anchor="_Toc20"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each year of the Enrollment (the "Annually Prepaid Option"). Under the Fully Prepaid Option, any unused </w:t>
      </w:r>
      <w:hyperlink w:anchor="_Toc20"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will be forfeited at the end of the Enrollment, and under the Annually Prepaid Option, any unused </w:t>
      </w:r>
      <w:hyperlink w:anchor="_Toc20"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will be forfeited on the following Enrollment anniversary date. Customer may contact Microsoft or Customer's reseller about increasing its </w:t>
      </w:r>
      <w:hyperlink w:anchor="_Toc20"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or reducing its </w:t>
      </w:r>
      <w:hyperlink w:anchor="_Toc20"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for any future Enrollment anniversary. Customer's reseller (if any) must process reductions with Microsoft prior to the next anniversary.</w:t>
      </w:r>
    </w:p>
    <w:p>
      <w:pPr>
        <w:pStyle w:val="NormalWeb"/>
        <w:spacing w:before="150"/>
      </w:pPr>
      <w:r>
        <w:rPr>
          <w:rStyle w:val="Strong"/>
        </w:rPr>
        <w:t>Consumption</w:t>
      </w:r>
      <w:r>
        <w:t>: Customer pays based on the amount of Microsoft Azure Services consumed during a billing period. Certain features of the Microsoft Azure Services may only be available for purchase on a consumption basis.</w:t>
      </w:r>
    </w:p>
    <w:p>
      <w:pPr>
        <w:pStyle w:val="NormalWeb"/>
        <w:spacing w:before="150"/>
      </w:pPr>
      <w:r>
        <w:rPr>
          <w:rStyle w:val="Strong"/>
        </w:rPr>
        <w:t>Microsoft Azure Services Plan</w:t>
      </w:r>
      <w:r>
        <w:t xml:space="preserve">: Customer may be able to subscribe to a Microsoft Azure Service as a </w:t>
      </w:r>
      <w:hyperlink w:anchor="_Toc20"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w:t>
      </w:r>
    </w:p>
    <w:p>
      <w:pPr>
        <w:pStyle w:val="NormalWeb"/>
        <w:spacing w:before="150"/>
      </w:pPr>
      <w:r>
        <w:rPr>
          <w:rStyle w:val="Strong"/>
        </w:rPr>
        <w:t>Automatic Provisioning</w:t>
      </w:r>
      <w:r>
        <w:t xml:space="preserve">: As part of the Server and Cloud Enrollment, Customers who have not ordered Microsoft Azure Services as part of their Enrollment may receive an activation email from Microsoft inviting them to provision Microsoft Azure Services under their Enrollment without an </w:t>
      </w:r>
      <w:hyperlink w:anchor="_Toc20" w:tooltip="Azure prepayment means the total monetary amount a customer commits to pay during the term of the subscription for its use of eligible Microsoft Azure Services." w:history="1">
        <w:r>
          <w:rPr>
            <w:rStyle w:val="Hyperlink"/>
            <w:color w:val="505050"/>
          </w:rPr>
          <w:t>Azure prepayment</w:t>
        </w:r>
      </w:hyperlink>
      <w:r>
        <w:t>.</w:t>
      </w:r>
    </w:p>
    <w:p>
      <w:pPr>
        <w:pStyle w:val="NormalWeb"/>
        <w:spacing w:before="150"/>
      </w:pPr>
      <w:r>
        <w:rPr>
          <w:rStyle w:val="Strong"/>
        </w:rPr>
        <w:t>Azure reservations</w:t>
      </w:r>
      <w:r>
        <w:t xml:space="preserve">: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are purchased for specified terms of up to three years with either a single upfront payment or equal monthly payments (when available).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expire at the end of the specified term. Customer will not be refunded payment (paid or scheduled) for unused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reservations</w:t>
        </w:r>
      </w:hyperlink>
      <w:r>
        <w:t>.  Using Azure commitment tiers, Customers pay upfront monthly for connected containers and Azure usage. Overage will be invoiced when usage exceeds the commitment tier limit. For disconnected containers, Azure commitment tier payments are made upfront yearly, except for disconnected container proof of concept (POC) SKUs, which have a one month prorated price. Customers can renew the POC license automatically up to two times, allowing for three months of total usage of a POC SKU.</w:t>
      </w:r>
    </w:p>
    <w:p>
      <w:pPr>
        <w:pStyle w:val="NormalWeb"/>
        <w:spacing w:before="150"/>
      </w:pPr>
      <w:r>
        <w:rPr>
          <w:rStyle w:val="Strong"/>
        </w:rPr>
        <w:t>Azure compute savings plan</w:t>
      </w:r>
      <w:r>
        <w:t xml:space="preserve">: </w:t>
      </w:r>
      <w:hyperlink w:anchor="_Toc20"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is purchased for specified terms of up to three years with either a single upfront payment or equal monthly payments (when available). </w:t>
      </w:r>
      <w:hyperlink w:anchor="_Toc20"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expires at the end of the specified term. Customer will not be refunded payment (paid or scheduled) for unused </w:t>
      </w:r>
      <w:hyperlink w:anchor="_Toc20"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w:t>
      </w:r>
      <w:hyperlink w:anchor="_Toc20"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s are noncancellable. Customer will owe the amount charged for the plan for the duration of the selected term, even if the Agreement is terminated. Notwithstanding the terms in Customer's volume licensing agreement, fixed pricing does not apply to </w:t>
      </w:r>
      <w:hyperlink w:anchor="_Toc20" w:tooltip="Azure compute savings plan means a commitment to spend a specified monetary amount each hour on eligible Microsoft Azure Services for a specified term." w:history="1">
        <w:r>
          <w:rPr>
            <w:rStyle w:val="Hyperlink"/>
            <w:color w:val="505050"/>
          </w:rPr>
          <w:t>Azure compute savings plan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Pricing</w:t>
      </w:r>
    </w:p>
    <w:p>
      <w:pPr>
        <w:pStyle w:val="NormalWeb"/>
        <w:spacing w:after="150"/>
      </w:pPr>
      <w:r>
        <w:t xml:space="preserve">Microsoft may offer lower prices to Customer (or Customer's reseller) for individual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during Customer's Enrollment term on a permanent or temporary (promotional) basis. Fixed pricing does not apply to promotions and previews.</w:t>
      </w:r>
    </w:p>
    <w:p>
      <w:pPr>
        <w:pStyle w:val="NormalWeb"/>
        <w:spacing w:before="150"/>
      </w:pPr>
      <w:r>
        <w:t>Notwithstanding the terms in Customer's volume licensing agreement, fixed pricing does not apply to Azure reservations, Azure spot, or Azure Communication Services. Customer can refer to the Azure portal for current pricing including adjustments for FX rates.</w:t>
      </w:r>
    </w:p>
    <w:p>
      <w:pPr>
        <w:pStyle w:val="NormalWeb"/>
        <w:spacing w:before="150"/>
      </w:pPr>
      <w:r>
        <w:rPr>
          <w:rStyle w:val="Strong"/>
        </w:rPr>
        <w:t>Azure Spot</w:t>
      </w:r>
      <w:r>
        <w:t>: Customer can refer to the Azure portal for pricing adjustments. Customer's access to a given Azure Spot virtual machine is temporary and may be interrupted at any time. Customer may elect to be notified immediately prior to workload interruption.</w:t>
      </w:r>
    </w:p>
    <w:p>
      <w:pPr>
        <w:pStyle w:val="Heading3"/>
        <w:spacing w:before="150" w:beforeAutospacing="0"/>
        <w:rPr>
          <w:rFonts w:eastAsia="Times New Roman"/>
          <w:color w:val="0078D4"/>
          <w:sz w:val="26"/>
          <w:szCs w:val="26"/>
        </w:rPr>
      </w:pPr>
      <w:r>
        <w:rPr>
          <w:rFonts w:eastAsia="Times New Roman"/>
          <w:color w:val="0078D4"/>
          <w:sz w:val="26"/>
          <w:szCs w:val="26"/>
        </w:rPr>
        <w:t>Payment and Fees</w:t>
      </w:r>
    </w:p>
    <w:p>
      <w:pPr>
        <w:pStyle w:val="NormalWeb"/>
        <w:spacing w:after="150"/>
      </w:pPr>
      <w:r>
        <w:t>This table highlights which Azure Product categories are eligible for the Payment and Fees options below. Please reference the Product Category table above for eligible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27"/>
        <w:gridCol w:w="550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Payment and Fees options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Eligible Products*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Using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Invoicing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 Invoicing Azure prepayment 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Consumption Invoicing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 Azure Services Plan Invoice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 Microsoft Azure User Plans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 Azure reservations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 Azure compute savings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bl>
    <w:p>
      <w:pPr>
        <w:pStyle w:val="NormalWeb"/>
      </w:pPr>
      <w:r>
        <w:t>*Some Products may not be eligible for certain Payment and Fees scenarios. Please refer to the Azure Portal or Pricing Calculator (</w:t>
      </w:r>
      <w:hyperlink r:id="rId145" w:tgtFrame="_blank" w:history="1">
        <w:r>
          <w:rPr>
            <w:rStyle w:val="Hyperlink"/>
            <w:color w:val="505050"/>
          </w:rPr>
          <w:t>https://azure.microsoft.com/pricing/calculator/</w:t>
        </w:r>
      </w:hyperlink>
      <w:r>
        <w:t>) for more information on availability.</w:t>
      </w:r>
    </w:p>
    <w:p>
      <w:pPr>
        <w:numPr>
          <w:ilvl w:val="0"/>
          <w:numId w:val="20"/>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Using Azure prepayment</w:t>
      </w:r>
      <w:r>
        <w:rPr>
          <w:rFonts w:ascii="Segoe UI" w:eastAsia="Times New Roman" w:hAnsi="Segoe UI" w:cs="Segoe UI"/>
          <w:color w:val="505050"/>
          <w:sz w:val="18"/>
          <w:szCs w:val="18"/>
        </w:rPr>
        <w:t xml:space="preserve">: Each month, Microsoft will deduct from Customer's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2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the monetary value of Customer's usage of eligible Microsoft Azure Services. Once Customer's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2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balance has been exhausted, any additional usage will be invoiced at </w:t>
      </w:r>
      <w:hyperlink w:anchor="_Toc2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(as described below).</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w:t>
      </w:r>
      <w:r>
        <w:rPr>
          <w:rFonts w:ascii="Segoe UI" w:eastAsia="Times New Roman" w:hAnsi="Segoe UI" w:cs="Segoe UI"/>
          <w:color w:val="505050"/>
          <w:sz w:val="18"/>
          <w:szCs w:val="18"/>
        </w:rPr>
        <w:t xml:space="preserve"> If Customer elects the Fully Prepaid Option,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will be invoiced immediately. If Customers elects the Annually Prepaid Option, the first </w:t>
      </w:r>
      <w:hyperlink w:anchor="_Toc2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will be invoiced immediately, and future </w:t>
      </w:r>
      <w:hyperlink w:anchor="_Toc2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s will be invoiced on the anniversary of the Enrollment effective date.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 overage</w:t>
      </w:r>
      <w:r>
        <w:rPr>
          <w:rFonts w:ascii="Segoe UI" w:eastAsia="Times New Roman" w:hAnsi="Segoe UI" w:cs="Segoe UI"/>
          <w:color w:val="505050"/>
          <w:sz w:val="18"/>
          <w:szCs w:val="18"/>
        </w:rPr>
        <w:t xml:space="preserve">: If Customer's usage is higher than either its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under the Fully Prepaid Option or its </w:t>
      </w:r>
      <w:hyperlink w:anchor="_Toc20"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under the Annually Prepaid Option, such excess will be invoiced at </w:t>
      </w:r>
      <w:hyperlink w:anchor="_Toc2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to Customer (or its reseller) at the end of each Enrollment month.</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Consumption invoicing</w:t>
      </w:r>
      <w:r>
        <w:rPr>
          <w:rFonts w:ascii="Segoe UI" w:eastAsia="Times New Roman" w:hAnsi="Segoe UI" w:cs="Segoe UI"/>
          <w:color w:val="505050"/>
          <w:sz w:val="18"/>
          <w:szCs w:val="18"/>
        </w:rPr>
        <w:t xml:space="preserve">: If Customer provisions Microsoft Azure Services without a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it (or its reseller) will be invoiced monthly at </w:t>
      </w:r>
      <w:hyperlink w:anchor="_Toc2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All usage of the Microsoft Azure Services after the expiration or termination of Customer's subscription term will be invoiced to Customer (or its reseller) at then-current </w:t>
      </w:r>
      <w:hyperlink w:anchor="_Toc2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on a monthly basis.</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Services Plan invoice</w:t>
      </w:r>
      <w:r>
        <w:rPr>
          <w:rFonts w:ascii="Segoe UI" w:eastAsia="Times New Roman" w:hAnsi="Segoe UI" w:cs="Segoe UI"/>
          <w:color w:val="505050"/>
          <w:sz w:val="18"/>
          <w:szCs w:val="18"/>
        </w:rPr>
        <w:t xml:space="preserve">: The purchase of a </w:t>
      </w:r>
      <w:hyperlink w:anchor="_Toc20"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will be invoiced to Customer (or its reseller) either on an upfront or annual basis, according to the terms of Customer's volume licensing agreement governing payment terms for the order of Online Services generally.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cannot be applied to the purchase of a </w:t>
      </w:r>
      <w:hyperlink w:anchor="_Toc20"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provided, however, that if a </w:t>
      </w:r>
      <w:hyperlink w:anchor="_Toc20"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includes the purchase of an initial quantity of a service ("Initial Quantity"), Customer usage that exceeds the Initial Quantity will be billed at </w:t>
      </w:r>
      <w:hyperlink w:anchor="_Toc20"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and Customer's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 be applied to such usage.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reservations</w:t>
      </w:r>
      <w:r>
        <w:rPr>
          <w:rFonts w:ascii="Segoe UI" w:eastAsia="Times New Roman" w:hAnsi="Segoe UI" w:cs="Segoe UI"/>
          <w:color w:val="505050"/>
          <w:sz w:val="18"/>
          <w:szCs w:val="18"/>
        </w:rPr>
        <w:t xml:space="preserve">: The purchase of </w:t>
      </w:r>
      <w:hyperlink w:anchor="_Toc2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will be deducted automatically from any available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2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exceeds the available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2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Azure reserved instances for a virtual machine or Azure SQL Database services cover compute only (the base rate) and do not include the cost of the software (e.g., Windows Server or SQL Server), storage or back-up. Conversely, Azure reserved instances for software do not include the cost of compute. </w:t>
      </w:r>
    </w:p>
    <w:p>
      <w:pPr>
        <w:numPr>
          <w:ilvl w:val="0"/>
          <w:numId w:val="20"/>
        </w:numPr>
        <w:spacing w:before="100" w:beforeAutospacing="1" w:line="240" w:lineRule="auto"/>
        <w:ind w:left="600"/>
        <w:rPr>
          <w:rFonts w:ascii="Segoe UI" w:eastAsia="Times New Roman" w:hAnsi="Segoe UI" w:cs="Segoe UI"/>
          <w:color w:val="505050"/>
          <w:sz w:val="18"/>
          <w:szCs w:val="18"/>
        </w:rPr>
      </w:pPr>
      <w:hyperlink w:anchor="_Toc2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The purchase of </w:t>
      </w:r>
      <w:hyperlink w:anchor="_Toc2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will be deducted automatically from any available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2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exceeds the available </w:t>
      </w:r>
      <w:hyperlink w:anchor="_Toc20"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2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w:t>
      </w:r>
      <w:hyperlink w:anchor="_Toc20"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covers compute only (the base rate) and does not include the cost of the software (e.g., Windows Server or SQL Server), storage or back-up.</w:t>
      </w:r>
    </w:p>
    <w:p>
      <w:pPr>
        <w:pStyle w:val="Heading3"/>
        <w:spacing w:before="150" w:beforeAutospacing="0"/>
        <w:rPr>
          <w:rFonts w:eastAsia="Times New Roman"/>
          <w:color w:val="0078D4"/>
          <w:sz w:val="26"/>
          <w:szCs w:val="26"/>
        </w:rPr>
      </w:pPr>
      <w:r>
        <w:rPr>
          <w:rFonts w:eastAsia="Times New Roman"/>
          <w:color w:val="0078D4"/>
          <w:sz w:val="26"/>
          <w:szCs w:val="26"/>
        </w:rPr>
        <w:t>Five Year Reservations for Azure VMs</w:t>
      </w:r>
    </w:p>
    <w:p>
      <w:pPr>
        <w:pStyle w:val="NormalWeb"/>
        <w:spacing w:after="150"/>
      </w:pPr>
      <w:r>
        <w:t xml:space="preserve">As an exception to the general terms for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we offer five year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terms for select VM families. The early termination fee for a five-year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is 35%. Microsoft reserves the right during a five-year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to move Customer to a newer version of the HB series for reasons including, but not limited to, unavailability of parts for maintenance or lack of support from the hardware vendor. In such cases, the new version and hardware configuration will provide at least the same level of performance.</w:t>
      </w:r>
    </w:p>
    <w:p>
      <w:pPr>
        <w:pStyle w:val="Heading3"/>
        <w:spacing w:before="150" w:beforeAutospacing="0"/>
        <w:rPr>
          <w:rFonts w:eastAsia="Times New Roman"/>
          <w:color w:val="0078D4"/>
          <w:sz w:val="26"/>
          <w:szCs w:val="26"/>
        </w:rPr>
      </w:pPr>
      <w:r>
        <w:rPr>
          <w:rFonts w:eastAsia="Times New Roman"/>
          <w:color w:val="0078D4"/>
          <w:sz w:val="26"/>
          <w:szCs w:val="26"/>
        </w:rPr>
        <w:t>Azure Reservation Options</w:t>
      </w:r>
    </w:p>
    <w:p>
      <w:pPr>
        <w:pStyle w:val="NormalWeb"/>
        <w:spacing w:after="150"/>
      </w:pPr>
      <w:r>
        <w:t xml:space="preserve">The following options apply to </w:t>
      </w:r>
      <w:hyperlink w:anchor="_Toc20"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Customer has purchased.</w:t>
      </w:r>
    </w:p>
    <w:p>
      <w:pPr>
        <w:numPr>
          <w:ilvl w:val="0"/>
          <w:numId w:val="75"/>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Exchange</w:t>
      </w:r>
      <w:r>
        <w:rPr>
          <w:rFonts w:ascii="Segoe UI" w:eastAsia="Times New Roman" w:hAnsi="Segoe UI" w:cs="Segoe UI"/>
          <w:color w:val="505050"/>
          <w:sz w:val="18"/>
          <w:szCs w:val="18"/>
        </w:rPr>
        <w:t xml:space="preserve">: is an option that allows Customer to apply the monetary value of a remaining </w:t>
      </w:r>
      <w:hyperlink w:anchor="_Toc2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to the purchase of one or more new </w:t>
      </w:r>
      <w:hyperlink w:anchor="_Toc2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of equal or greater monetary value for the same service.</w:t>
      </w:r>
    </w:p>
    <w:p>
      <w:pPr>
        <w:numPr>
          <w:ilvl w:val="0"/>
          <w:numId w:val="75"/>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Cancel</w:t>
      </w:r>
      <w:r>
        <w:rPr>
          <w:rFonts w:ascii="Segoe UI" w:eastAsia="Times New Roman" w:hAnsi="Segoe UI" w:cs="Segoe UI"/>
          <w:color w:val="505050"/>
          <w:sz w:val="18"/>
          <w:szCs w:val="18"/>
        </w:rPr>
        <w:t xml:space="preserve">: is an option that allows Customer to receive a prorated refund based on a remaining </w:t>
      </w:r>
      <w:hyperlink w:anchor="_Toc20"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minus an early termination fee (currently 12 percent) and subject to a cancellation limit set by Microsoft (currently $50,000 per year).</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Azure Hybrid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Windows Server</w:t>
      </w:r>
    </w:p>
    <w:p>
      <w:pPr>
        <w:pStyle w:val="NormalWeb"/>
        <w:spacing w:after="150"/>
      </w:pPr>
      <w:r>
        <w:t>Customer may use the Microsoft Azure Hybrid Benefit in its own Microsoft Azure account. Customer may use Standard or Datacenter software. The following Windows Server licenses with an active subscription or Software Assurance are eligible for the Microsoft Azure Hybrid Benefit:</w:t>
      </w:r>
    </w:p>
    <w:p>
      <w:pPr>
        <w:numPr>
          <w:ilvl w:val="0"/>
          <w:numId w:val="7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core licenses</w:t>
      </w:r>
    </w:p>
    <w:p>
      <w:pPr>
        <w:numPr>
          <w:ilvl w:val="0"/>
          <w:numId w:val="7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processor licenses</w:t>
      </w:r>
    </w:p>
    <w:p>
      <w:pPr>
        <w:numPr>
          <w:ilvl w:val="1"/>
          <w:numId w:val="7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Each processor license is equivalent to 16 core licenses.</w:t>
      </w:r>
    </w:p>
    <w:p>
      <w:pPr>
        <w:pStyle w:val="Heading5"/>
        <w:rPr>
          <w:rFonts w:eastAsia="Times New Roman"/>
        </w:rPr>
      </w:pPr>
      <w:r>
        <w:rPr>
          <w:rFonts w:eastAsia="Times New Roman"/>
        </w:rPr>
        <w:t>License Allocation for VM Licensing</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eligible core licenses to cover all Virtual Cores on the VM(s) that are running.</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minimum number of core licenses required per VM is 8.</w:t>
      </w:r>
    </w:p>
    <w:p>
      <w:pPr>
        <w:pStyle w:val="Heading5"/>
        <w:rPr>
          <w:rFonts w:eastAsia="Times New Roman"/>
        </w:rPr>
      </w:pPr>
      <w:r>
        <w:rPr>
          <w:rFonts w:eastAsia="Times New Roman"/>
        </w:rPr>
        <w:t>License Allocation for Dedicated Host Licensing (Datacenter only)</w:t>
      </w:r>
    </w:p>
    <w:p>
      <w:pPr>
        <w:numPr>
          <w:ilvl w:val="0"/>
          <w:numId w:val="7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Windows Server Datacenter core licenses to cover all Physical Cores available to Customer on a Dedicated Host.</w:t>
      </w:r>
    </w:p>
    <w:p>
      <w:pPr>
        <w:numPr>
          <w:ilvl w:val="0"/>
          <w:numId w:val="7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run unlimited Virtual Machines on that host/cluster.</w:t>
      </w:r>
    </w:p>
    <w:p>
      <w:pPr>
        <w:pStyle w:val="Heading5"/>
        <w:rPr>
          <w:rFonts w:eastAsia="Times New Roman"/>
        </w:rPr>
      </w:pPr>
      <w:r>
        <w:rPr>
          <w:rFonts w:eastAsia="Times New Roman"/>
        </w:rPr>
        <w:t>Azure Migration Allowance</w:t>
      </w:r>
    </w:p>
    <w:p>
      <w:pPr>
        <w:pStyle w:val="NormalWeb"/>
      </w:pPr>
      <w:r>
        <w:t>Aside from the migration allowances below, once licenses are allocated to Azure, Customer may not use them anywhere else. After at least 90 days have passed, Customer may elect to stop using them for the Azure Hybrid Benefit. </w:t>
      </w:r>
    </w:p>
    <w:p>
      <w:pPr>
        <w:numPr>
          <w:ilvl w:val="0"/>
          <w:numId w:val="78"/>
        </w:numPr>
        <w:spacing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VM Licensing</w:t>
      </w:r>
    </w:p>
    <w:p>
      <w:pPr>
        <w:numPr>
          <w:ilvl w:val="1"/>
          <w:numId w:val="7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 When migrating workloads to Azure, Customer may also continue to use its licensed software on devices for a period of 180 days from when the licenses are allocated to Azure.</w:t>
      </w:r>
    </w:p>
    <w:p>
      <w:pPr>
        <w:numPr>
          <w:ilvl w:val="1"/>
          <w:numId w:val="7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Datacenter: When migrating workloads to Azure, Customer may also continue to use its licensed software on devices indefinitely.</w:t>
      </w:r>
    </w:p>
    <w:p>
      <w:pPr>
        <w:numPr>
          <w:ilvl w:val="0"/>
          <w:numId w:val="78"/>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Dedicated Host Licensing</w:t>
      </w:r>
    </w:p>
    <w:p>
      <w:pPr>
        <w:numPr>
          <w:ilvl w:val="1"/>
          <w:numId w:val="7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SQL Server</w:t>
      </w:r>
    </w:p>
    <w:p>
      <w:pPr>
        <w:pStyle w:val="NormalWeb"/>
        <w:spacing w:after="150"/>
      </w:pPr>
      <w:r>
        <w:t>Customer may use the Microsoft Azure Hybrid Benefit in its own Microsoft Azure account. The Qualified Licenses in the table below may be used for the Microsoft Azure Data Service in the specified ratios.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00"/>
        <w:gridCol w:w="5274"/>
        <w:gridCol w:w="24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Qualified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Data Service</w:t>
            </w:r>
            <w:r>
              <w:rPr>
                <w:rFonts w:ascii="Segoe UI" w:eastAsia="Times New Roman" w:hAnsi="Segoe UI" w:cs="Segoe UI"/>
                <w:b/>
                <w:b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Ratio of Qualified Licenses to Azure vCores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vCPUs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 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bl>
    <w:p>
      <w:pPr>
        <w:pStyle w:val="NormalWeb"/>
      </w:pPr>
      <w:r>
        <w:rPr>
          <w:vertAlign w:val="superscript"/>
        </w:rPr>
        <w:t>1</w:t>
      </w:r>
      <w:r>
        <w:rPr>
          <w:i/>
          <w:iCs/>
        </w:rPr>
        <w:t>Azure Hybrid Benefit is not available in the serverless compute tier of Azure SQL Database.</w:t>
      </w:r>
    </w:p>
    <w:p>
      <w:pPr>
        <w:pStyle w:val="NormalWeb"/>
        <w:spacing w:before="150"/>
      </w:pPr>
      <w:r>
        <w:rPr>
          <w:i/>
          <w:iCs/>
          <w:vertAlign w:val="superscript"/>
        </w:rPr>
        <w:t>2</w:t>
      </w:r>
      <w:r>
        <w:rPr>
          <w:i/>
          <w:iCs/>
        </w:rPr>
        <w:t>Subject to a minimum of four Core Licenses per Virtual Machine.</w:t>
      </w:r>
    </w:p>
    <w:p>
      <w:pPr>
        <w:pStyle w:val="Heading5"/>
        <w:rPr>
          <w:rFonts w:eastAsia="Times New Roman"/>
        </w:rPr>
      </w:pPr>
      <w:r>
        <w:rPr>
          <w:rFonts w:eastAsia="Times New Roman"/>
        </w:rPr>
        <w:t>Azure Migration Allowance</w:t>
      </w:r>
    </w:p>
    <w:p>
      <w:pPr>
        <w:pStyle w:val="NormalWeb"/>
      </w:pPr>
      <w:r>
        <w:t>Aside from the migration allowance below, once licenses are allocated to Azure, Customer may not use them anywhere else. After at least 90 days have passed, Customer may elect to stop using them for the Azure Hybrid Benefit. </w:t>
      </w:r>
    </w:p>
    <w:p>
      <w:pPr>
        <w:numPr>
          <w:ilvl w:val="0"/>
          <w:numId w:val="7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5"/>
        <w:rPr>
          <w:rFonts w:eastAsia="Times New Roman"/>
        </w:rPr>
      </w:pPr>
      <w:r>
        <w:rPr>
          <w:rFonts w:eastAsia="Times New Roman"/>
        </w:rPr>
        <w:t>Fail-over Rights for SQL Server Standard/Enterprise Virtual Machines</w:t>
      </w:r>
    </w:p>
    <w:p>
      <w:pPr>
        <w:pStyle w:val="NormalWeb"/>
      </w:pPr>
      <w:r>
        <w:t>When allocating SQL Server Licenses for use under the Azure Hybrid Benefit for SQL Server, Customer is entitled to the respective fail-over rights for the Azure service in use (see Service Specific Terms below).</w:t>
      </w:r>
    </w:p>
    <w:p>
      <w:pPr>
        <w:pStyle w:val="Heading5"/>
        <w:rPr>
          <w:rFonts w:eastAsia="Times New Roman"/>
        </w:rPr>
      </w:pPr>
      <w:r>
        <w:rPr>
          <w:rFonts w:eastAsia="Times New Roman"/>
        </w:rPr>
        <w:t>SQL Server Enterprise Core Unlimited Virtualization Rights</w:t>
      </w:r>
    </w:p>
    <w:p>
      <w:pPr>
        <w:pStyle w:val="NormalWeb"/>
      </w:pPr>
      <w:r>
        <w:t>Customer may alternatively allocate enough SQL Server Enterprise core licenses to cover all Physical Cores available to Customer on an Azure Dedicated Host and run unlimited Virtual Machines on that host.</w:t>
      </w:r>
    </w:p>
    <w:p>
      <w:pPr>
        <w:pStyle w:val="Heading5"/>
        <w:rPr>
          <w:rFonts w:eastAsia="Times New Roman"/>
        </w:rPr>
      </w:pPr>
      <w:r>
        <w:rPr>
          <w:rFonts w:eastAsia="Times New Roman"/>
        </w:rPr>
        <w:t>Limited Hosting Rights for SQL Managed Instance enabled by Azure Arc</w:t>
      </w:r>
    </w:p>
    <w:p>
      <w:pPr>
        <w:pStyle w:val="NormalWeb"/>
      </w:pPr>
      <w:r>
        <w:t>When using the Azure Hybrid Benefit, paragraph 3 of the Service Specific terms for SQL Managed Instance enabled by Azure Arc does not apply. Customer is entitled only to run its SQL Managed Instance enabled by Azure Arc containers on Microsoft Azure, its own Servers, or Servers under the day-to-day management and control of Authorized Outsourcers, regardless of whether those Servers are dedicated to Customer or not.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Conditions</w:t>
      </w:r>
    </w:p>
    <w:p>
      <w:pPr>
        <w:pStyle w:val="NormalWeb"/>
        <w:spacing w:after="150"/>
      </w:pPr>
      <w:r>
        <w:t>The Azure Virtual Desktop control plane may only be used to manage Azure Virtual Desktop VMs running on Azure. Windows Enterprise multi-session is limited for use on Azure Virtual Desktop VMs running on Azure only.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 Server</w:t>
      </w:r>
    </w:p>
    <w:p>
      <w:pPr>
        <w:pStyle w:val="NormalWeb"/>
        <w:spacing w:after="150"/>
      </w:pPr>
      <w:r>
        <w:t>Users licensed with RDS User CALs with SA or RDS User Subscription Licenses or using devices licensed with RDS Device CALs with SA may access Azure Virtual Desktop Windows Server virtual machines running in Customer's Microsoft Azure accounts.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 </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Dev/Test Pricing</w:t>
      </w:r>
    </w:p>
    <w:p>
      <w:pPr>
        <w:pStyle w:val="NormalWeb"/>
        <w:spacing w:after="150"/>
      </w:pPr>
      <w:r>
        <w:t>Customer may be eligible for Azure dev/test pricing for Azure Services accessed by (i) its Qualified Licensed Users solely for development and test purposes, and (ii) its users performing acceptance tests and providing feedback related to those development and test activities. “Qualified Licensed Users” means users allocated Visual Studio subscriptions or MSDN Platform subscriptions with active Software Assurance. See Azure.com (</w:t>
      </w:r>
      <w:hyperlink r:id="rId146" w:tgtFrame="_blank" w:history="1">
        <w:r>
          <w:rPr>
            <w:rStyle w:val="Hyperlink"/>
            <w:color w:val="505050"/>
          </w:rPr>
          <w:t>https://azure.microsoft.com/pricing/dev-test/</w:t>
        </w:r>
      </w:hyperlink>
      <w:r>
        <w:t>) for eligibility criteria and applicable services.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Restriction on U.S. Police Department Use of Azure Facial Recognition Services  </w:t>
      </w:r>
    </w:p>
    <w:p>
      <w:pPr>
        <w:pStyle w:val="NormalWeb"/>
        <w:spacing w:after="150"/>
      </w:pPr>
      <w:r>
        <w:t xml:space="preserve">Customer may not use </w:t>
      </w:r>
      <w:hyperlink w:anchor="_Toc20" w:tooltip="Azure Facial Recognition Services means facial recognition features or functionality included in Azure Services, such as Face; or the facial recognition functionality in Azure Video Analyzer for Media." w:history="1">
        <w:r>
          <w:rPr>
            <w:rStyle w:val="Hyperlink"/>
            <w:color w:val="505050"/>
          </w:rPr>
          <w:t>Azure Facial Recognition Services</w:t>
        </w:r>
      </w:hyperlink>
      <w:r>
        <w:t xml:space="preserve"> if Customer is, or is allowing use of such services by or for, a police department in the United States. Violation of any of the restrictions in this section may result in immediate suspension of Customer’s use of the service.</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Professional Services, Azure Media Services H.265/HEV Encoding, Adobe Flash Player, H.264/AVC Visual Standard, and VC-1 Video Standard in </w:t>
      </w:r>
      <w:hyperlink r:id="rId114" w:tgtFrame="_blank" w:history="1">
        <w:r>
          <w:rPr>
            <w:rStyle w:val="Hyperlink"/>
            <w:color w:val="505050"/>
          </w:rPr>
          <w:t>Notices</w:t>
        </w:r>
      </w:hyperlink>
      <w:r>
        <w:t xml:space="preserve"> apply.  Any deployment services provided to Customer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Service Level Agreement</w:t>
      </w:r>
    </w:p>
    <w:p>
      <w:pPr>
        <w:pStyle w:val="NormalWeb"/>
        <w:spacing w:after="150"/>
      </w:pPr>
      <w:r>
        <w:t xml:space="preserve">Refer to </w:t>
      </w:r>
      <w:hyperlink r:id="rId147" w:tgtFrame="_blank" w:history="1">
        <w:r>
          <w:rPr>
            <w:rStyle w:val="Hyperlink"/>
            <w:color w:val="505050"/>
          </w:rPr>
          <w:t>http://azure.microsoft.com/support/legal/sla/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Limitations</w:t>
      </w:r>
    </w:p>
    <w:p>
      <w:pPr>
        <w:pStyle w:val="NormalWeb"/>
        <w:spacing w:after="150"/>
      </w:pPr>
      <w:r>
        <w:t>Customer may not</w:t>
      </w:r>
    </w:p>
    <w:p>
      <w:pPr>
        <w:numPr>
          <w:ilvl w:val="0"/>
          <w:numId w:val="8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Azure Services, or</w:t>
      </w:r>
    </w:p>
    <w:p>
      <w:pPr>
        <w:numPr>
          <w:ilvl w:val="0"/>
          <w:numId w:val="8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Azure Service feature that is made available on a per user basis (e.g., Microsoft Entra ID). Specific reassignment terms applicable to a Microsoft Azure Service feature may be provided in supplemental documentation for that feature.</w:t>
      </w:r>
    </w:p>
    <w:p>
      <w:pPr>
        <w:pStyle w:val="Heading3"/>
        <w:spacing w:before="150" w:beforeAutospacing="0"/>
        <w:rPr>
          <w:rFonts w:eastAsia="Times New Roman"/>
          <w:color w:val="0078D4"/>
          <w:sz w:val="26"/>
          <w:szCs w:val="26"/>
        </w:rPr>
      </w:pPr>
      <w:r>
        <w:rPr>
          <w:rFonts w:eastAsia="Times New Roman"/>
          <w:color w:val="0078D4"/>
          <w:sz w:val="26"/>
          <w:szCs w:val="26"/>
        </w:rPr>
        <w:t>Retirement of Services or Features</w:t>
      </w:r>
    </w:p>
    <w:p>
      <w:pPr>
        <w:pStyle w:val="NormalWeb"/>
        <w:spacing w:after="150"/>
      </w:pPr>
      <w:r>
        <w:t>Microsoft will provide Customer with 12 months’ notice before removing any material feature or functionality or discontinuing a service, unless security, legal or system performance considerations require an expedited removal. This does not apply to Previews.</w:t>
      </w:r>
    </w:p>
    <w:p>
      <w:pPr>
        <w:pStyle w:val="Heading3"/>
        <w:spacing w:before="150" w:beforeAutospacing="0"/>
        <w:rPr>
          <w:rFonts w:eastAsia="Times New Roman"/>
          <w:color w:val="0078D4"/>
          <w:sz w:val="26"/>
          <w:szCs w:val="26"/>
        </w:rPr>
      </w:pPr>
      <w:r>
        <w:rPr>
          <w:rFonts w:eastAsia="Times New Roman"/>
          <w:color w:val="0078D4"/>
          <w:sz w:val="26"/>
          <w:szCs w:val="26"/>
        </w:rPr>
        <w:t>Data Retention after Expiration or Termination</w:t>
      </w:r>
    </w:p>
    <w:p>
      <w:pPr>
        <w:pStyle w:val="NormalWeb"/>
        <w:spacing w:after="150"/>
      </w:pPr>
      <w:r>
        <w:t>The expiration or termination of Customer’s Online Service subscription will not change Customer’s obligation to pay for hosting of Customer Data during any Extended Term.</w:t>
      </w:r>
    </w:p>
    <w:p>
      <w:pPr>
        <w:pStyle w:val="Heading3"/>
        <w:spacing w:before="150" w:beforeAutospacing="0"/>
        <w:rPr>
          <w:rFonts w:eastAsia="Times New Roman"/>
          <w:color w:val="0078D4"/>
          <w:sz w:val="26"/>
          <w:szCs w:val="26"/>
        </w:rPr>
      </w:pPr>
      <w:r>
        <w:rPr>
          <w:rFonts w:eastAsia="Times New Roman"/>
          <w:color w:val="0078D4"/>
          <w:sz w:val="26"/>
          <w:szCs w:val="26"/>
        </w:rPr>
        <w:t>Azure Customer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create and maintain a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Despite anything to the contrary in Customer's licensing agreement, Customer may permit third parties to access and use the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solely in connection with the use of that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NormalWeb"/>
        <w:spacing w:before="150"/>
      </w:pPr>
      <w:r>
        <w:t xml:space="preserve">Customer is responsible for: (1) ensuring that third parties who access, use or distribute the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comply with these terms, the terms and conditions of Customer's licensing agreement, and all applicable laws; and (2) obtaining any necessary licenses related to </w:t>
      </w:r>
      <w:hyperlink w:anchor="_Toc20"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20"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Use of Software within Microsoft Azure</w:t>
      </w:r>
    </w:p>
    <w:p>
      <w:pPr>
        <w:pStyle w:val="NormalWeb"/>
        <w:spacing w:after="150"/>
      </w:pPr>
      <w:r>
        <w:t xml:space="preserve">For Microsoft software available within a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 xml:space="preserve">, Microsoft grants Customer a limited license to use the software only within the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Center Availability</w:t>
      </w:r>
    </w:p>
    <w:p>
      <w:pPr>
        <w:pStyle w:val="NormalWeb"/>
        <w:spacing w:after="150"/>
      </w:pPr>
      <w:r>
        <w:t xml:space="preserve">Usage of data centers in certain regions may be restricted to Customers located in or near that region. For information on service availability by region, please refer to </w:t>
      </w:r>
      <w:hyperlink r:id="rId148" w:tgtFrame="_blank" w:history="1">
        <w:r>
          <w:rPr>
            <w:rStyle w:val="Hyperlink"/>
            <w:color w:val="505050"/>
          </w:rPr>
          <w:t>http://azure.microsoft.com/en-us/regions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Sharing</w:t>
      </w:r>
    </w:p>
    <w:p>
      <w:pPr>
        <w:pStyle w:val="NormalWeb"/>
        <w:spacing w:after="150"/>
      </w:pPr>
      <w:r>
        <w:t xml:space="preserve">The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may provide the ability to share a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with other Azure users and communities, or other third parties. If Customer chooses to engage in such sharing, Customer agrees that it is giving a license to all authorized users, including the rights to use, modify, and repost its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the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and Customer is allowing Microsoft to make them available to such users in a manner and location of its choosing.</w:t>
      </w:r>
    </w:p>
    <w:p>
      <w:pPr>
        <w:pStyle w:val="Heading3"/>
        <w:spacing w:before="150" w:beforeAutospacing="0"/>
        <w:rPr>
          <w:rFonts w:eastAsia="Times New Roman"/>
          <w:color w:val="0078D4"/>
          <w:sz w:val="26"/>
          <w:szCs w:val="26"/>
        </w:rPr>
      </w:pPr>
      <w:r>
        <w:rPr>
          <w:rFonts w:eastAsia="Times New Roman"/>
          <w:color w:val="0078D4"/>
          <w:sz w:val="26"/>
          <w:szCs w:val="26"/>
        </w:rPr>
        <w:t>Marketplace</w:t>
      </w:r>
    </w:p>
    <w:p>
      <w:pPr>
        <w:pStyle w:val="NormalWeb"/>
        <w:spacing w:after="150"/>
      </w:pPr>
      <w:r>
        <w:t xml:space="preserve">Microsoft Azure enables Customer to access or purchase products and services which are optimized for use with Azure through features such as the Microsoft Azure Marketplace and the Virtual Machine Gallery, subject to separate terms available at </w:t>
      </w:r>
      <w:hyperlink r:id="rId149" w:tgtFrame="_blank" w:history="1">
        <w:r>
          <w:rPr>
            <w:rStyle w:val="Hyperlink"/>
            <w:color w:val="505050"/>
          </w:rPr>
          <w:t>https://learn.microsoft.com/legal/marketplace/marketplace-terms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Bing Search Services</w:t>
      </w:r>
    </w:p>
    <w:p>
      <w:pPr>
        <w:pStyle w:val="NormalWeb"/>
        <w:spacing w:after="150"/>
      </w:pPr>
      <w:r>
        <w:t xml:space="preserve">By using the Bing Search Services, Customer agrees to be bound by the terms available at </w:t>
      </w:r>
      <w:hyperlink r:id="rId150" w:tgtFrame="_blank" w:history="1">
        <w:r>
          <w:rPr>
            <w:rStyle w:val="Hyperlink"/>
            <w:color w:val="505050"/>
          </w:rPr>
          <w:t>https://www.microsoft.com/en-us/bing/apis/legal</w:t>
        </w:r>
      </w:hyperlink>
      <w:r>
        <w:t xml:space="preserve"> and </w:t>
      </w:r>
      <w:hyperlink r:id="rId151" w:tgtFrame="_blank" w:history="1">
        <w:r>
          <w:rPr>
            <w:rStyle w:val="Hyperlink"/>
            <w:color w:val="505050"/>
          </w:rPr>
          <w:t>https://learn.microsoft.com/en-us/bing/search-apis/bing-web-search/use-display-requirements</w:t>
        </w:r>
      </w:hyperlink>
      <w:r>
        <w:t xml:space="preserve"> which may be updated from time to time. Customer must use results it obtains from the Bing Search Services only in Internet Search Experiences (as defined in the use and display requirements) and must not cache or copy results.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Subscription License Suites</w:t>
      </w:r>
    </w:p>
    <w:p>
      <w:pPr>
        <w:pStyle w:val="NormalWeb"/>
        <w:spacing w:after="150"/>
      </w:pPr>
      <w:r>
        <w:t xml:space="preserve">In addition to User SLs, refer to </w:t>
      </w:r>
      <w:hyperlink r:id="rId52" w:tgtFrame="_blank" w:history="1">
        <w:r>
          <w:rPr>
            <w:rStyle w:val="Hyperlink"/>
            <w:color w:val="505050"/>
          </w:rPr>
          <w:t>Subscription License Suites</w:t>
        </w:r>
      </w:hyperlink>
      <w:r>
        <w:t xml:space="preserve"> for other SLs that fulfill requirements for Microsoft Entra ID, Microsoft Defender for Identity, and Microsoft Intune.</w:t>
      </w:r>
    </w:p>
    <w:p>
      <w:pPr>
        <w:pStyle w:val="Heading3"/>
        <w:spacing w:before="150" w:beforeAutospacing="0"/>
        <w:rPr>
          <w:rFonts w:eastAsia="Times New Roman"/>
          <w:color w:val="0078D4"/>
          <w:sz w:val="26"/>
          <w:szCs w:val="26"/>
        </w:rPr>
      </w:pPr>
      <w:r>
        <w:rPr>
          <w:rFonts w:eastAsia="Times New Roman"/>
          <w:color w:val="0078D4"/>
          <w:sz w:val="26"/>
          <w:szCs w:val="26"/>
        </w:rPr>
        <w:t>API Terms for Security Applications and Compliance Applications </w:t>
      </w:r>
    </w:p>
    <w:p>
      <w:pPr>
        <w:pStyle w:val="NormalWeb"/>
        <w:spacing w:after="150"/>
      </w:pPr>
      <w:r>
        <w:t>"</w:t>
      </w:r>
      <w:r>
        <w:rPr>
          <w:rStyle w:val="Strong"/>
        </w:rPr>
        <w:t>Compliance Application</w:t>
      </w:r>
      <w:r>
        <w:t>" means a software program or service built exclusively to ensure that an organization is complying with their security-related requirements.  </w:t>
      </w:r>
    </w:p>
    <w:p>
      <w:pPr>
        <w:pStyle w:val="NormalWeb"/>
        <w:spacing w:before="150"/>
      </w:pPr>
      <w:r>
        <w:t>"</w:t>
      </w:r>
      <w:r>
        <w:rPr>
          <w:rStyle w:val="Strong"/>
        </w:rPr>
        <w:t>Security Application</w:t>
      </w:r>
      <w:r>
        <w:t>" means a software program or service built exclusively to protect and defend the information and technology assets of an enterprise.  </w:t>
      </w:r>
    </w:p>
    <w:p>
      <w:pPr>
        <w:pStyle w:val="NormalWeb"/>
        <w:spacing w:before="150"/>
      </w:pPr>
      <w:r>
        <w:t>"</w:t>
      </w:r>
      <w:r>
        <w:rPr>
          <w:rStyle w:val="Strong"/>
        </w:rPr>
        <w:t>End User</w:t>
      </w:r>
      <w:r>
        <w:t>" refers to the end-user of the Security Application or Compliance Application. </w:t>
      </w:r>
    </w:p>
    <w:p>
      <w:pPr>
        <w:pStyle w:val="NormalWeb"/>
        <w:spacing w:before="150"/>
      </w:pPr>
      <w:r>
        <w:t>"</w:t>
      </w:r>
      <w:r>
        <w:rPr>
          <w:rStyle w:val="Strong"/>
        </w:rPr>
        <w:t>Customer</w:t>
      </w:r>
      <w:r>
        <w:t>" refers to the registered owner of the Azure subscription where the Security Application or Compliance Application is registered with Microsoft Entra ID. </w:t>
      </w:r>
    </w:p>
    <w:p>
      <w:pPr>
        <w:pStyle w:val="NormalWeb"/>
        <w:spacing w:before="150"/>
      </w:pPr>
      <w:r>
        <w:t xml:space="preserve">The following terms and conditions apply to </w:t>
      </w:r>
      <w:r>
        <w:rPr>
          <w:rStyle w:val="Strong"/>
        </w:rPr>
        <w:t>Microsoft Purview eDiscovery APIs in Microsoft Graph</w:t>
      </w:r>
      <w:r>
        <w:t>:</w:t>
      </w:r>
    </w:p>
    <w:p>
      <w:pPr>
        <w:numPr>
          <w:ilvl w:val="0"/>
          <w:numId w:val="8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End User must have one of the following Microsoft 365 E5 eligible licenses: Microsoft 365 E5/A5/G5, Microsoft Purview Suite, or Microsoft 365 E5 eDiscovery &amp; Audit.</w:t>
      </w:r>
    </w:p>
    <w:p>
      <w:pPr>
        <w:numPr>
          <w:ilvl w:val="0"/>
          <w:numId w:val="8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will bill Customer for all commercial consumption of the data generated in the review set that exceeds the included monthly seeded allowance per End User tenant. </w:t>
      </w:r>
    </w:p>
    <w:p>
      <w:pPr>
        <w:pStyle w:val="NormalWeb"/>
        <w:spacing w:before="150"/>
      </w:pPr>
      <w:r>
        <w:t>These terms and conditions supersede any terms and conditions contained elsewhere, including the Microsoft APIs Terms of Use [</w:t>
      </w:r>
      <w:hyperlink r:id="rId152" w:tgtFrame="_blank" w:history="1">
        <w:r>
          <w:rPr>
            <w:rStyle w:val="Hyperlink"/>
            <w:color w:val="505050"/>
          </w:rPr>
          <w:t>https://docs.microsoft.com/en-us/legal/microsoft-apis/terms-of-use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Databricks</w:t>
      </w:r>
    </w:p>
    <w:p>
      <w:pPr>
        <w:pStyle w:val="NormalWeb"/>
        <w:spacing w:after="150"/>
      </w:pPr>
      <w:r>
        <w:t xml:space="preserve">Any third-party models that Microsoft makes available in Azure Databricks are deemed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Basic</w:t>
      </w:r>
    </w:p>
    <w:p>
      <w:pPr>
        <w:pStyle w:val="NormalWeb"/>
        <w:spacing w:after="150"/>
      </w:pPr>
      <w:r>
        <w:t>Customer may, using Single Sign-On, pre-integrate unlimited Applications/Custom Applications per User SL. This covers Microsoft as well as third party applications.</w:t>
      </w:r>
    </w:p>
    <w:p>
      <w:pPr>
        <w:pStyle w:val="Heading3"/>
        <w:spacing w:before="150" w:beforeAutospacing="0"/>
        <w:rPr>
          <w:rFonts w:eastAsia="Times New Roman"/>
          <w:color w:val="0078D4"/>
          <w:sz w:val="26"/>
          <w:szCs w:val="26"/>
        </w:rPr>
      </w:pPr>
      <w:r>
        <w:rPr>
          <w:rFonts w:eastAsia="Times New Roman"/>
          <w:color w:val="0078D4"/>
          <w:sz w:val="26"/>
          <w:szCs w:val="26"/>
        </w:rPr>
        <w:t>Microsoft Entra ID</w:t>
      </w:r>
    </w:p>
    <w:p>
      <w:pPr>
        <w:pStyle w:val="NormalWeb"/>
        <w:spacing w:after="150"/>
      </w:pPr>
      <w:r>
        <w:t>Customer may, using Single Sign-On, pre-integrate SaaS Applications/Custom Applications. Customer may not copy or distribute any data set (or any portion of a data set) included in the Microsoft Identity Manager software that is included with a Microsoft Entra ID (P1 and P2) User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External User Allowance</w:t>
      </w:r>
    </w:p>
    <w:p>
      <w:pPr>
        <w:pStyle w:val="NormalWeb"/>
        <w:spacing w:after="150"/>
      </w:pPr>
      <w:r>
        <w:t xml:space="preserve">For each User SL (or equivalent Subscription License Suite) Customer assigns to a user, Customer may also permit up to five additional </w:t>
      </w:r>
      <w:hyperlink w:anchor="_Toc20" w:tooltip="see Glossary for full definition." w:history="1">
        <w:r>
          <w:rPr>
            <w:rStyle w:val="Hyperlink"/>
            <w:color w:val="505050"/>
          </w:rPr>
          <w:t>External Users</w:t>
        </w:r>
      </w:hyperlink>
      <w:r>
        <w:t xml:space="preserve"> to access the corresponding Microsoft Entra ID service level. This option is not available to new customers nor customers using (or who have used) the service under a Monthly Active User count. </w:t>
      </w:r>
    </w:p>
    <w:p>
      <w:pPr>
        <w:pStyle w:val="NormalWeb"/>
        <w:spacing w:before="150"/>
      </w:pPr>
      <w:r>
        <w:t xml:space="preserve">Customers may use Microsoft Entra ID External Identities (including any applicable Add-on) only for their </w:t>
      </w:r>
      <w:hyperlink w:anchor="_Toc20" w:tooltip="see Glossary for full definition." w:history="1">
        <w:r>
          <w:rPr>
            <w:rStyle w:val="Hyperlink"/>
            <w:color w:val="505050"/>
          </w:rPr>
          <w:t>External Users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Governance</w:t>
      </w:r>
    </w:p>
    <w:p>
      <w:pPr>
        <w:pStyle w:val="NormalWeb"/>
        <w:spacing w:after="150"/>
      </w:pPr>
      <w:r>
        <w:t xml:space="preserve">Customers may use Microsoft Entra ID Governance for External Identities (including any applicable Add-on) only for their </w:t>
      </w:r>
      <w:hyperlink w:anchor="_Toc20" w:tooltip="see Glossary for full definition." w:history="1">
        <w:r>
          <w:rPr>
            <w:rStyle w:val="Hyperlink"/>
            <w:color w:val="505050"/>
          </w:rPr>
          <w:t>External Users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Windows Server and SQL Server management capabilities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certain Windows Server and SQL Server management capabilities enabled by Azure Arc only to Operating System Environments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8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8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w:t>
      </w:r>
    </w:p>
    <w:p>
      <w:pPr>
        <w:pStyle w:val="Heading3"/>
        <w:spacing w:before="150" w:beforeAutospacing="0"/>
        <w:rPr>
          <w:rFonts w:eastAsia="Times New Roman"/>
          <w:color w:val="0078D4"/>
          <w:sz w:val="26"/>
          <w:szCs w:val="26"/>
        </w:rPr>
      </w:pPr>
      <w:r>
        <w:rPr>
          <w:rFonts w:eastAsia="Times New Roman"/>
          <w:color w:val="0078D4"/>
          <w:sz w:val="26"/>
          <w:szCs w:val="26"/>
        </w:rPr>
        <w:t>SQL Managed Instance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w:t>
      </w:r>
    </w:p>
    <w:p>
      <w:pPr>
        <w:numPr>
          <w:ilvl w:val="0"/>
          <w:numId w:val="8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SQL Managed Instance enabled by Azure Arc licenses are not assigned to any given Server and are therefore not subject to the License Assignment and Reassignment clause.</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Licenses are billed according to the terms of the license meter. Customer must connect to Azure at least once every 30 days via direct connected mode or indirect export mode to report usage data. </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Notwithstanding the </w:t>
      </w:r>
      <w:hyperlink r:id="rId118"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Customer may run SQL Managed Instance enabled by Azure Arc containers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Extended Security Updates enabled by Azure Arc only to Operating System Environments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8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 or</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been acquired as 'License-Included' services through a Service Provider License Agreement (SPLA) partner.</w:t>
      </w:r>
    </w:p>
    <w:p>
      <w:pPr>
        <w:pStyle w:val="NormalWeb"/>
        <w:spacing w:before="150"/>
      </w:pPr>
      <w:r>
        <w:t>In this context, "License-Included" refers to the scenario where Customer licenses Windows Server or SQL Server directly from a SPLA partner, rather than using their own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Disaster Recovery and Dev/Test Environments</w:t>
      </w:r>
    </w:p>
    <w:p>
      <w:pPr>
        <w:pStyle w:val="NormalWeb"/>
        <w:spacing w:after="150"/>
      </w:pPr>
      <w:r>
        <w:t xml:space="preserve">Customer may apply Extended Security Updates enabled by Azure Arc to the following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for no additional cost: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Customer's entitled Disaster Recovery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associated with its underlying software licenses.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Development, test, and related OSEs licensed with Microsoft Developer edition licenses or Visual Studio subscriptions.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Requirements</w:t>
      </w:r>
    </w:p>
    <w:p>
      <w:pPr>
        <w:pStyle w:val="NormalWeb"/>
        <w:spacing w:after="150"/>
      </w:pPr>
      <w:r>
        <w:t>For SQL Server Extended Security Updates Year 2 and subsequent versions, Customer is permitted to apply Extended Security Updates enabled by Azure Arc only if the Licensed Server is also covered with a SQL Server Extended Security Updates license for the preceding year.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Updated Software</w:t>
      </w:r>
    </w:p>
    <w:p>
      <w:pPr>
        <w:pStyle w:val="NormalWeb"/>
        <w:spacing w:after="150"/>
      </w:pPr>
      <w:r>
        <w:t>Customer may continue to use updated software after coverage expires. However, no future updates will be available if ESU subscription is terminated or cancelled.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pPr>
        <w:pStyle w:val="Heading3"/>
        <w:spacing w:before="150" w:beforeAutospacing="0"/>
        <w:rPr>
          <w:rFonts w:eastAsia="Times New Roman"/>
          <w:color w:val="0078D4"/>
          <w:sz w:val="26"/>
          <w:szCs w:val="26"/>
        </w:rPr>
      </w:pPr>
      <w:r>
        <w:rPr>
          <w:rFonts w:eastAsia="Times New Roman"/>
          <w:color w:val="0078D4"/>
          <w:sz w:val="26"/>
          <w:szCs w:val="26"/>
        </w:rPr>
        <w:t>SQL Server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w:t>
      </w:r>
    </w:p>
    <w:p>
      <w:pPr>
        <w:pStyle w:val="NormalWeb"/>
        <w:spacing w:after="150"/>
      </w:pPr>
      <w:r>
        <w:t>Notwithstanding the </w:t>
      </w:r>
      <w:hyperlink r:id="rId118" w:tgtFrame="_blank" w:history="1">
        <w:r>
          <w:rPr>
            <w:rStyle w:val="Hyperlink"/>
            <w:color w:val="505050"/>
          </w:rPr>
          <w:t>Outsourcing Software Management</w:t>
        </w:r>
      </w:hyperlink>
      <w:r>
        <w:t> clause, Customer may use SQL Server enabled by Azure Arc on its own devices, or devices under the day-to-day management and control of third parties, subject to the following exceptions:</w:t>
      </w:r>
    </w:p>
    <w:p>
      <w:pPr>
        <w:numPr>
          <w:ilvl w:val="0"/>
          <w:numId w:val="8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a license with Software Assurance or a subscription license, as opposed to pay-as-you-go subscription, Customer is only entitled to run SQL Server enabled by Azure Arc on its own devices or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20"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numPr>
          <w:ilvl w:val="0"/>
          <w:numId w:val="8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physical core licensing with unlimited virtualization under a pay-as-you-go subscription, Customer is only entitled to run SQL Server enabled by Azure Arc on its own devices or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20"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Unlimited Virtualization</w:t>
      </w:r>
    </w:p>
    <w:p>
      <w:pPr>
        <w:pStyle w:val="NormalWeb"/>
        <w:spacing w:after="150"/>
      </w:pPr>
      <w:r>
        <w:t>When using SQL Server enabled by Azure Arc with physical core licensing under a pay-as-you-go subscription, an Enterprise edition license with Software Assurance, or an Enterprise edition subscription license, customers may run any number of instances of the software in any number of OSEs on the Licensed Server, subject to the Outsourcing terms set forth above. Without limiting Microsoft's other remedies, if Customer fails to comply with these Outsourcing terms for any OSEs, Customer may be charged for consumption based on virtual core licensing for any period of non-compliance, and any physical core licensing will not apply to offset such charge.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 Fail-over Rights</w:t>
      </w:r>
    </w:p>
    <w:p>
      <w:pPr>
        <w:pStyle w:val="NormalWeb"/>
        <w:spacing w:after="150"/>
      </w:pPr>
      <w:r>
        <w:t xml:space="preserve">For each of its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on any </w:t>
      </w:r>
      <w:hyperlink w:anchor="_Toc20"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18"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2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2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server (subject to the </w:t>
      </w:r>
      <w:hyperlink r:id="rId118"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1"/>
          <w:numId w:val="2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One on Microsoft Azure servers, subject to Ratio of Qualified Licenses to Azure vCores as stipulated in the Azure Hybrid Benefit terms for SQL Server.</w:t>
      </w:r>
    </w:p>
    <w:p>
      <w:pPr>
        <w:pStyle w:val="NormalWeb"/>
        <w:spacing w:before="150"/>
      </w:pPr>
      <w:r>
        <w:t>Customer may also run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Workloads</w:t>
        </w:r>
      </w:hyperlink>
      <w:r>
        <w:t> and its disaster recovery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Fail-over OSE:</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permitted for disaster recovery must be asynchronous and manual.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may not serve SQL Server data to users or devices or otherwise run active SQL Server workloads. The number of licenses that otherwise would be required for a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 must not exceed the number of licenses required for the corresponding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These fail-over rights require SA for both the Licensed Server and CALs, if any, and do not apply when Customer deploys SQL Software under </w:t>
      </w:r>
      <w:hyperlink r:id="rId153"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Enablement of GitHub Advanced Security for Azure DevOps</w:t>
      </w:r>
    </w:p>
    <w:p>
      <w:pPr>
        <w:pStyle w:val="NormalWeb"/>
        <w:spacing w:after="150"/>
      </w:pPr>
      <w:r>
        <w:t xml:space="preserve">In addition to a </w:t>
      </w:r>
      <w:hyperlink w:anchor="_Toc20" w:tooltip="Licensed User means the single person to whom a License is assigned." w:history="1">
        <w:r>
          <w:rPr>
            <w:rStyle w:val="Hyperlink"/>
            <w:color w:val="505050"/>
          </w:rPr>
          <w:t>Licensed User</w:t>
        </w:r>
      </w:hyperlink>
      <w:r>
        <w:t xml:space="preserve"> permitting access to Azure DevOps, a customer must activate GitHub Advanced Security for Azure DevOps for each repository where the service is required, allowing </w:t>
      </w:r>
      <w:hyperlink w:anchor="_Toc20"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 xml:space="preserve"> to utilize the service.</w:t>
      </w:r>
    </w:p>
    <w:p>
      <w:pPr>
        <w:pStyle w:val="Heading3"/>
        <w:spacing w:before="150" w:beforeAutospacing="0"/>
        <w:rPr>
          <w:rFonts w:eastAsia="Times New Roman"/>
          <w:color w:val="0078D4"/>
          <w:sz w:val="26"/>
          <w:szCs w:val="26"/>
        </w:rPr>
      </w:pPr>
      <w:r>
        <w:rPr>
          <w:rFonts w:eastAsia="Times New Roman"/>
          <w:color w:val="0078D4"/>
          <w:sz w:val="26"/>
          <w:szCs w:val="26"/>
        </w:rPr>
        <w:t>Windows Server pay-as-you-go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the pay-as-you-go subscription option as long as it is (i) registered with Customer's Azure subscription and (ii) connected to Customer's Azure subscription over the Internet at least once every thirty (30) consecutive calendar days. Customer may not work around any mandatory registration or sign-up process for pay-as-you-go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have a valid Windows Server Standard or Windows Server Datacenter </w:t>
      </w:r>
      <w:hyperlink w:anchor="_Toc20" w:tooltip="License means the right to download, install, access and use a Product." w:history="1">
        <w:r>
          <w:rPr>
            <w:rStyle w:val="Hyperlink"/>
            <w:color w:val="505050"/>
          </w:rPr>
          <w:t>License</w:t>
        </w:r>
      </w:hyperlink>
      <w:r>
        <w:t xml:space="preserve"> to use the pay-as-you-go option. For </w:t>
      </w:r>
      <w:hyperlink w:anchor="_Toc20" w:tooltip="Licensed Server means a single Server to which a License is assigned.  See Glossary for full definition." w:history="1">
        <w:r>
          <w:rPr>
            <w:rStyle w:val="Hyperlink"/>
            <w:color w:val="505050"/>
          </w:rPr>
          <w:t>Licensed Servers</w:t>
        </w:r>
      </w:hyperlink>
      <w:r>
        <w:t xml:space="preserve"> running pay-as-you-go virtual machines, there are no restrictions on the number of pay-as-you-go virtual machines that can be deployed. Additional virtualization rights are not granted. For each </w:t>
      </w:r>
      <w:hyperlink w:anchor="_Toc20" w:tooltip="Licensed Server means a single Server to which a License is assigned. See Glossary for full definition." w:history="1">
        <w:r>
          <w:rPr>
            <w:rStyle w:val="Hyperlink"/>
            <w:color w:val="505050"/>
          </w:rPr>
          <w:t>Licensed Server</w:t>
        </w:r>
      </w:hyperlink>
      <w:r>
        <w:t xml:space="preserve"> that is running a pay-as-you-go virtual machine, Customer may run one instance in an operating system environment. A separate </w:t>
      </w:r>
      <w:hyperlink w:anchor="_Toc20" w:tooltip="License means the right to download, install, access and use a Product." w:history="1">
        <w:r>
          <w:rPr>
            <w:rStyle w:val="Hyperlink"/>
            <w:color w:val="505050"/>
          </w:rPr>
          <w:t>License</w:t>
        </w:r>
      </w:hyperlink>
      <w:r>
        <w:t xml:space="preserve"> is required for each guest. Customer may reassign any of its </w:t>
      </w:r>
      <w:hyperlink w:anchor="_Toc20" w:tooltip="License means the right to download, install, access and use a Product." w:history="1">
        <w:r>
          <w:rPr>
            <w:rStyle w:val="Hyperlink"/>
            <w:color w:val="505050"/>
          </w:rPr>
          <w:t>Licenses</w:t>
        </w:r>
      </w:hyperlink>
      <w:r>
        <w:t xml:space="preserve"> to any of its </w:t>
      </w:r>
      <w:hyperlink w:anchor="_Toc20"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0" w:tooltip="License means the right to download, install, access and use a Product." w:history="1">
        <w:r>
          <w:rPr>
            <w:rStyle w:val="Hyperlink"/>
            <w:color w:val="505050"/>
          </w:rPr>
          <w:t>Licenses</w:t>
        </w:r>
      </w:hyperlink>
      <w:r>
        <w:t xml:space="preserve"> from one </w:t>
      </w:r>
      <w:hyperlink w:anchor="_Toc20"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 </w:t>
      </w:r>
    </w:p>
    <w:p>
      <w:pPr>
        <w:pStyle w:val="Heading3"/>
        <w:spacing w:before="150" w:beforeAutospacing="0"/>
        <w:rPr>
          <w:rFonts w:eastAsia="Times New Roman"/>
          <w:color w:val="0078D4"/>
          <w:sz w:val="26"/>
          <w:szCs w:val="26"/>
        </w:rPr>
      </w:pPr>
      <w:r>
        <w:rPr>
          <w:rFonts w:eastAsia="Times New Roman"/>
          <w:color w:val="0078D4"/>
          <w:sz w:val="26"/>
          <w:szCs w:val="26"/>
        </w:rPr>
        <w:t>Azure Communication Gateway</w:t>
      </w:r>
    </w:p>
    <w:p>
      <w:pPr>
        <w:pStyle w:val="NormalWeb"/>
        <w:spacing w:after="150"/>
      </w:pPr>
      <w:r>
        <w:t xml:space="preserve">Azure Communications Gateway is only available for use by </w:t>
      </w:r>
      <w:hyperlink w:anchor="_Toc20"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20" w:tooltip="Standards means any technology specification created by an organization or contractually-formed group whose activities include developing, promulgating, or otherwise producing technical standards to be used by adopters or implementers." w:history="1">
        <w:r>
          <w:rPr>
            <w:rStyle w:val="Hyperlink"/>
            <w:color w:val="505050"/>
          </w:rPr>
          <w:t>Standards</w:t>
        </w:r>
      </w:hyperlink>
      <w:r>
        <w:t xml:space="preserve"> in Azure Communications Gateway. Customer is responsible for obtaining any required licenses directly from the holders of such rights.</w:t>
      </w:r>
    </w:p>
    <w:p>
      <w:pPr>
        <w:pStyle w:val="Heading3"/>
        <w:spacing w:before="150" w:beforeAutospacing="0"/>
        <w:rPr>
          <w:rFonts w:eastAsia="Times New Roman"/>
          <w:color w:val="0078D4"/>
          <w:sz w:val="26"/>
          <w:szCs w:val="26"/>
        </w:rPr>
      </w:pPr>
      <w:r>
        <w:rPr>
          <w:rFonts w:eastAsia="Times New Roman"/>
          <w:color w:val="0078D4"/>
          <w:sz w:val="26"/>
          <w:szCs w:val="26"/>
        </w:rPr>
        <w:t>Azure Communication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Responsibility</w:t>
      </w:r>
    </w:p>
    <w:p>
      <w:pPr>
        <w:pStyle w:val="NormalWeb"/>
        <w:spacing w:after="150"/>
      </w:pPr>
      <w:r>
        <w:t>Azure Communication Services ("ACS") is a developer product and an input to customers' applications. Customer may only use Azure Communication Services for business purposes. Customers are solely liable for their applications or offerings that incorporate Azure Communication Services capabilities and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Notices</w:t>
      </w:r>
    </w:p>
    <w:p>
      <w:pPr>
        <w:pStyle w:val="NormalWeb"/>
        <w:spacing w:after="150"/>
      </w:pPr>
      <w:r>
        <w:t xml:space="preserve">The H.264/AVC Visual Standard notice in </w:t>
      </w:r>
      <w:hyperlink r:id="rId114" w:tgtFrame="_blank" w:history="1">
        <w:r>
          <w:rPr>
            <w:rStyle w:val="Hyperlink"/>
            <w:color w:val="505050"/>
          </w:rPr>
          <w:t>Notices</w:t>
        </w:r>
      </w:hyperlink>
      <w:r>
        <w:t xml:space="preserve">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Recording and Transcription</w:t>
      </w:r>
    </w:p>
    <w:p>
      <w:pPr>
        <w:pStyle w:val="NormalWeb"/>
        <w:spacing w:after="150"/>
      </w:pPr>
      <w:r>
        <w:t>It is your responsibility to ensure that the users of your application are notified when recording or transcription are enabled in a call or meeting. Microsoft will indicate to you via the Azure Communication Services API that recording or transcription has commenced and you must communicate this fact, in real time, to your users within your application's user interface.  If you have configured your policy to require explicit consent for recording or transcription, you are required to gather explicit consent from your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Microphone</w:t>
      </w:r>
    </w:p>
    <w:p>
      <w:pPr>
        <w:pStyle w:val="NormalWeb"/>
        <w:spacing w:after="150"/>
      </w:pPr>
      <w:r>
        <w:t>It is your responsibility to ensure that the users of your application are notified when a microphone is being accessed by the Azure Communication Services SDK. Microsoft will indicate to you via the Azure Communication Services API that the microphone has been acquired and is ready to be used or is in use by the calling SDK. You as a developer are responsible for notifying your end users if the microphone is in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Teams Interoperability</w:t>
      </w:r>
    </w:p>
    <w:p>
      <w:pPr>
        <w:pStyle w:val="NormalWeb"/>
        <w:spacing w:after="150"/>
      </w:pPr>
      <w:r>
        <w:t>Interoperability between Azure Communication Services and Microsoft Teams enables your applications and users to participate in Teams calls, meetings, and chat. In addition to existing charges in Teams for PSTN connectivity, you will be charged consumption fees in Azure Communication Services.</w:t>
      </w:r>
    </w:p>
    <w:p>
      <w:pPr>
        <w:pStyle w:val="NormalWeb"/>
        <w:spacing w:before="150"/>
      </w:pPr>
      <w:r>
        <w:t>When Teams users join Teams meetings on the Teams clients then the call is covered by your Teams licenses. When a user makes a call using Azure Communication Services or when a Microsoft 365 or Microsoft Entra user makes a call with ACS calling SDK it will be charged based on Azure Communication Services fees.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Terms Precedence</w:t>
      </w:r>
    </w:p>
    <w:p>
      <w:pPr>
        <w:pStyle w:val="NormalWeb"/>
        <w:spacing w:after="150"/>
      </w:pPr>
      <w:r>
        <w:t>Some Azure Communication Services, including private previews and Previews, may be provided under a separate license, such as an open-source license. In the event of a conflict between these terms and any separate license, the separate license will prevail with respect to the Azure Communication Service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Information</w:t>
      </w:r>
    </w:p>
    <w:p>
      <w:pPr>
        <w:pStyle w:val="NormalWeb"/>
        <w:spacing w:after="150"/>
      </w:pPr>
      <w:r>
        <w:t>Except in instances required by law or regulation, Microsoft does not retain information that identifies individual end users. Customer acknowledges that, should it delete or de-link end user identifying information in its possession, Microsoft shall have no responsibility to reconstitute the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Defense of Claims</w:t>
      </w:r>
    </w:p>
    <w:p>
      <w:pPr>
        <w:pStyle w:val="NormalWeb"/>
        <w:spacing w:after="150"/>
      </w:pPr>
      <w:r>
        <w:t>You agree to defend, hold harmless, and indemnify Microsoft and its directors, officers, employees, affiliates, and agents from and against any and all demands, assertions, and legal proceedings brought by any third party (and all resulting judgments, settlements and expenses (including reasonable attorneys' fees and costs)) arising from a material breach of these terms by you or your subcontractors, agents, employees, or customers. This includes, without limitation, breach of the obligation to comply with applicable telemarketing laws and the U.S. Telephone Consumer Protection Act of 1991.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ACS SMS and MMS services involve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ACS messaging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  </w:t>
      </w:r>
    </w:p>
    <w:p>
      <w:pPr>
        <w:pStyle w:val="NormalWeb"/>
        <w:spacing w:after="150"/>
      </w:pPr>
      <w:r>
        <w:t xml:space="preserve">Customer and its end users shall comply with the Azure Communication Services Messaging Policy. The Messaging Policy applies to SMS, MMS, and email communications. Microsoft reserves the right to suspend or remove access to Azure Communication Services for Customer or its end users that do not comply with the Messaging Policy. The Messaging Policy is available at </w:t>
      </w:r>
      <w:hyperlink r:id="rId154" w:tgtFrame="_blank" w:history="1">
        <w:r>
          <w:rPr>
            <w:rStyle w:val="Hyperlink"/>
            <w:color w:val="505050"/>
          </w:rPr>
          <w:t>https://docs.microsoft.com/azure/communication-services/concepts/telephony-sms/messaging-policy</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 xml:space="preserve">Customer may only access and use Azure DevOps to develop and test Customer's application(s). Only one </w:t>
      </w:r>
      <w:hyperlink w:anchor="_Toc20" w:tooltip="Licensed User means the single person to whom a License is assigned." w:history="1">
        <w:r>
          <w:rPr>
            <w:rStyle w:val="Hyperlink"/>
            <w:color w:val="505050"/>
          </w:rPr>
          <w:t>Licensed User</w:t>
        </w:r>
      </w:hyperlink>
      <w:r>
        <w:t xml:space="preserve"> may access a virtual machine provided by Azure DevOps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Azure DevOps. Microsoft is responsible for complying with the terms for any such software included in Azure DevOps and will keep confidential any confidential information of Apple accessed as part of 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pPr>
        <w:pStyle w:val="Heading3"/>
        <w:spacing w:before="150" w:beforeAutospacing="0"/>
        <w:rPr>
          <w:rFonts w:eastAsia="Times New Roman"/>
          <w:color w:val="0078D4"/>
          <w:sz w:val="26"/>
          <w:szCs w:val="26"/>
        </w:rPr>
      </w:pPr>
      <w:r>
        <w:rPr>
          <w:rFonts w:eastAsia="Times New Roman"/>
          <w:color w:val="0078D4"/>
          <w:sz w:val="26"/>
          <w:szCs w:val="26"/>
        </w:rPr>
        <w:t>Azure DevTest Labs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Secrets in DevTest Labs</w:t>
      </w:r>
    </w:p>
    <w:p>
      <w:pPr>
        <w:pStyle w:val="NormalWeb"/>
        <w:spacing w:after="150"/>
      </w:pPr>
      <w:r>
        <w:t>Azure DevTest Labs automatically creates a key vault when a user saves a secret for the first time. Customer may not use this key vault to store anything other than DevTest Lab related passwords, SSH keys, or personal access tokens.</w:t>
      </w:r>
    </w:p>
    <w:p>
      <w:pPr>
        <w:pStyle w:val="Heading3"/>
        <w:spacing w:before="150" w:beforeAutospacing="0"/>
        <w:rPr>
          <w:rFonts w:eastAsia="Times New Roman"/>
          <w:color w:val="0078D4"/>
          <w:sz w:val="26"/>
          <w:szCs w:val="26"/>
        </w:rPr>
      </w:pPr>
      <w:r>
        <w:rPr>
          <w:rFonts w:eastAsia="Times New Roman"/>
          <w:color w:val="0078D4"/>
          <w:sz w:val="26"/>
          <w:szCs w:val="26"/>
        </w:rPr>
        <w:t>Microsoft Dev 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Permitted Usage</w:t>
      </w:r>
    </w:p>
    <w:p>
      <w:pPr>
        <w:pStyle w:val="NormalWeb"/>
        <w:spacing w:after="150"/>
      </w:pPr>
      <w:r>
        <w:t>Customer must use Microsoft Dev Box ("Dev Box") to design, develop, or test applications. Other use is permitted if Customer is also using Dev Box for one of the aforementioned purposes.</w:t>
      </w:r>
    </w:p>
    <w:p>
      <w:pPr>
        <w:pStyle w:val="NormalWeb"/>
        <w:spacing w:before="150"/>
      </w:pPr>
      <w:r>
        <w:t>Dev Box is not eligible for the Azure Customer Solution clause in the General Service Terms for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Prerequisites</w:t>
      </w:r>
    </w:p>
    <w:p>
      <w:pPr>
        <w:pStyle w:val="NormalWeb"/>
        <w:spacing w:after="150"/>
      </w:pPr>
      <w:r>
        <w:t xml:space="preserve">The </w:t>
      </w:r>
      <w:hyperlink w:anchor="_Toc20" w:tooltip="Licensed User means the single person to whom a License is assigned." w:history="1">
        <w:r>
          <w:rPr>
            <w:rStyle w:val="Hyperlink"/>
            <w:color w:val="505050"/>
          </w:rPr>
          <w:t>Licensed User</w:t>
        </w:r>
      </w:hyperlink>
      <w:r>
        <w:t xml:space="p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Network Egress</w:t>
      </w:r>
    </w:p>
    <w:p>
      <w:pPr>
        <w:pStyle w:val="NormalWeb"/>
        <w:spacing w:after="150"/>
      </w:pPr>
      <w:r>
        <w:t>Microsoft reserves the right to restrict network egress due to high bandwidth usage.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as a Server</w:t>
      </w:r>
    </w:p>
    <w:p>
      <w:pPr>
        <w:pStyle w:val="NormalWeb"/>
        <w:spacing w:after="150"/>
      </w:pPr>
      <w:r>
        <w:t>You may not use the service to perform server functions to devices outside of the service or to third parties.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Distributed Computing</w:t>
      </w:r>
    </w:p>
    <w:p>
      <w:pPr>
        <w:pStyle w:val="NormalWeb"/>
        <w:spacing w:after="150"/>
      </w:pPr>
      <w:r>
        <w:t>You may not use the service for sustained distributed computing or digital asset transaction validation workloads.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Handling</w:t>
      </w:r>
    </w:p>
    <w:p>
      <w:pPr>
        <w:pStyle w:val="NormalWeb"/>
        <w:spacing w:after="150"/>
      </w:pPr>
      <w:r>
        <w:t xml:space="preserve">Windows 365 integrates data (including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Azure Virtual Desktop, and other Online Services as configured by Customer, if any (collectively for purposes of this provision the "Windows 365 Integrated Services"). Once data is transferred between the Windows 365 Integrated Services, that data is governed by the Product Terms applicable to the Product in which it resides.</w:t>
      </w:r>
    </w:p>
    <w:p>
      <w:pPr>
        <w:pStyle w:val="Heading3"/>
        <w:spacing w:before="150" w:beforeAutospacing="0"/>
        <w:rPr>
          <w:rFonts w:eastAsia="Times New Roman"/>
          <w:color w:val="0078D4"/>
          <w:sz w:val="26"/>
          <w:szCs w:val="26"/>
        </w:rPr>
      </w:pPr>
      <w:r>
        <w:rPr>
          <w:rFonts w:eastAsia="Times New Roman"/>
          <w:color w:val="0078D4"/>
          <w:sz w:val="26"/>
          <w:szCs w:val="26"/>
        </w:rPr>
        <w:t>Microsoft Fabric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Power BI</w:t>
      </w:r>
    </w:p>
    <w:p>
      <w:pPr>
        <w:pStyle w:val="NormalWeb"/>
        <w:spacing w:after="150"/>
      </w:pPr>
      <w:r>
        <w:t xml:space="preserve">Customer's use of Power BI within Microsoft Fabric is subject to </w:t>
      </w:r>
      <w:hyperlink r:id="rId22" w:tgtFrame="_blank" w:history="1">
        <w:r>
          <w:rPr>
            <w:rStyle w:val="Hyperlink"/>
            <w:color w:val="505050"/>
          </w:rPr>
          <w:t>Power BI service specific terms</w:t>
        </w:r>
      </w:hyperlink>
      <w:r>
        <w:t xml:space="preserve"> and notices terms provided under the Power BI Platform section of these Online Services product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Healthcare Data Solutions in Fabric</w:t>
      </w:r>
    </w:p>
    <w:p>
      <w:pPr>
        <w:pStyle w:val="NormalWeb"/>
        <w:spacing w:after="150"/>
      </w:pPr>
      <w:r>
        <w:t>Access to Healthcare Data Solutions in Fabric requires a subscription to Microsoft Fabric. Healthcare Data Solutions in Fabric are subject to the Online Services terms governing Azure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Workload Hub</w:t>
      </w:r>
    </w:p>
    <w:p>
      <w:pPr>
        <w:pStyle w:val="NormalWeb"/>
        <w:spacing w:after="150"/>
      </w:pPr>
      <w:r>
        <w:t xml:space="preserve">Publisher workloads offered through the Workload Hub are deemed to be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Firmware Analysis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w:t>
      </w:r>
    </w:p>
    <w:p>
      <w:pPr>
        <w:pStyle w:val="NormalWeb"/>
        <w:spacing w:after="150"/>
      </w:pPr>
      <w:r>
        <w:t>Customer may use the service only for its internal use and may not sell, lease, or market the service to third parties. Firmware Analysis results ("Analysis Results") may only be disclosed in accordance with the Disclosure section below. Customer's use of the Analysis Results is subject to the Acceptable Use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Maximum Uploads and Images</w:t>
      </w:r>
    </w:p>
    <w:p>
      <w:pPr>
        <w:pStyle w:val="NormalWeb"/>
        <w:spacing w:after="150"/>
      </w:pPr>
      <w:r>
        <w:t xml:space="preserve">Customer may load up to the maximum number of uploads and images in Customer's workspace in accordance with the workspace tier licensed by Customer as described in the Firmware Analysis documentation at </w:t>
      </w:r>
      <w:hyperlink r:id="rId155" w:tgtFrame="_blank" w:history="1">
        <w:r>
          <w:rPr>
            <w:rStyle w:val="Hyperlink"/>
            <w:color w:val="505050"/>
          </w:rPr>
          <w:t>https://aka.ms/firmwareanalysislicensing</w:t>
        </w:r>
      </w:hyperlink>
      <w:hyperlink r:id="rId155"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Warranties</w:t>
      </w:r>
    </w:p>
    <w:p>
      <w:pPr>
        <w:pStyle w:val="NormalWeb"/>
        <w:spacing w:after="150"/>
      </w:pPr>
      <w:r>
        <w:t>Microsoft makes no express or implied warranties regarding the accuracy, completeness, or reliability of information provided in the Analysis Results. The Analysis Results are only intended for informational purposes and should not be relied upon as a definitive measure of vulnerability assessment or system security.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Disclosure </w:t>
      </w:r>
    </w:p>
    <w:p>
      <w:pPr>
        <w:pStyle w:val="NormalWeb"/>
        <w:spacing w:after="150"/>
      </w:pPr>
      <w:r>
        <w:t>Subject to the restrictions in these Product Terms, Customer may disclose Analysis Results (a) to its contractors or vendors for use on Customer's behalf and (b) to the firmware owner. If Customer wants to disclose Analysis Results publicly, Customer must first: (a) independently verify the results, and (b) follow industry best practices for Coordinated Vulnerability Disclosure (CVD) such as Microsoft's approach to CVD (</w:t>
      </w:r>
      <w:hyperlink r:id="rId156" w:tgtFrame="_blank" w:history="1">
        <w:r>
          <w:rPr>
            <w:rStyle w:val="Hyperlink"/>
            <w:color w:val="505050"/>
          </w:rPr>
          <w:t>https://www.microsoft.com/msrc/cvd</w:t>
        </w:r>
      </w:hyperlink>
      <w:r>
        <w:t>) or as documented by CISA (</w:t>
      </w:r>
      <w:hyperlink r:id="rId157" w:tgtFrame="_blank" w:history="1">
        <w:r>
          <w:rPr>
            <w:rStyle w:val="Hyperlink"/>
            <w:color w:val="505050"/>
          </w:rPr>
          <w:t>https://www.cisa.gov/resources-tools/programs/coordinated-vulnerability-disclosure-program</w:t>
        </w:r>
      </w:hyperlink>
      <w:r>
        <w:t>). After completion of (a) and (b) and as part of any public disclosure, Customer must (x) reference the Firmware Analysis service as the source of the Analysis Results, and (y) include the following disclaimer: these Analysis Results are not a definitive measure of vulnerability assessment or system security.</w:t>
      </w:r>
    </w:p>
    <w:p>
      <w:pPr>
        <w:pStyle w:val="Heading3"/>
        <w:spacing w:before="150" w:beforeAutospacing="0"/>
        <w:rPr>
          <w:rFonts w:eastAsia="Times New Roman"/>
          <w:color w:val="0078D4"/>
          <w:sz w:val="26"/>
          <w:szCs w:val="26"/>
        </w:rPr>
      </w:pPr>
      <w:r>
        <w:rPr>
          <w:rFonts w:eastAsia="Times New Roman"/>
          <w:color w:val="0078D4"/>
          <w:sz w:val="26"/>
          <w:szCs w:val="26"/>
        </w:rPr>
        <w:t>Azure Health Bot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Obligations</w:t>
      </w:r>
    </w:p>
    <w:p>
      <w:pPr>
        <w:pStyle w:val="NormalWeb"/>
        <w:spacing w:after="150"/>
      </w:pPr>
      <w:r>
        <w:t xml:space="preserve">Customer is solely responsible for: (1) the accuracy and adequacy of information and Data furnished through use of the Azure Health Bot Service; (2) implementing a secure application-to-application authentication method between the </w:t>
      </w:r>
      <w:hyperlink w:anchor="_Toc20"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the Azure Health Bot Service; (3) obtaining appropriate consent from end users in connection with their use of the </w:t>
      </w:r>
      <w:hyperlink w:anchor="_Toc20"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(4) displaying appropriate warnings, disclaimers, and acknowledgements to end users in connection with their use of the </w:t>
      </w:r>
      <w:hyperlink w:anchor="_Toc20"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including, as applicable, those set forth in the following </w:t>
      </w:r>
      <w:hyperlink r:id="rId158" w:tgtFrame="_blank" w:history="1">
        <w:r>
          <w:rPr>
            <w:rStyle w:val="Hyperlink"/>
            <w:color w:val="505050"/>
          </w:rPr>
          <w:t>form</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IoT Operations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Use Cases</w:t>
      </w:r>
    </w:p>
    <w:p>
      <w:pPr>
        <w:pStyle w:val="NormalWeb"/>
        <w:spacing w:after="150"/>
      </w:pPr>
      <w:r>
        <w:t>For each instance of Azure IoT Operations in the below use cases, Customer may (1) allow a maximum of 5 users to access the operations experience portal; (2) configure its data flow endpoints to include a maximum of 50 concurrent endpoints; and (3) use the connector for OPC UA to enable connections to a maximum of 2 OPC UA servers. Use cases are as follows:  </w:t>
      </w:r>
    </w:p>
    <w:p>
      <w:pPr>
        <w:numPr>
          <w:ilvl w:val="0"/>
          <w:numId w:val="8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Production Use. Customer may install and use Azure IoT Operations. Customer may not use Azure IoT Operations on Listed Provider clouds.</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Non-Production Use. Customer may install and use Azure IoT Operations on Listed Provider and non-Listed Provider clouds.</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Trial Use. Customer may install and use Azure IoT Operations on Listed Provider and non-Listed Provider clouds as described at </w:t>
      </w:r>
      <w:hyperlink r:id="rId159" w:tgtFrame="_blank" w:history="1">
        <w:r>
          <w:rPr>
            <w:rStyle w:val="Hyperlink"/>
            <w:rFonts w:ascii="Segoe UI" w:eastAsia="Times New Roman" w:hAnsi="Segoe UI" w:cs="Segoe UI"/>
            <w:color w:val="505050"/>
            <w:sz w:val="18"/>
            <w:szCs w:val="18"/>
          </w:rPr>
          <w:t>https://aka.ms/AzureIoTOperations/pricing</w:t>
        </w:r>
      </w:hyperlink>
      <w:r>
        <w:rPr>
          <w:rFonts w:ascii="Segoe UI" w:eastAsia="Times New Roman" w:hAnsi="Segoe UI" w:cs="Segoe UI"/>
          <w:color w:val="505050"/>
          <w:sz w:val="18"/>
          <w:szCs w:val="18"/>
        </w:rP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Limitations </w:t>
      </w:r>
    </w:p>
    <w:p>
      <w:pPr>
        <w:pStyle w:val="NormalWeb"/>
        <w:spacing w:after="150"/>
      </w:pPr>
      <w:r>
        <w:t>For each use case of Azure IoT Operations above, Customer may not (1) separate the Azure IoT Operations components for use as a stand-alone product or with other products or services or (2) replace or substitute Azure IoT Operations components with third party components.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Components </w:t>
      </w:r>
    </w:p>
    <w:p>
      <w:pPr>
        <w:pStyle w:val="NormalWeb"/>
        <w:spacing w:after="150"/>
      </w:pPr>
      <w:r>
        <w:t xml:space="preserve">Azure IoT Operations may include other Microsoft components listed at </w:t>
      </w:r>
      <w:hyperlink r:id="rId160" w:tgtFrame="_blank" w:history="1">
        <w:r>
          <w:rPr>
            <w:rStyle w:val="Hyperlink"/>
            <w:color w:val="505050"/>
          </w:rPr>
          <w:t>https://aka.ms/AzureIoTOperations/Includedcomponents</w:t>
        </w:r>
      </w:hyperlink>
      <w:r>
        <w:t xml:space="preserve">. Use of these components, as described in the associated documentation at </w:t>
      </w:r>
      <w:hyperlink r:id="rId161" w:tgtFrame="_blank" w:history="1">
        <w:r>
          <w:rPr>
            <w:rStyle w:val="Hyperlink"/>
            <w:color w:val="505050"/>
          </w:rPr>
          <w:t>https://aka.ms/AzureIoTOperationsDocs</w:t>
        </w:r>
      </w:hyperlink>
      <w:r>
        <w:t xml:space="preserve"> is governed by these license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connectors Use Rights and Use Cases</w:t>
      </w:r>
    </w:p>
    <w:p>
      <w:pPr>
        <w:pStyle w:val="NormalWeb"/>
        <w:spacing w:after="150"/>
      </w:pPr>
      <w:r>
        <w:t>The following terms apply to: Azure IoT Operations connector for REST/HTTP, Azure IoT Operations connector for SSE, Azure IoT Operations connector for ONVIF, Azure IoT Operations media connector, and Azure IoT Operations connector for MQTT.For each instance, Customer may install and use the connector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 for OPC UA Use Rights and Use Cases</w:t>
      </w:r>
    </w:p>
    <w:p>
      <w:pPr>
        <w:pStyle w:val="NormalWeb"/>
        <w:spacing w:after="150"/>
      </w:pPr>
      <w:r>
        <w:t>For each instance of Azure IoT Operations connector for OPC UA, Customer may install and use the commanding capability of the Azure IoT Operations connector for OPC UA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Schema Registry feature of Azure Device Registry in Azure IoT Operations Use Rights and Use Case</w:t>
      </w:r>
    </w:p>
    <w:p>
      <w:pPr>
        <w:pStyle w:val="NormalWeb"/>
        <w:spacing w:after="150"/>
      </w:pPr>
      <w:r>
        <w:t>Customer may use the schema registry feature from Azure Device Registry within Azure IoT Operations in Production, Non-Production and Trial Use Cases. Customer may use a maximum of 200 schemas per schema registry.</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Edge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Edge Essentials (AKS EE) only on Windows and Windows Server to host, manage, and service validly licensed containers running validly licensed applications.</w:t>
      </w:r>
    </w:p>
    <w:p>
      <w:pPr>
        <w:pStyle w:val="NormalWeb"/>
        <w:spacing w:before="150"/>
      </w:pPr>
      <w:r>
        <w:t>One (1) SL for AKS EE permits Customer to use AKS EE on one (1) physical device or virtual machine.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Pre-Release Features</w:t>
      </w:r>
    </w:p>
    <w:p>
      <w:pPr>
        <w:pStyle w:val="NormalWeb"/>
        <w:spacing w:after="150"/>
      </w:pPr>
      <w:r>
        <w:t>Microsoft may provide pre-release features in AKS EE which are for preview purposes only and may not be used in a production environment. Such pre-release features may not work correctly or the way a final commercial version of the features will. Microsoft may change the commercial versions of such features or may not release commercial versions.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If Customer gives feedback about the pre-release features or AKS EE to Microsoft, Customer gives to Microsoft, without charge, the right to use, share and commercialize Customer feedback in any way and for any purpose. Customer will not give feedback that is subject to a license that requires Microsoft to license its software or documentation to third parties because Microsoft includes Customer feedback in them. These rights survive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on Azure Local and Azure Kubernetes Service Runtime on Windows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on Azure Local (AKS on Local) and Azure Kubernetes Service Runtime on Windows Server (AKS on WS) (collectively, AKS) only (i) on Azure Local (with respect to AKS on Local) or Windows Server (with respect to AKS on WS) running on servers dedicated to Customer's use and (ii) to host, manage, and service validly licensed containers running validly licensed applications.  </w:t>
      </w:r>
    </w:p>
    <w:p>
      <w:pPr>
        <w:pStyle w:val="NormalWeb"/>
        <w:spacing w:before="150"/>
      </w:pPr>
      <w:r>
        <w:t>Customer may use AKS as long as it is registered with Customer's valid Azure subscription in order to enable additional AKS functionality and to meter and invoice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Applications</w:t>
      </w:r>
    </w:p>
    <w:p>
      <w:pPr>
        <w:pStyle w:val="NormalWeb"/>
        <w:spacing w:after="150"/>
      </w:pPr>
      <w:r>
        <w:t>AKS may include other Microsoft applications. These license terms apply to those included applications, if any, unless other license terms are provided with the other Microsoft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Software</w:t>
      </w:r>
    </w:p>
    <w:p>
      <w:pPr>
        <w:pStyle w:val="NormalWeb"/>
        <w:spacing w:after="150"/>
      </w:pPr>
      <w:r>
        <w:t>AKS may include third party components with separate legal notices or governed by other agreements, as may be described in the ThirdPartyNotices file(s) accompanying AKS or within AKS itself.</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work around any mandatory registration or sign-up process for AKS.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Support</w:t>
      </w:r>
    </w:p>
    <w:p>
      <w:pPr>
        <w:pStyle w:val="NormalWeb"/>
        <w:spacing w:after="150"/>
      </w:pPr>
      <w:r>
        <w:t>Any support for AKS is provided "as is", "with all faults", and without warranty of any kind.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AKS may automatically download and install updates for you. You agree to receive these automatic updates without any additional notice. Updates may not include all existing software features, services, or peripheral devices.</w:t>
      </w:r>
    </w:p>
    <w:p>
      <w:pPr>
        <w:pStyle w:val="Heading3"/>
        <w:spacing w:before="150" w:beforeAutospacing="0"/>
        <w:rPr>
          <w:rFonts w:eastAsia="Times New Roman"/>
          <w:color w:val="0078D4"/>
          <w:sz w:val="26"/>
          <w:szCs w:val="26"/>
        </w:rPr>
      </w:pPr>
      <w:r>
        <w:rPr>
          <w:rFonts w:eastAsia="Times New Roman"/>
          <w:color w:val="0078D4"/>
          <w:sz w:val="26"/>
          <w:szCs w:val="26"/>
        </w:rPr>
        <w:t>Azure Lab Services</w:t>
      </w:r>
    </w:p>
    <w:p>
      <w:pPr>
        <w:pStyle w:val="NormalWeb"/>
        <w:spacing w:after="150"/>
      </w:pPr>
      <w:r>
        <w:t>While Microsoft provides Azure Lab Services to Customer, as between Customer and Microsoft, Customer is the sole provider of related services to Customer's end users and shall have sole and exclusive responsibility to end users, including any support obligations. Customer's end users are not a party to any agreement with Microsoft regarding the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Notification; Liability; Bar on Actions Against Microsoft</w:t>
      </w:r>
    </w:p>
    <w:p>
      <w:pPr>
        <w:pStyle w:val="NormalWeb"/>
        <w:spacing w:after="150"/>
      </w:pPr>
      <w:r>
        <w:t>Customer will notify Microsoft promptly of any incidents that could have an impact on Microsoft such as a data breach, password issues, end user complaint(s), loss of user data, or intellectual property or privacy claims.</w:t>
      </w:r>
    </w:p>
    <w:p>
      <w:pPr>
        <w:pStyle w:val="NormalWeb"/>
        <w:spacing w:before="150"/>
      </w:pPr>
      <w:r>
        <w:t>Customer acknowledges and agrees that Microsoft has no obligation or liability to Customer or any end user for the end user's usage of the service.</w:t>
      </w:r>
    </w:p>
    <w:p>
      <w:pPr>
        <w:pStyle w:val="NormalWeb"/>
        <w:spacing w:before="150"/>
      </w:pPr>
      <w:r>
        <w:t>By using the service, an end user may not bring any action against Microsoft in relation to the services. If any end user does bring an action against Microsoft, the Indemnification provision in this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Indemnification</w:t>
      </w:r>
    </w:p>
    <w:p>
      <w:pPr>
        <w:pStyle w:val="NormalWeb"/>
        <w:spacing w:after="150"/>
      </w:pPr>
      <w:r>
        <w:t>Customer agrees to hold harmless and indemnify Microsoft from and against any claim by an end user, third party, and/or regulatory authority in connection with the service provided to end users. Customer shall pay any resulting judgment, or settlement, and all costs, including reasonable attorney's fees, and expenses related thereto.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Terms</w:t>
      </w:r>
    </w:p>
    <w:p>
      <w:pPr>
        <w:pStyle w:val="NormalWeb"/>
        <w:spacing w:after="150"/>
      </w:pPr>
      <w:r>
        <w:t>In order to provide the services to end users, Customer and Customer's end users must validly agree to a binding, written agreement that contain the substance of the following requirements:</w:t>
      </w:r>
    </w:p>
    <w:p>
      <w:pPr>
        <w:pStyle w:val="NormalWeb"/>
        <w:spacing w:before="150"/>
      </w:pPr>
      <w:r>
        <w:rPr>
          <w:u w:val="single"/>
        </w:rPr>
        <w:t>Statement of Relationship</w:t>
      </w:r>
      <w:r>
        <w:t>: Customer is the sole provider of the services. Customer is responsible for providing any support to end users. The services will be provided by Customer to Customer's end users under your terms of use and privacy policy.</w:t>
      </w:r>
    </w:p>
    <w:p>
      <w:pPr>
        <w:pStyle w:val="NormalWeb"/>
        <w:spacing w:before="150"/>
      </w:pPr>
      <w:r>
        <w:rPr>
          <w:u w:val="single"/>
        </w:rPr>
        <w:t>Compliance; Acceptable Use</w:t>
      </w:r>
      <w:r>
        <w:t>: Customer is solely responsible for ensuring compliance with all applicable laws, including, but not limited GDPR, with respect to Customer's provision and end users' use of the service. In addition, for clarity and without limiting the Acceptable Use Policy, Customer and Customer's end users may not use Azure Lab Services to facilitate or engage in cryptocurrency mining. Violation of this prohibition may result in suspension of the service, as set forth in the Acceptable Use Policy.</w:t>
      </w:r>
    </w:p>
    <w:p>
      <w:pPr>
        <w:pStyle w:val="NormalWeb"/>
        <w:spacing w:before="150"/>
      </w:pPr>
      <w:r>
        <w:rPr>
          <w:u w:val="single"/>
        </w:rPr>
        <w:t>Disclaimer of Warranties</w:t>
      </w:r>
      <w:r>
        <w:t>: Customer will disclaim any and all warranties in connection with the services, and Customer will disclaim the same with respect to Microsoft.</w:t>
      </w:r>
    </w:p>
    <w:p>
      <w:pPr>
        <w:pStyle w:val="NormalWeb"/>
        <w:spacing w:before="150"/>
      </w:pPr>
      <w:r>
        <w:rPr>
          <w:u w:val="single"/>
        </w:rPr>
        <w:t>Limitation of Liability and Exclusion of Damages</w:t>
      </w:r>
      <w:r>
        <w:t>: Customer will disclaim liability and exclude damages in a way that is consistent with the provisions of any applicable agreement(s) between Customer and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is responsible for updating the virtual machines (VMs) in Customer's portfolio. Notwithstanding the foregoing, Microsoft may, but is not obligated to, take any action it deems reasonable in its business judgment with respect to the VMs in your portfolio, including applying any updates or other changes generally applicable to the services.</w:t>
      </w:r>
    </w:p>
    <w:p>
      <w:pPr>
        <w:pStyle w:val="Heading3"/>
        <w:spacing w:before="150" w:beforeAutospacing="0"/>
        <w:rPr>
          <w:rFonts w:eastAsia="Times New Roman"/>
          <w:color w:val="0078D4"/>
          <w:sz w:val="26"/>
          <w:szCs w:val="26"/>
        </w:rPr>
      </w:pPr>
      <w:r>
        <w:rPr>
          <w:rFonts w:eastAsia="Times New Roman"/>
          <w:color w:val="0078D4"/>
          <w:sz w:val="26"/>
          <w:szCs w:val="26"/>
        </w:rPr>
        <w:t>Azure Machine Learning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NVIDIA Components</w:t>
      </w:r>
    </w:p>
    <w:p>
      <w:pPr>
        <w:pStyle w:val="NormalWeb"/>
        <w:spacing w:after="150"/>
      </w:pPr>
      <w:r>
        <w:t xml:space="preserve">Azure Machine Learning service may include NVIDIA Corporation's CUDA Toolkit, Tesla drivers, cuDNN, DIGITS, NCCL, and TensorRT (the "NVIDIA Components"), Customer agrees that its use of NVIDIA Components is governed by the NVIDIA Cloud End User License Agreement for Compute at </w:t>
      </w:r>
      <w:hyperlink r:id="rId162" w:tgtFrame="_blank" w:history="1">
        <w:r>
          <w:rPr>
            <w:rStyle w:val="Hyperlink"/>
            <w:color w:val="505050"/>
          </w:rPr>
          <w:t>https://go.microsoft.com/fwlink/?linkid=874330</w:t>
        </w:r>
      </w:hyperlink>
      <w:hyperlink r:id="rId162"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Model Catalog/Registry</w:t>
      </w:r>
    </w:p>
    <w:p>
      <w:pPr>
        <w:pStyle w:val="NormalWeb"/>
        <w:spacing w:after="150"/>
      </w:pPr>
      <w:r>
        <w:t xml:space="preserve">Any third-party models that Microsoft makes available in the Model Catalog and/or Model Registry are deemed to be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subject to the terms for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in these Microsoft Product Terms. Customer's use of any such third-party models is governed by the third-party license terms provided in connection with the model.</w:t>
      </w:r>
    </w:p>
    <w:p>
      <w:pPr>
        <w:pStyle w:val="Heading3"/>
        <w:spacing w:before="150" w:beforeAutospacing="0"/>
        <w:rPr>
          <w:rFonts w:eastAsia="Times New Roman"/>
          <w:color w:val="0078D4"/>
          <w:sz w:val="26"/>
          <w:szCs w:val="26"/>
        </w:rPr>
      </w:pPr>
      <w:r>
        <w:rPr>
          <w:rFonts w:eastAsia="Times New Roman"/>
          <w:color w:val="0078D4"/>
          <w:sz w:val="26"/>
          <w:szCs w:val="26"/>
        </w:rPr>
        <w:t>Azure Maps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Navigation restrictions</w:t>
      </w:r>
    </w:p>
    <w:p>
      <w:pPr>
        <w:pStyle w:val="NormalWeb"/>
        <w:spacing w:after="150"/>
      </w:pPr>
      <w:r>
        <w:t xml:space="preserve">Customer may not use Azure Maps, or any part thereof (1) to enable turn-by-turn navigation functionality in any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or use within an automatic or autonomous vehicle control; or (2) with a vehicle's dashboard, or a device connected to a vehicles dashboard, systems, or sensors, except that the device may be connected to the vehicle power source for charging purposes.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Database restrictions </w:t>
      </w:r>
    </w:p>
    <w:p>
      <w:pPr>
        <w:pStyle w:val="NormalWeb"/>
        <w:spacing w:after="150"/>
      </w:pPr>
      <w:r>
        <w:t>Customer may not use Azure Maps or any part thereof to create a competing database or service, or a derived database populated wholly or partially with Customer's content and/or content supplied or created by any third party.</w:t>
      </w:r>
    </w:p>
    <w:p>
      <w:pPr>
        <w:pStyle w:val="NormalWeb"/>
        <w:spacing w:before="150"/>
      </w:pPr>
      <w:r>
        <w:t>Customer will not use the content delivered by the Azure Maps in combination with any other third-party database, except that Customer may layer onto the content a type of content not already included within Azure Maps (such as Customer's proprietary content) or which Microsoft separately licenses to Customer.</w:t>
      </w:r>
    </w:p>
    <w:p>
      <w:pPr>
        <w:pStyle w:val="NormalWeb"/>
        <w:spacing w:before="150"/>
      </w:pPr>
      <w:r>
        <w:t>When using content licensed under or subject to an open-source license, Customer may not combine the use of Azure Maps, or any part thereof, in a way that potentially compromises copyright protection.</w:t>
      </w:r>
    </w:p>
    <w:p>
      <w:pPr>
        <w:pStyle w:val="NormalWeb"/>
        <w:spacing w:before="150"/>
      </w:pPr>
      <w:r>
        <w:t>Customer will not modify or create a derivative work based on Azure Maps, or any part thereof, unless expressly permitted to do so under these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API Results</w:t>
      </w:r>
    </w:p>
    <w:p>
      <w:pPr>
        <w:pStyle w:val="NormalWeb"/>
        <w:spacing w:after="150"/>
      </w:pPr>
      <w:r>
        <w:t>Microsoft may, in its sole discretion, limit the rate at which Azure Maps, or any portion thereof, may be called.</w:t>
      </w:r>
    </w:p>
    <w:p>
      <w:pPr>
        <w:pStyle w:val="NormalWeb"/>
        <w:spacing w:before="150"/>
      </w:pPr>
      <w:r>
        <w:t>Customer may not cache or store results delivered by the Azure Maps API for the purpose of scaling such Results (as defined below) to serve multiple users, or to circumvent any functionality in Azure Maps, including but not limited to (i) map data tiles, or (ii) information on the calculation of a path between two (2) or more points ("Route") information (collectively the "Results").</w:t>
      </w:r>
    </w:p>
    <w:p>
      <w:pPr>
        <w:pStyle w:val="NormalWeb"/>
        <w:spacing w:before="150"/>
      </w:pPr>
      <w:r>
        <w:t xml:space="preserve">Caching and storing Results and locations (latitude and longitude pair) or addresses that have been returned from a call to Azure Maps ("Geocode"/ "Reverse Geocode") are permitted where the purpose of caching is to reduce latency times of the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Results may not be stored for longer than: (i) the validity period indicated in returned headers; or (ii) 6 months, whichever is shorter. However, Customer may store Geocodes as long as Customer maintains an active Azure account.</w:t>
      </w:r>
    </w:p>
    <w:p>
      <w:pPr>
        <w:pStyle w:val="NormalWeb"/>
        <w:spacing w:before="150"/>
      </w:pPr>
      <w:r>
        <w:t>Customer may not display any Results, and/or Azure Maps Weather service results, solely as described in these Terms, on any third-party content or geographical map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Map Content</w:t>
      </w:r>
    </w:p>
    <w:p>
      <w:pPr>
        <w:pStyle w:val="NormalWeb"/>
        <w:spacing w:after="150"/>
      </w:pPr>
      <w:r>
        <w:t>Use of content displaying the TomTom copyright notice must be in accordance with restrictions set forth in the TomTom Licensing Third Party Product Terms and EULA (</w:t>
      </w:r>
      <w:hyperlink r:id="rId163" w:tgtFrame="_blank" w:history="1">
        <w:r>
          <w:rPr>
            <w:rStyle w:val="Hyperlink"/>
            <w:color w:val="505050"/>
          </w:rPr>
          <w:t>https://tomtom.com/product-attributions/</w:t>
        </w:r>
      </w:hyperlink>
      <w:r>
        <w:t>).</w:t>
      </w:r>
    </w:p>
    <w:p>
      <w:pPr>
        <w:pStyle w:val="NormalWeb"/>
        <w:spacing w:before="150"/>
      </w:pPr>
      <w:r>
        <w:t xml:space="preserve">Azure Maps may include content that is subject to the Open Data Commons Open Database License ("ODbL"), available at </w:t>
      </w:r>
      <w:hyperlink r:id="rId164" w:tgtFrame="_blank" w:history="1">
        <w:r>
          <w:rPr>
            <w:rStyle w:val="Hyperlink"/>
            <w:color w:val="505050"/>
          </w:rPr>
          <w:t>https://opendatacommons.org/licenses/odbl/</w:t>
        </w:r>
      </w:hyperlink>
      <w:r>
        <w:t xml:space="preserve"> or a successor site. Customer's use of such content is subject to the terms of the ODbL, including the License and Community Guidelines available at https://osmfoundation.org/wiki/Licence/Community_Guidelines, as well as these terms. </w:t>
      </w:r>
    </w:p>
    <w:p>
      <w:pPr>
        <w:pStyle w:val="NormalWeb"/>
        <w:spacing w:before="150"/>
      </w:pPr>
      <w:r>
        <w:t>Additional information on Customer's use of Azure Maps or functionalities is described in product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Imagery Content</w:t>
      </w:r>
    </w:p>
    <w:p>
      <w:pPr>
        <w:pStyle w:val="NormalWeb"/>
        <w:spacing w:after="150"/>
      </w:pPr>
      <w:r>
        <w:t>When using Azure Maps, Customer may not, nor may permit end users to, replace maps from Azure Maps with maps supplied by any other mapping platform. Notwithstanding the foregoing, Customer may overlay satellite/aerial imagery that Customer has the rights to use, provided that such imagery does not substantially replace the base satellite/aerial imagery provided by Azure Maps. Customer may not modify or create a derivative work based on any content using machine learning or artificial intelligence, unless expressly permitted to do so under these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region parameter</w:t>
      </w:r>
    </w:p>
    <w:p>
      <w:pPr>
        <w:pStyle w:val="NormalWeb"/>
        <w:spacing w:after="150"/>
      </w:pPr>
      <w:r>
        <w:t>User region parameter in Azure Maps must be used in compliance with applicable laws, including those regarding mapping, of the country where maps, images and other content and third-party content that Customer is authorized to access via Azure Maps is made available.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warranty for accuracy</w:t>
      </w:r>
    </w:p>
    <w:p>
      <w:pPr>
        <w:pStyle w:val="NormalWeb"/>
        <w:spacing w:after="150"/>
      </w:pPr>
      <w:r>
        <w:t>Microsoft and its suppliers make no warranty that the maps, images, content or any content delivered by Azure Maps will be accurate or complete.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Copyright</w:t>
      </w:r>
    </w:p>
    <w:p>
      <w:pPr>
        <w:pStyle w:val="NormalWeb"/>
        <w:spacing w:after="150"/>
      </w:pPr>
      <w:r>
        <w:t xml:space="preserve">Customers may not remove, obscure, mask or change any logo and/or copyright notice placed on or automatically generated by Azure Maps. Customer must display in a conspicuous manner within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any Microsoft or third-party attribution provided by Microsoft. In addition, customers using the Azure Maps Render services must use the "Get Map Attribution" API to obtain the copyright attribution text and display it in their </w:t>
      </w:r>
      <w:hyperlink w:anchor="_Toc20"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Print Rights</w:t>
      </w:r>
    </w:p>
    <w:p>
      <w:pPr>
        <w:pStyle w:val="NormalWeb"/>
        <w:spacing w:after="150"/>
      </w:pPr>
      <w:r>
        <w:t>Customer may and allow end users to print, save, or use screen shots of Azure Maps, or any part thereof, of the type "Road Map" and "Satellite" ("Prints"). Prints may be used for commercial purposes. Acceptable commercial purposes for Prints include: (i) use in an advertisement or press article about Microsoft products or services; (ii) sending PDF Prints to customers; (iii) printing a browser page including Azure Maps, or any part thereof, to create a flyer or handout; (iv) use within documents or presentations; and (v) sending in an email.</w:t>
      </w:r>
    </w:p>
    <w:p>
      <w:pPr>
        <w:pStyle w:val="NormalWeb"/>
        <w:spacing w:before="150"/>
      </w:pPr>
      <w:r>
        <w:t>Prints must include the following copyright attribution statement: "Microsoft product screen shot(s) reprinted with permission from Microsoft Corporation."</w:t>
      </w:r>
    </w:p>
    <w:p>
      <w:pPr>
        <w:pStyle w:val="NormalWeb"/>
        <w:spacing w:before="150"/>
      </w:pPr>
      <w:r>
        <w:t>Customer may not, nor may Customer permit end users to:</w:t>
      </w:r>
    </w:p>
    <w:p>
      <w:pPr>
        <w:numPr>
          <w:ilvl w:val="0"/>
          <w:numId w:val="8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way that is disparaging, defamatory, or libelous to Microsoft, any of its products, or any other person or entity.</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of an identifiable individual.</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more than 5,000 copies of any single Road Map Print or Satellite imagery.</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download, transmit or save the ‘raw' data (tiles) from Azure Maps under any circumstances.</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to create production maps which are similar to or compete with commercial maps or atlases.</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Azure Maps to produce Prints similar to a local mapping authority.</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imply Microsoft sponsorship, affiliation, or endorsement of Customer's product or service.</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comparative advertisement.</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 screen shot in any way except to resize the screen shot.</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Prints in Customer's product user interface.</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prints that display the Zenrin copyright notice, © [Year] Zenrin. For example, maps isolated solely on Japan.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Broadcast Media &amp; Entertainment</w:t>
      </w:r>
    </w:p>
    <w:p>
      <w:pPr>
        <w:pStyle w:val="NormalWeb"/>
        <w:spacing w:after="150"/>
      </w:pPr>
      <w:r>
        <w:t>Customer may use the imagery provided in Azure Maps with television programming and the Road Maps in Azure Maps with television programming, media and entertainment use. Customer may only use Azure Maps to provide graphics, imagery, animations and/or video showing Azure Maps that are intended to be viewed by end users who are unable to interact with the final graphics, imagery and/or video. Customer may use Azure Maps solely in conjunction with and integrated into Customer Solution that use Azure Maps for broadcast use ("Broadcast Applications") using only methods and means of access that are documented. The media incorporating the Road Maps content from Azure Maps may be stored, recorded, distributed, and redistributed both online and offline for television broadcast, media and entertainment use (including movies and similar scenarios), except for Road Maps of France, Australia, Czech Republic, Switzerland and Japan. The media incorporating the imagery content from Azure Maps may be: (i) recorded, distributed and redistributed online as part of television broadcasts and (ii) stored and distributed offline for television broadcast purposes only, except for Road Maps in type "Hybrid" of France, Australia, Czech Republic, Switzerland and Japan. Additional rights may only be obtained by written agreement with Microsoft.  </w:t>
      </w:r>
    </w:p>
    <w:p>
      <w:pPr>
        <w:pStyle w:val="NormalWeb"/>
        <w:spacing w:before="150"/>
      </w:pPr>
      <w:r>
        <w:t xml:space="preserve">Customer must follow the content attribution requirements provided at: </w:t>
      </w:r>
      <w:hyperlink r:id="rId165" w:tgtFrame="_blank" w:history="1">
        <w:r>
          <w:rPr>
            <w:rStyle w:val="Hyperlink"/>
            <w:color w:val="505050"/>
          </w:rPr>
          <w:t>https://www.microsoft.com/legal/intellectualproperty/trademarks</w:t>
        </w:r>
      </w:hyperlink>
      <w:r>
        <w:t>. To the extent applicable local law prohibits Customer from attributing content sources by displaying their logos with Azure Maps, Customer must prominently display the source of the content as a text string.  </w:t>
      </w:r>
    </w:p>
    <w:p>
      <w:pPr>
        <w:pStyle w:val="NormalWeb"/>
        <w:spacing w:before="150"/>
      </w:pPr>
      <w:r>
        <w:t>In developing Broadcast Applications, and in using Azure Maps, Customer may not, nor may Customer permit end users to distribute or broadcast the road traffic data from Azure Maps.</w:t>
      </w:r>
    </w:p>
    <w:p>
      <w:pPr>
        <w:pStyle w:val="Heading3"/>
        <w:spacing w:before="150" w:beforeAutospacing="0"/>
        <w:rPr>
          <w:rFonts w:eastAsia="Times New Roman"/>
          <w:color w:val="0078D4"/>
          <w:sz w:val="26"/>
          <w:szCs w:val="26"/>
        </w:rPr>
      </w:pPr>
      <w:r>
        <w:rPr>
          <w:rFonts w:eastAsia="Times New Roman"/>
          <w:color w:val="0078D4"/>
          <w:sz w:val="26"/>
          <w:szCs w:val="26"/>
        </w:rPr>
        <w:t>Azure Orbital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Authorization Required</w:t>
      </w:r>
    </w:p>
    <w:p>
      <w:pPr>
        <w:pStyle w:val="NormalWeb"/>
        <w:spacing w:after="150"/>
      </w:pPr>
      <w:r>
        <w:t>Customers may not use the Azure Orbital service to receive signals from or transmit signals to a satellite space station without the authorization of its operator. By subscribing to the Azure Orbital service, you represent to Microsoft that your intended operations will occur only with the satellite space-station operator's consent.</w:t>
      </w:r>
    </w:p>
    <w:p>
      <w:pPr>
        <w:pStyle w:val="Heading3"/>
        <w:spacing w:before="150" w:beforeAutospacing="0"/>
        <w:rPr>
          <w:rFonts w:eastAsia="Times New Roman"/>
          <w:color w:val="0078D4"/>
          <w:sz w:val="26"/>
          <w:szCs w:val="26"/>
        </w:rPr>
      </w:pPr>
      <w:r>
        <w:rPr>
          <w:rFonts w:eastAsia="Times New Roman"/>
          <w:color w:val="0078D4"/>
          <w:sz w:val="26"/>
          <w:szCs w:val="26"/>
        </w:rPr>
        <w:t>Azure Private 5G Core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Software License</w:t>
      </w:r>
    </w:p>
    <w:p>
      <w:pPr>
        <w:pStyle w:val="NormalWeb"/>
        <w:spacing w:after="150"/>
      </w:pPr>
      <w:r>
        <w:t xml:space="preserve">Subject to the following terms and conditions, Microsoft grants you a nonexclusive, limited, royalty-free, nontransferable right to use the Azure Private 5G Core software solely as part of an </w:t>
      </w:r>
      <w:hyperlink w:anchor="_Toc20" w:tooltip="Azure Private MEC Solution means a combined software and hardware private multi-access edge compute offering which includes Azure Network Function Manager." w:history="1">
        <w:r>
          <w:rPr>
            <w:rStyle w:val="Hyperlink"/>
            <w:color w:val="505050"/>
          </w:rPr>
          <w:t>Azure Private MEC Solution</w:t>
        </w:r>
      </w:hyperlink>
      <w:r>
        <w:t xml:space="preserve">. Customer agrees that it will only use Azure Private 5G Core after review by Microsoft and may be required to assent to additional terms and conditions, visit </w:t>
      </w:r>
      <w:hyperlink r:id="rId166" w:tgtFrame="_blank" w:history="1">
        <w:r>
          <w:rPr>
            <w:rStyle w:val="Hyperlink"/>
            <w:color w:val="505050"/>
          </w:rPr>
          <w:t>aka.ms/ap5gcvalidation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Local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use the Azure Local software only (i) on devices dedicated to Customer's internal use and (ii) as a host operating system to manage and service validly licensed virtual machines running validly licensed applications. Any server that is under the management or control of an entity other than Customer or one of its Affiliates is subject to the </w:t>
      </w:r>
      <w:hyperlink r:id="rId167" w:history="1">
        <w:r>
          <w:rPr>
            <w:rStyle w:val="Hyperlink"/>
            <w:color w:val="505050"/>
          </w:rPr>
          <w:t>Outsourcing Software Management</w:t>
        </w:r>
      </w:hyperlink>
      <w:r>
        <w:t xml:space="preserve"> clause. Customer may use the Azure Local software as long as it is (i) registered with Customer's valid Azure subscription in order to enable additional Azure Local functionality and to meter and invoice Customer and (ii) connected to Customer's Azure subscription over the Internet at least once every thirty (30) consecutive calendar days.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(i) work around any mandatory registration or sign-up process for Azure Local or (ii) run any applications, operating system roles, and/or other workloads directly on the Azure Local software except for (A) utilities and operating system roles and (B) virtualized machines running Azure Local, both (A) and (B) as necessary to enable Azure Local to host, manage, and service validly licensed virtual machines running validly licensed applications.  </w:t>
      </w:r>
    </w:p>
    <w:p>
      <w:pPr>
        <w:pStyle w:val="Heading3"/>
        <w:spacing w:before="150" w:beforeAutospacing="0"/>
        <w:rPr>
          <w:rFonts w:eastAsia="Times New Roman"/>
          <w:color w:val="0078D4"/>
          <w:sz w:val="26"/>
          <w:szCs w:val="26"/>
        </w:rPr>
      </w:pPr>
      <w:r>
        <w:rPr>
          <w:rFonts w:eastAsia="Times New Roman"/>
          <w:color w:val="0078D4"/>
          <w:sz w:val="26"/>
          <w:szCs w:val="26"/>
        </w:rPr>
        <w:t>Azure Stack Hub</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Hub</w:t>
      </w:r>
    </w:p>
    <w:p>
      <w:pPr>
        <w:pStyle w:val="NormalWeb"/>
        <w:spacing w:after="150"/>
      </w:pPr>
      <w:r>
        <w:t>Customer may use Azure Stack Hub only on the hardware on which it is preinstalled.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Default Provider Subscription</w:t>
      </w:r>
    </w:p>
    <w:p>
      <w:pPr>
        <w:pStyle w:val="NormalWeb"/>
        <w:spacing w:after="150"/>
      </w:pPr>
      <w:r>
        <w:t>The subscription created for the system administrator during the Azure Stack Hub deployment process (the default provider subscription) may be used solely to deploy and manage the Azure Stack Hub infrastructure; it may not be used to run any workload that does not deploy or manage Azure Stack Hub infrastructure (e.g. it may not be used to run any application workloads).</w:t>
      </w:r>
    </w:p>
    <w:p>
      <w:pPr>
        <w:pStyle w:val="Heading3"/>
        <w:spacing w:before="150" w:beforeAutospacing="0"/>
        <w:rPr>
          <w:rFonts w:eastAsia="Times New Roman"/>
          <w:color w:val="0078D4"/>
          <w:sz w:val="26"/>
          <w:szCs w:val="26"/>
        </w:rPr>
      </w:pPr>
      <w:r>
        <w:rPr>
          <w:rFonts w:eastAsia="Times New Roman"/>
          <w:color w:val="0078D4"/>
          <w:sz w:val="26"/>
          <w:szCs w:val="26"/>
        </w:rPr>
        <w:t>Azure Stack Hub Plan</w:t>
      </w:r>
    </w:p>
    <w:p>
      <w:pPr>
        <w:pStyle w:val="NormalWeb"/>
        <w:spacing w:after="150"/>
      </w:pPr>
      <w:r>
        <w:t xml:space="preserve">Customer may use Microsoft Azure Stack Hub on a </w:t>
      </w:r>
      <w:hyperlink w:anchor="_Toc20" w:tooltip="Licensed Server means a single Server to which a License is assigned. See Glossary for full definition." w:history="1">
        <w:r>
          <w:rPr>
            <w:rStyle w:val="Hyperlink"/>
            <w:color w:val="505050"/>
          </w:rPr>
          <w:t>Licensed Server</w:t>
        </w:r>
      </w:hyperlink>
      <w:r>
        <w:t xml:space="preserve">, provided it acquires a number of SLs equal to the number of </w:t>
      </w:r>
      <w:hyperlink w:anchor="_Toc20" w:tooltip="Physical Core means a core in a Physical Processor." w:history="1">
        <w:r>
          <w:rPr>
            <w:rStyle w:val="Hyperlink"/>
            <w:color w:val="505050"/>
          </w:rPr>
          <w:t>Physical Cores</w:t>
        </w:r>
      </w:hyperlink>
      <w:r>
        <w:t xml:space="preserve"> on that </w:t>
      </w:r>
      <w:hyperlink w:anchor="_Toc20" w:tooltip="Server means a physical hardware system capable of running server software." w:history="1">
        <w:r>
          <w:rPr>
            <w:rStyle w:val="Hyperlink"/>
            <w:color w:val="505050"/>
          </w:rPr>
          <w:t>Server</w:t>
        </w:r>
      </w:hyperlink>
      <w:r>
        <w:t xml:space="preserve">. Licenses are reduction eligible; however, ongoing use remains subject to the requirement to retain licenses equal to the </w:t>
      </w:r>
      <w:hyperlink w:anchor="_Toc20" w:tooltip="Physical Core means a core in a Physical Processor." w:history="1">
        <w:r>
          <w:rPr>
            <w:rStyle w:val="Hyperlink"/>
            <w:color w:val="505050"/>
          </w:rPr>
          <w:t>Physical Cores</w:t>
        </w:r>
      </w:hyperlink>
      <w:r>
        <w:t xml:space="preserve"> on the </w:t>
      </w:r>
      <w:hyperlink w:anchor="_Toc20"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SQL Edge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IoT Device</w:t>
      </w:r>
    </w:p>
    <w:p>
      <w:pPr>
        <w:pStyle w:val="NormalWeb"/>
        <w:spacing w:after="150"/>
      </w:pPr>
      <w:r>
        <w:t xml:space="preserve">Any </w:t>
      </w:r>
      <w:hyperlink w:anchor="_Toc20"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SQL Edge  </w:t>
      </w:r>
    </w:p>
    <w:p>
      <w:pPr>
        <w:pStyle w:val="NormalWeb"/>
        <w:spacing w:after="150"/>
      </w:pPr>
      <w:r>
        <w:t xml:space="preserve">Customer may install and use any number of copies of the Azure SQL Edge software on an </w:t>
      </w:r>
      <w:hyperlink w:anchor="_Toc20"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dedicated to Customer's use and to which a </w:t>
      </w:r>
      <w:hyperlink w:anchor="_Toc20" w:tooltip="License means the right to download, install, access and use a Product." w:history="1">
        <w:r>
          <w:rPr>
            <w:rStyle w:val="Hyperlink"/>
            <w:color w:val="505050"/>
          </w:rPr>
          <w:t>License</w:t>
        </w:r>
      </w:hyperlink>
      <w:r>
        <w:t xml:space="preserve"> is assigned. Notwithstanding anything to the contrary in </w:t>
      </w:r>
      <w:hyperlink r:id="rId131" w:history="1">
        <w:r>
          <w:rPr>
            <w:rStyle w:val="Hyperlink"/>
            <w:color w:val="505050"/>
          </w:rPr>
          <w:t>Universal Terms for Online Services</w:t>
        </w:r>
      </w:hyperlink>
      <w:r>
        <w:t xml:space="preserve">, Customer may reassign a </w:t>
      </w:r>
      <w:hyperlink w:anchor="_Toc20" w:tooltip="License means the right to download, install, access and use a Product." w:history="1">
        <w:r>
          <w:rPr>
            <w:rStyle w:val="Hyperlink"/>
            <w:color w:val="505050"/>
          </w:rPr>
          <w:t>License</w:t>
        </w:r>
      </w:hyperlink>
      <w:r>
        <w:t xml:space="preserve"> at any time to other </w:t>
      </w:r>
      <w:hyperlink w:anchor="_Toc20"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s dedicated to its use. If Customer installs any features or functionalities other than the Azure SQL Edge software (whether derived from Microsoft or third party software) on the </w:t>
      </w:r>
      <w:hyperlink w:anchor="_Toc20"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then those other features or functionalities may be used only to support the IoT Program.  </w:t>
      </w:r>
    </w:p>
    <w:p>
      <w:pPr>
        <w:pStyle w:val="Heading3"/>
        <w:spacing w:before="150" w:beforeAutospacing="0"/>
        <w:rPr>
          <w:rFonts w:eastAsia="Times New Roman"/>
          <w:color w:val="0078D4"/>
          <w:sz w:val="26"/>
          <w:szCs w:val="26"/>
        </w:rPr>
      </w:pPr>
      <w:r>
        <w:rPr>
          <w:rFonts w:eastAsia="Times New Roman"/>
          <w:color w:val="0078D4"/>
          <w:sz w:val="26"/>
          <w:szCs w:val="26"/>
        </w:rPr>
        <w:t>Azure SQL Managed Instance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Managed Instances include the following Fail-over entitlements:</w:t>
      </w:r>
    </w:p>
    <w:p>
      <w:pPr>
        <w:numPr>
          <w:ilvl w:val="0"/>
          <w:numId w:val="8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Server Virtual Machines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SQL Server Virtual Machines include the following Fail-over entitlements:</w:t>
      </w:r>
    </w:p>
    <w:p>
      <w:pPr>
        <w:numPr>
          <w:ilvl w:val="0"/>
          <w:numId w:val="8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and</w:t>
      </w:r>
    </w:p>
    <w:p>
      <w:pPr>
        <w:numPr>
          <w:ilvl w:val="0"/>
          <w:numId w:val="8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0"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 xml:space="preserve"> simultaneously for brief periods of disaster recovery testing every 90 days, and around the time of a disaster, for a brief period, to assist in the transfer between them. Customer may perform the following maintenance-related operations for any permitted </w:t>
      </w:r>
      <w:hyperlink w:anchor="_Toc20"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The number of vCores used may not exceed the vCore size of the corresponding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w:t>
      </w:r>
      <w:hyperlink w:anchor="_Toc20"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Database include the following Fail-over entitlements:</w:t>
      </w:r>
    </w:p>
    <w:p>
      <w:pPr>
        <w:numPr>
          <w:ilvl w:val="0"/>
          <w:numId w:val="9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20"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Style w:val="Strong"/>
          <w:rFonts w:eastAsia="Times New Roman"/>
          <w:color w:val="0078D4"/>
          <w:sz w:val="26"/>
          <w:szCs w:val="26"/>
        </w:rPr>
        <w:t>Azure Virtual Desktop Per User Access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 </w:t>
      </w:r>
    </w:p>
    <w:p>
      <w:pPr>
        <w:pStyle w:val="NormalWeb"/>
        <w:spacing w:after="150"/>
      </w:pPr>
      <w:r>
        <w:t>"End User" means a third-party individual that acquires Azure Virtual Desktop Customer Solution from Customer for End User's own internal use (without the right to resell or redistribute it).</w:t>
      </w:r>
    </w:p>
    <w:p>
      <w:pPr>
        <w:pStyle w:val="NormalWeb"/>
        <w:spacing w:before="150"/>
      </w:pPr>
      <w:r>
        <w:t>"Azure Virtual Desktop Customer Solution" means an application or any set of applications that adds primary and significant functionality to the 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w:t>
      </w:r>
    </w:p>
    <w:p>
      <w:pPr>
        <w:pStyle w:val="NormalWeb"/>
        <w:spacing w:after="150"/>
      </w:pPr>
      <w:r>
        <w:t>Azure Virtual Desktop per user access licenses are only available for Customer's external commercial purposes to serve Azure Virtual Desktop Customer Solutions to third parties on Azure. Customer may not use the licenses acquired under this model for internal purposes. Customer may assign no more than one million user identities licensed under this model to its Azure Virtual Desktop session hosts.</w:t>
      </w:r>
    </w:p>
    <w:p>
      <w:pPr>
        <w:pStyle w:val="NormalWeb"/>
        <w:spacing w:before="150"/>
      </w:pPr>
      <w:r>
        <w:t>To access Azure Virtual Desktop for internal business purposes Customer may acquire select Windows Enterprise and Microsoft 365 licenses. Please see the relevant product sections for more details.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Entitlements </w:t>
      </w:r>
    </w:p>
    <w:p>
      <w:pPr>
        <w:pStyle w:val="NormalWeb"/>
        <w:spacing w:after="150"/>
      </w:pPr>
      <w:r>
        <w:t>End Users may connect to up to five Azure Virtual Desktop session hosts at once.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Entitlement  </w:t>
      </w:r>
    </w:p>
    <w:p>
      <w:pPr>
        <w:pStyle w:val="NormalWeb"/>
        <w:spacing w:after="150"/>
      </w:pPr>
      <w:r>
        <w:t>The General Service Terms Azure Customer Solution clause does not apply. Notwithstanding the general restrictions in Customer's agreement that preclude reselling, redistributing, or using the Products to offer commercial hosting services to third parties, Customer may, subject to the conditions set forth below:</w:t>
      </w:r>
    </w:p>
    <w:p>
      <w:pPr>
        <w:pStyle w:val="NormalWeb"/>
        <w:spacing w:before="150"/>
      </w:pPr>
      <w:r>
        <w:t>Combine Azure Virtual Desktop per user access licenses with applications owned or licensed by Customer or a third party to create an Azure Virtual Desktop Customer Solution solely for use on Microsoft Azure, and permit End Users to access and use Azure Virtual Desktop per user access licenses in connection with the use of that Azure Virtual Desktop Customer Solution on a rental, subscription or services basis (whether or not a fee for such use is paid).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Terms </w:t>
      </w:r>
    </w:p>
    <w:p>
      <w:pPr>
        <w:pStyle w:val="NormalWeb"/>
        <w:spacing w:after="150"/>
      </w:pPr>
      <w:r>
        <w:rPr>
          <w:rStyle w:val="Strong"/>
        </w:rPr>
        <w:t>Indemnification</w:t>
      </w:r>
      <w:r>
        <w:t>. Customer agrees to defend Microsoft from and against any claim by an End User, third party, and/or regulatory authority arising from, or in connection with, the Azure Virtual Desktop Customer Solution provided to End Users. Customer will pay the amount of any adverse final judgment or approved settlement resulting from a claim covered by this section.  The obligations under this section are not subject to the limitation of liability or exclusion of certain damages under Customer's volume licensing agreement.</w:t>
      </w:r>
    </w:p>
    <w:p>
      <w:pPr>
        <w:pStyle w:val="NormalWeb"/>
        <w:spacing w:before="150"/>
      </w:pPr>
      <w:r>
        <w:rPr>
          <w:rStyle w:val="Strong"/>
        </w:rPr>
        <w:t>Support</w:t>
      </w:r>
      <w:r>
        <w:t>.  Microsoft is not obligated to provide support services to Customer or its End Users in connection with the Azure Virtual Desktop Customer Solution.  Customer alone is responsible for providing technical support to End Users for all aspects and components of the Azure Virtual Desktop Customer Solution, either itself or by obtaining and continuously maintaining support for its End Users through Microsoft or a third party. Customer must inform End Users of this fact.  Any support from Microsoft for questions or issues that arise as part of Customer's support of the Azure Virtual Desktop Customer Solution must be obtained under a separate support services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AGREEMENT REQUIREMENTS</w:t>
      </w:r>
    </w:p>
    <w:p>
      <w:pPr>
        <w:pStyle w:val="NormalWeb"/>
        <w:spacing w:after="150"/>
      </w:pPr>
      <w:r>
        <w:t>Company must:</w:t>
      </w:r>
    </w:p>
    <w:p>
      <w:pPr>
        <w:numPr>
          <w:ilvl w:val="0"/>
          <w:numId w:val="9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Notify each End User before or at the time of purchase (in the appropriate language versions for the locations in which Company will deliver the Azure Virtual Desktop Customer Solution) that the Azure Virtual Desktop Customer Solution contains Microsoft technology that is subject to certain license terms and that the End User must agree to the license terms before using the Product.</w:t>
      </w:r>
    </w:p>
    <w:p>
      <w:pPr>
        <w:numPr>
          <w:ilvl w:val="0"/>
          <w:numId w:val="9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the following acknowledgment in the credit screen or about screen and documentation of any Azure Virtual Desktop Customer Solution:  "© Copyright 2021 Microsoft Corporation.  All rights reserved."</w:t>
      </w:r>
    </w:p>
    <w:p>
      <w:pPr>
        <w:numPr>
          <w:ilvl w:val="0"/>
          <w:numId w:val="9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Present and execute license terms in a manner that forms a contract binding the End User under applicable law. Such license terms must contain the substance of the requirements contained in the following exemplar:</w:t>
      </w:r>
    </w:p>
    <w:p>
      <w:pPr>
        <w:pStyle w:val="Heading5"/>
        <w:rPr>
          <w:rFonts w:eastAsia="Times New Roman"/>
        </w:rPr>
      </w:pPr>
      <w:r>
        <w:rPr>
          <w:rStyle w:val="Strong"/>
          <w:rFonts w:eastAsia="Times New Roman"/>
        </w:rPr>
        <w:t>TERMS AND CONDITIONS REGARDING USE OF MICROSOFT SOFTWARE &amp; ONLINE SERVICES</w:t>
      </w:r>
    </w:p>
    <w:p>
      <w:pPr>
        <w:pStyle w:val="cms-block-indent-1"/>
      </w:pPr>
      <w:r>
        <w:t>This document governs the use of software and online services ("Software Services") that [insert Service Provider's name] ("Service Provider") provides to you on a rental, subscription or services basis, and that include Microsoft software and online services ("Microsoft Products").  Service Provider does not own the Microsoft Products and the use thereof is subject to certain rights and limitations of which Service Provider must inform you.  Your right to use the Microsoft Products is subject to the terms of your agreement with Service Provider, and to your understanding of, compliance with, and consent to the following terms and conditions, which Service Provider does not have authority to vary, alter, or amend.</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OWNERSHIP OF MICROSOFT PRODUCTS</w:t>
      </w:r>
      <w:r>
        <w:rPr>
          <w:rFonts w:ascii="Segoe UI" w:eastAsia="Times New Roman" w:hAnsi="Segoe UI" w:cs="Segoe UI"/>
          <w:color w:val="505050"/>
          <w:sz w:val="18"/>
          <w:szCs w:val="18"/>
        </w:rPr>
        <w:t>.  The Microsoft Products are licensed to Service Provider from an affiliate of the Microsoft Corporation (collectively "Microsoft").  Microsoft Products are protected by copyright and other intellectual property rights. Microsoft Products and related elements including but not limited to any images, photographs, animations, video, audio, music, text and "applets" incorporated into the Microsoft Products are owned by Microsoft or its suppliers. You may not remove, modify or obscure any copyright trademark or other proprietary rights notices that are contained in or on the Microsoft Products. The Microsoft Products are protected by copyright laws and international copyright treaties, as well as other intellectual property laws and treaties.  Your possession, access, or use of the Microsoft Products does not transfer any ownership of the Microsoft Products or any intellectual property rights to you.</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SOFTWARE SERVICES</w:t>
      </w:r>
      <w:r>
        <w:rPr>
          <w:rFonts w:ascii="Segoe UI" w:eastAsia="Times New Roman" w:hAnsi="Segoe UI" w:cs="Segoe UI"/>
          <w:color w:val="505050"/>
          <w:sz w:val="18"/>
          <w:szCs w:val="18"/>
        </w:rPr>
        <w:t>.  You may use the Software Services only in accordance with your agreement with Service Provider and these terms.  These terms permanently and irrevocably supersede the terms of any Microsoft End User License Agreement that may be presented in electronic form during the installation and/or use of the Software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COPIES</w:t>
      </w:r>
      <w:r>
        <w:rPr>
          <w:rFonts w:ascii="Segoe UI" w:eastAsia="Times New Roman" w:hAnsi="Segoe UI" w:cs="Segoe UI"/>
          <w:color w:val="505050"/>
          <w:sz w:val="18"/>
          <w:szCs w:val="18"/>
        </w:rPr>
        <w:t>.  You may not make any copies of the Products.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LIMITATIONS ON REVERSE ENGINEERING, DECOMPILATION AND DISASSEMBLY</w:t>
      </w:r>
      <w:r>
        <w:rPr>
          <w:rFonts w:ascii="Segoe UI" w:eastAsia="Times New Roman" w:hAnsi="Segoe UI" w:cs="Segoe UI"/>
          <w:color w:val="505050"/>
          <w:sz w:val="18"/>
          <w:szCs w:val="18"/>
        </w:rPr>
        <w:t>.  You may not reverse engineer, decompile, or disassemble the Products, except and only to the extent that applicable law, notwithstanding this limitation, expressly permits such activity.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RENTAL</w:t>
      </w:r>
      <w:r>
        <w:rPr>
          <w:rFonts w:ascii="Segoe UI" w:eastAsia="Times New Roman" w:hAnsi="Segoe UI" w:cs="Segoe UI"/>
          <w:color w:val="505050"/>
          <w:sz w:val="18"/>
          <w:szCs w:val="18"/>
        </w:rPr>
        <w:t>.  You may not rent, lease, lend, pledge, or directly or indirectly transfer or distribute the Products to any third party, and may not permit any third party to have access to and/or use the functionality of the Products except for the sole purpose of accessing the functionality of the Products in the form of Software Services in accordance with the terms of this agreement and any agreement between you and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TERMINATION</w:t>
      </w:r>
      <w:r>
        <w:rPr>
          <w:rFonts w:ascii="Segoe UI" w:eastAsia="Times New Roman" w:hAnsi="Segoe UI" w:cs="Segoe UI"/>
          <w:color w:val="505050"/>
          <w:sz w:val="18"/>
          <w:szCs w:val="18"/>
        </w:rPr>
        <w:t>.  Without prejudice to any other rights, Service Provider may terminate your rights to use the Products if you fail to comply with these terms and conditions.  In the event of termination or cancellation of your agreement with Service Provider or Service Provider's agreement with Microsoft under which the Products are licensed, you must stop using and/or accessing the Products, and destroy all copies of the Products and all of their component parts within thirty (30) days of the termination of your agreement with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WARRANTIES, LIABILITIES OR REMEDIES BY MICROSOFT</w:t>
      </w:r>
      <w:r>
        <w:rPr>
          <w:rFonts w:ascii="Segoe UI" w:eastAsia="Times New Roman" w:hAnsi="Segoe UI" w:cs="Segoe UI"/>
          <w:color w:val="505050"/>
          <w:sz w:val="18"/>
          <w:szCs w:val="18"/>
        </w:rPr>
        <w:t>.  Microsoft disclaims, to the extent permitted by applicable law, all warranties and liability for damages by Microsoft or its suppliers for any damages and remedies whether direct, indirect or consequential, arising from the Software Services. Any warranties and liabilities are provided solely by Service Provider and not by Microsoft, its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PRODUCT SUPPORT</w:t>
      </w:r>
      <w:r>
        <w:rPr>
          <w:rFonts w:ascii="Segoe UI" w:eastAsia="Times New Roman" w:hAnsi="Segoe UI" w:cs="Segoe UI"/>
          <w:color w:val="505050"/>
          <w:sz w:val="18"/>
          <w:szCs w:val="18"/>
        </w:rPr>
        <w:t>.  Any support for the Software Services is provided to you by Service Provider or a third party on Service Provider's behalf and is not provided by Microsoft, its suppliers,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NOT FAULT TOLERANT</w:t>
      </w:r>
      <w:r>
        <w:rPr>
          <w:rFonts w:ascii="Segoe UI" w:eastAsia="Times New Roman" w:hAnsi="Segoe UI" w:cs="Segoe UI"/>
          <w:color w:val="505050"/>
          <w:sz w:val="18"/>
          <w:szCs w:val="18"/>
        </w:rPr>
        <w:t>.  The Products are not fault-tolerant and are not guaranteed to be error free or to operate uninterrupted.  You must not use the Products in any application or situation where the Product(s) failure could lead to death or serious bodily injury of any person, or to severe physical or environmental damage ("High Risk Use").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EXPORT RESTRICTIONS</w:t>
      </w:r>
      <w:r>
        <w:rPr>
          <w:rFonts w:ascii="Segoe UI" w:eastAsia="Times New Roman" w:hAnsi="Segoe UI" w:cs="Segoe UI"/>
          <w:color w:val="505050"/>
          <w:sz w:val="18"/>
          <w:szCs w:val="18"/>
        </w:rPr>
        <w:t xml:space="preserve">.  The Products are subject to U.S. export jurisdiction.  You must comply with all applicable laws including the U.S. Export Administration Regulations, the International Traffic in Arms Regulations, as well as end-user, end-use and destination restrictions issued by U.S. and other governments.  For additional information, see </w:t>
      </w:r>
      <w:hyperlink r:id="rId168" w:tgtFrame="_blank" w:history="1">
        <w:r>
          <w:rPr>
            <w:rStyle w:val="Hyperlink"/>
            <w:rFonts w:ascii="Segoe UI" w:eastAsia="Times New Roman" w:hAnsi="Segoe UI" w:cs="Segoe UI"/>
            <w:color w:val="505050"/>
            <w:sz w:val="18"/>
            <w:szCs w:val="18"/>
          </w:rPr>
          <w:t>http://www.microsoft.com/exporting/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LIABILITY FOR BREACH</w:t>
      </w:r>
      <w:r>
        <w:rPr>
          <w:rFonts w:ascii="Segoe UI" w:eastAsia="Times New Roman" w:hAnsi="Segoe UI" w:cs="Segoe UI"/>
          <w:color w:val="505050"/>
          <w:sz w:val="18"/>
          <w:szCs w:val="18"/>
        </w:rPr>
        <w:t>.  In addition to any liability you may have to the Service Provider, you agree that you will also be legally responsible directly to Microsoft for any breach of these terms and conditions.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INFORMATION DISCLOSURE</w:t>
      </w:r>
      <w:r>
        <w:rPr>
          <w:rFonts w:ascii="Segoe UI" w:eastAsia="Times New Roman" w:hAnsi="Segoe UI" w:cs="Segoe UI"/>
          <w:color w:val="505050"/>
          <w:sz w:val="18"/>
          <w:szCs w:val="18"/>
        </w:rPr>
        <w:t>.  You must permit Service Provider to disclose any information requested by Microsoft under the Service Provider's Agreement. Microsoft will be an intended third-party beneficiary of your agreement with Service Provider, with the right to enforce provisions of your agreement with Service Provider and to verify your compliance.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 AND DATA PROTECTION</w:t>
      </w:r>
      <w:r>
        <w:rPr>
          <w:rFonts w:ascii="Segoe UI" w:eastAsia="Times New Roman" w:hAnsi="Segoe UI" w:cs="Segoe UI"/>
          <w:color w:val="505050"/>
          <w:sz w:val="18"/>
          <w:szCs w:val="18"/>
        </w:rPr>
        <w:t>.  The Software Service will be provided by Service Provider you under its privacy policy.</w:t>
      </w:r>
    </w:p>
    <w:p>
      <w:pPr>
        <w:pStyle w:val="Heading3"/>
        <w:spacing w:before="150" w:beforeAutospacing="0"/>
        <w:rPr>
          <w:rFonts w:eastAsia="Times New Roman"/>
          <w:color w:val="0078D4"/>
          <w:sz w:val="26"/>
          <w:szCs w:val="26"/>
        </w:rPr>
      </w:pPr>
      <w:r>
        <w:rPr>
          <w:rFonts w:eastAsia="Times New Roman"/>
          <w:color w:val="0078D4"/>
          <w:sz w:val="26"/>
          <w:szCs w:val="26"/>
        </w:rPr>
        <w:t>Azure VMware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Deployment and Usage Information</w:t>
      </w:r>
    </w:p>
    <w:p>
      <w:pPr>
        <w:pStyle w:val="NormalWeb"/>
        <w:spacing w:after="150"/>
      </w:pPr>
      <w:r>
        <w:t>Customer authorizes Microsoft to share with VMware its status as a customer of Azure VMware Solution and associated Azure VMware Solution deployment and usage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Foundry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Integrated Services</w:t>
      </w:r>
    </w:p>
    <w:p>
      <w:pPr>
        <w:pStyle w:val="NormalWeb"/>
        <w:spacing w:after="150"/>
      </w:pPr>
      <w:r>
        <w:t>When Azure AI Services or Azure Machine Learning services are accessed and used through Microsoft Foundry, the product terms applicable to those services apply in addition to applicable Microsoft Foundry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w:t>
      </w:r>
    </w:p>
    <w:p>
      <w:pPr>
        <w:pStyle w:val="NormalWeb"/>
        <w:spacing w:after="150"/>
      </w:pPr>
      <w:r>
        <w:t>When Customer uses Grounding with Bing Search and/or Grounding with Bing Custom Search (including use of Web Knowledge Source), Customer's use will be of a </w:t>
      </w:r>
      <w:hyperlink w:anchor="_Toc20" w:tooltip="First-Party Consumption Services are Microsoft Online Services that are available as Azure meters. These Microsoft services include, but are not limited to, certain Power Platform, Dynamics 365, Microsoft 365 Copilot Chat, Dragon Copilot, and GitHub meters" w:history="1">
        <w:r>
          <w:rPr>
            <w:u w:val="single"/>
          </w:rPr>
          <w:t>First-Party Consumption Service</w:t>
        </w:r>
      </w:hyperlink>
      <w:r>
        <w:t xml:space="preserve"> governed by the terms at </w:t>
      </w:r>
      <w:hyperlink r:id="rId169"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Foundry Models</w:t>
      </w:r>
    </w:p>
    <w:p>
      <w:pPr>
        <w:pStyle w:val="NormalWeb"/>
        <w:spacing w:after="150"/>
      </w:pPr>
      <w:r>
        <w:rPr>
          <w:rStyle w:val="Strong"/>
        </w:rPr>
        <w:t>Third-party models</w:t>
      </w:r>
      <w:r>
        <w:t xml:space="preserve">: Any third-party models that Microsoft makes available through Microsoft Foundry Models (including in a Model Catalog, Model Registry, or otherwise) are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for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Notwithstanding the foregoing, any </w:t>
      </w:r>
      <w:hyperlink w:anchor="_Toc20" w:tooltip="Azure Direct Model means an AI model designated and deployed as an Azure Direct Model in Microsoft Foundry." w:history="1">
        <w:r>
          <w:rPr>
            <w:rStyle w:val="Hyperlink"/>
            <w:color w:val="505050"/>
          </w:rPr>
          <w:t>Azure Direct Model</w:t>
        </w:r>
      </w:hyperlink>
      <w:r>
        <w:t xml:space="preserve"> that is not designated as an open license model is subject to the terms below for </w:t>
      </w:r>
      <w:hyperlink w:anchor="_Toc20" w:tooltip="Azure Direct Model means an AI model designated and deployed as an Azure Direct Model in Microsoft Foundry." w:history="1">
        <w:r>
          <w:rPr>
            <w:rStyle w:val="Hyperlink"/>
            <w:color w:val="505050"/>
          </w:rPr>
          <w:t>Azure Direct Models</w:t>
        </w:r>
      </w:hyperlink>
      <w:r>
        <w:t>.</w:t>
      </w:r>
    </w:p>
    <w:p>
      <w:pPr>
        <w:pStyle w:val="NormalWeb"/>
        <w:spacing w:before="150"/>
      </w:pPr>
      <w:r>
        <w:rPr>
          <w:rStyle w:val="Strong"/>
        </w:rPr>
        <w:t xml:space="preserve">Models from Microsoft other than </w:t>
      </w:r>
      <w:hyperlink w:anchor="_Toc20" w:tooltip="Azure Direct Model means an AI model designated and deployed as an Azure Direct Model in Microsoft Foundry." w:history="1">
        <w:r>
          <w:rPr>
            <w:rStyle w:val="Strong"/>
          </w:rPr>
          <w:t>Azure Direct Models</w:t>
        </w:r>
      </w:hyperlink>
      <w:r>
        <w:t xml:space="preserve">: Microsoft may make models available in the Model Catalog as </w:t>
      </w:r>
      <w:hyperlink w:anchor="_Toc20"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subject to the </w:t>
      </w:r>
      <w:hyperlink r:id="rId54" w:anchor="clause-2588-h3-1" w:tgtFrame="_blank" w:history="1">
        <w:r>
          <w:rPr>
            <w:rStyle w:val="Hyperlink"/>
            <w:color w:val="505050"/>
          </w:rPr>
          <w:t>Azure availability clause</w:t>
        </w:r>
      </w:hyperlink>
      <w:r>
        <w:t xml:space="preserve"> and subject to the license terms provided with the models.</w:t>
      </w:r>
    </w:p>
    <w:p>
      <w:pPr>
        <w:pStyle w:val="NormalWeb"/>
        <w:spacing w:before="150"/>
      </w:pPr>
      <w:r>
        <w:rPr>
          <w:rStyle w:val="Strong"/>
        </w:rPr>
        <w:t>Azure Direct Models</w:t>
      </w:r>
      <w:r>
        <w:t xml:space="preserve">: </w:t>
      </w:r>
      <w:hyperlink w:anchor="_Toc20" w:tooltip="Azure Direct Model means an AI model designated and deployed as an Azure Direct Model in Microsoft Foundry." w:history="1">
        <w:r>
          <w:rPr>
            <w:rStyle w:val="Hyperlink"/>
            <w:color w:val="505050"/>
          </w:rPr>
          <w:t>Azure Direct Models</w:t>
        </w:r>
      </w:hyperlink>
      <w:r>
        <w:t xml:space="preserve"> provided through Microsoft Foundry Models (excluding any </w:t>
      </w:r>
      <w:hyperlink w:anchor="_Toc20" w:tooltip="Azure Direct Model means an AI model designated and deployed as an Azure Direct Model in Microsoft Foundry." w:history="1">
        <w:r>
          <w:rPr>
            <w:rStyle w:val="Hyperlink"/>
            <w:color w:val="505050"/>
          </w:rPr>
          <w:t>Azure Direct Model</w:t>
        </w:r>
      </w:hyperlink>
      <w:r>
        <w:t xml:space="preserve"> designated as an open license model) are subject to the </w:t>
      </w:r>
      <w:hyperlink r:id="rId25" w:tgtFrame="_blank" w:history="1">
        <w:r>
          <w:rPr>
            <w:rStyle w:val="Hyperlink"/>
            <w:color w:val="505050"/>
          </w:rPr>
          <w:t>Universal License Terms for Online Services</w:t>
        </w:r>
      </w:hyperlink>
      <w:r>
        <w:t xml:space="preserve"> (including the terms for </w:t>
      </w:r>
      <w:hyperlink w:anchor="_Toc20" w:tooltip="Microsoft Generative AI Service means an Online Service or feature thereof that uses generative artificial intelligence technologies to generate outputs." w:history="1">
        <w:r>
          <w:rPr>
            <w:rStyle w:val="Hyperlink"/>
            <w:color w:val="505050"/>
          </w:rPr>
          <w:t>Microsoft Generative AI Services</w:t>
        </w:r>
      </w:hyperlink>
      <w:r>
        <w:t>) and Azure service terms as supplemented or modified below:</w:t>
      </w:r>
    </w:p>
    <w:p>
      <w:pPr>
        <w:numPr>
          <w:ilvl w:val="0"/>
          <w:numId w:val="9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Access</w:t>
      </w:r>
      <w:r>
        <w:rPr>
          <w:rFonts w:ascii="Segoe UI" w:eastAsia="Times New Roman" w:hAnsi="Segoe UI" w:cs="Segoe UI"/>
          <w:color w:val="505050"/>
          <w:sz w:val="18"/>
          <w:szCs w:val="18"/>
        </w:rPr>
        <w:t xml:space="preserve">: Microsoft reserves the right to designate specific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(or versions of models) as Limited Access Services, in which case the Limited Access Services terms for Azure AI Services will apply to access to and use of such designated model.</w:t>
      </w:r>
    </w:p>
    <w:p>
      <w:pPr>
        <w:numPr>
          <w:ilvl w:val="0"/>
          <w:numId w:val="9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Use and Access for Abuse Monitoring</w:t>
      </w:r>
      <w:r>
        <w:rPr>
          <w:rFonts w:ascii="Segoe UI" w:eastAsia="Times New Roman" w:hAnsi="Segoe UI" w:cs="Segoe UI"/>
          <w:color w:val="505050"/>
          <w:sz w:val="18"/>
          <w:szCs w:val="18"/>
        </w:rPr>
        <w:t xml:space="preserve">: Except for the Limited exception below, as part of providing the Azure Direct Models, Microsoft will temporarily store </w:t>
      </w:r>
      <w:hyperlink w:anchor="_Toc20"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and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to monitor for and prevent abusive or harmful uses or outputs of the service. Authorized Microsoft employees may review such data that has triggered our automated systems to investigate and verify potential abuse. For customers who have deployed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the European Economic Area, the authorized Microsoft employees will be located in the European Economic Area. See the product documentation </w:t>
      </w:r>
      <w:hyperlink r:id="rId170" w:tgtFrame="_blank" w:history="1">
        <w:r>
          <w:rPr>
            <w:rStyle w:val="Hyperlink"/>
            <w:rFonts w:ascii="Segoe UI" w:eastAsia="Times New Roman" w:hAnsi="Segoe UI" w:cs="Segoe UI"/>
            <w:color w:val="505050"/>
            <w:sz w:val="18"/>
            <w:szCs w:val="18"/>
          </w:rPr>
          <w:t>https://learn.microsoft.com/azure/ai-services/openai/</w:t>
        </w:r>
      </w:hyperlink>
      <w:r>
        <w:rPr>
          <w:rFonts w:ascii="Segoe UI" w:eastAsia="Times New Roman" w:hAnsi="Segoe UI" w:cs="Segoe UI"/>
          <w:color w:val="505050"/>
          <w:sz w:val="18"/>
          <w:szCs w:val="18"/>
        </w:rPr>
        <w:t xml:space="preserve"> for more information. </w:t>
      </w:r>
    </w:p>
    <w:p>
      <w:pPr>
        <w:numPr>
          <w:ilvl w:val="0"/>
          <w:numId w:val="9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exception</w:t>
      </w:r>
      <w:r>
        <w:rPr>
          <w:rFonts w:ascii="Segoe UI" w:eastAsia="Times New Roman" w:hAnsi="Segoe UI" w:cs="Segoe UI"/>
          <w:color w:val="505050"/>
          <w:sz w:val="18"/>
          <w:szCs w:val="18"/>
        </w:rPr>
        <w:t xml:space="preserve">. The Data Use and Access for Abuse Monitoring terms will not apply if and to the extent Customer is approved for and complies with all requirements to use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with Modified Abuse Monitoring.</w:t>
      </w:r>
    </w:p>
    <w:p>
      <w:pPr>
        <w:numPr>
          <w:ilvl w:val="0"/>
          <w:numId w:val="9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Output Content for fine-tuning.</w:t>
      </w:r>
      <w:r>
        <w:rPr>
          <w:rFonts w:ascii="Segoe UI" w:eastAsia="Times New Roman" w:hAnsi="Segoe UI" w:cs="Segoe UI"/>
          <w:color w:val="505050"/>
          <w:sz w:val="18"/>
          <w:szCs w:val="18"/>
        </w:rPr>
        <w:t xml:space="preserve"> Notwithstanding the restrictions on Use of Content for Training in the Universal License Terms for Microsoft Generative AI Services, and unless otherwise provided in these terms for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Customers may use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to create synthetic data for use solely to fine-tune the following model types and use them as described below: </w:t>
      </w:r>
    </w:p>
    <w:p>
      <w:pPr>
        <w:numPr>
          <w:ilvl w:val="0"/>
          <w:numId w:val="21"/>
        </w:numPr>
        <w:spacing w:line="240" w:lineRule="auto"/>
        <w:ind w:left="600"/>
        <w:rPr>
          <w:rFonts w:ascii="Segoe UI" w:eastAsia="Times New Roman" w:hAnsi="Segoe UI" w:cs="Segoe UI"/>
          <w:color w:val="505050"/>
          <w:sz w:val="18"/>
          <w:szCs w:val="18"/>
        </w:rPr>
      </w:pP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using the fine-tuning capabilities of and for deployment in Microsoft Foundry Models,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AI custom models, using the fine-tuning capabilities of and for use in that Azure AI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Fine-tunable models available in the Microsoft Foundry model catalog, using Azure fine-tuning capabilities of and for deployment via serverless API (Model-as-a-Service),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Models that are (i) designed to modify </w:t>
      </w:r>
      <w:hyperlink w:anchor="_Toc20"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or </w:t>
      </w:r>
      <w:hyperlink w:anchor="_Toc20"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Customer's use case and (ii) are deployed in one or more applications that interact with a </w:t>
      </w:r>
      <w:hyperlink w:anchor="_Toc20"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Grok models. </w:t>
      </w:r>
      <w:r>
        <w:rPr>
          <w:rFonts w:ascii="Segoe UI" w:eastAsia="Times New Roman" w:hAnsi="Segoe UI" w:cs="Segoe UI"/>
          <w:color w:val="505050"/>
          <w:sz w:val="18"/>
          <w:szCs w:val="18"/>
        </w:rPr>
        <w:t>Grok models are trained and developed by xAI. Use of Grok models in Microsoft Foundry Models is subject to – and xAI is an intended third-party beneficiary with the right to enforce – the following additional terms: </w:t>
      </w:r>
      <w:hyperlink r:id="rId171" w:tgtFrame="_blank" w:history="1">
        <w:r>
          <w:rPr>
            <w:rStyle w:val="Hyperlink"/>
            <w:rFonts w:ascii="Segoe UI" w:eastAsia="Times New Roman" w:hAnsi="Segoe UI" w:cs="Segoe UI"/>
            <w:color w:val="505050"/>
            <w:sz w:val="18"/>
            <w:szCs w:val="18"/>
          </w:rPr>
          <w:t>https://x.ai/legal/acceptable-use-policy.</w:t>
        </w:r>
      </w:hyperlink>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Certain Llama models. </w:t>
      </w:r>
      <w:r>
        <w:rPr>
          <w:rFonts w:ascii="Segoe UI" w:eastAsia="Times New Roman" w:hAnsi="Segoe UI" w:cs="Segoe UI"/>
          <w:color w:val="505050"/>
          <w:sz w:val="18"/>
          <w:szCs w:val="18"/>
        </w:rPr>
        <w:t xml:space="preserve">Llama models are trained and developed by Meta Platforms Inc. Use of Llama 3 and Llama 4 models as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Microsoft Foundry Models is subject to – and Meta Platforms Inc. is an intended third-party beneficiary with the right to enforce –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Commercial Terms. If the monthly active users of the products or services made available by or for Customer, or its affiliates, is greater than 700 million monthly active users in the preceding calendar month, Customer is not authorized to use or access the Llama models unless or until Meta expressly grants Customer such rights.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 Restrictions. If Customer is an individual domiciled in, or a company with a principal place of business in, the European Union, Customer is not permitted to, and agrees not to, use Microsoft Foundry Models to access any multimodal Llama models that may be made available via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This restriction does not apply to end users of Customer's integrated product that incorporate any such multimodal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Indemnification.  Customer will indemnify and hold harmless Meta from and against any claim by any third party arising out of or related to Customer's use or distribution of the Llama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High Risk Use. Customer agrees not to use, or to allow others to use, the Llama models to engage in, promote, incite, facilitate, or assist in the planning or development of activities that present a risk of death or bodily harm to individuals, including use of the Llama models related to military, warfare, nuclear industries or applications, espionage, or use for materials or activities that are subject to the International Traffic Arms Regulations (ITAR) maintained by the United States Department of State or to the U.S. Biological Weapons Anti-Terrorism Act of 1989 or to the Chemical Weapons Convention Implementation Act of 1997.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Attribution. If customer utilizes any Llama models (or any derivative works thereof, including via model distillation) within a product or service, Customer shall prominently display "Built with Llama" on a related website, user interface, blog post, "About" page or product documentation. Customer must also include an attribution notice in an "About", "Licenses", "Notice", or similar web page or text-based file which includes: "Llama [Version #] is licensed under the Llama [Version #] Community License, Copyright © Meta Platforms, Inc. All Rights Reserved" (and Customer will include the applicable version number for the relevant Llama AI model within the "[Version #]" placeholder in such notice). For clarity, if Customer's end users use or receive the Llama models (or any derivative works thereof) from Customer as part of use of Customer's integrated product, then this requirement does not apply to any such end users.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Black Forest Labs models.</w:t>
      </w:r>
      <w:r>
        <w:rPr>
          <w:rFonts w:ascii="Segoe UI" w:eastAsia="Times New Roman" w:hAnsi="Segoe UI" w:cs="Segoe UI"/>
          <w:color w:val="505050"/>
          <w:sz w:val="18"/>
          <w:szCs w:val="18"/>
        </w:rPr>
        <w:t xml:space="preserve"> Black Forest Labs models are trained and developed by Black Forest Labs Inc. Use of Black Forest Labs models in Microsoft Foundry Models is subject to - and Black Forest Labs Inc. is an intended third-party beneficiary with the right to enforce - the following additional terms:</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Application; End Users. If Customer integrates any of the Black Forest Labs models or any Derivatives into a service, website, and/or application ("Customer Application"), then Customer must bind the end users of the Customer Application ("End Users") to an enforceable end user agreement, acceptable use policy, and privacy policy that contains terms no less protected of Black Forest Labs than those set forth in this agreement and in the Black Forest Labs' Usage Policy available at </w:t>
      </w:r>
      <w:hyperlink r:id="rId172" w:tgtFrame="_blank" w:history="1">
        <w:r>
          <w:rPr>
            <w:rStyle w:val="Hyperlink"/>
            <w:rFonts w:ascii="Segoe UI" w:eastAsia="Times New Roman" w:hAnsi="Segoe UI" w:cs="Segoe UI"/>
            <w:color w:val="505050"/>
            <w:sz w:val="18"/>
            <w:szCs w:val="18"/>
          </w:rPr>
          <w:t>https://bfl.ai/legal/usage-policy</w:t>
        </w:r>
      </w:hyperlink>
      <w:r>
        <w:rPr>
          <w:rFonts w:ascii="Segoe UI" w:eastAsia="Times New Roman" w:hAnsi="Segoe UI" w:cs="Segoe UI"/>
          <w:color w:val="505050"/>
          <w:sz w:val="18"/>
          <w:szCs w:val="18"/>
        </w:rPr>
        <w:t>. If Customer becomes aware, or if Black Forest Labs reasonably suspects, that an End User is not in compliance with any such agreement, then Customer must immediately terminate such End User's access to and use of the Black Forest Labs models or Derivatives, and take any other steps as reasonably requested by Black Forest Labs. Customer will provide access to Black Forest Labs models to End Users only in accordance with these terms and Customer is solely responsible for all activities that occur on the Customer Application, under End User accounts, or by End Users. Customer represents and warrants to Black Forest Labs that the Customer Application will, at all times, comply with applicable laws. If Customer breaches any of these terms, all licenses granted with respect to use of Black Forest Labs models will terminate automatically. For purposes of these additional terms for Black Forest Labs models, "Derivatives" means anything that would be considered a derivative of a Black Forest Labs model under law and, whether or not considered a derivative under law, any modified version of a Black Forest Labs model (including but not limited to any fine-tuned version thereof).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BFL Outputs. The Black Forest Labs models and Derivatives may generate the same or similar BFL Output for other users, and use of the Black Forest Labs models and Derivatives may result in incorrect, obscene, or unreal BFL Output. As between Customer and Black Forest Labs, Customer is responsible for the BFL Outputs generated via the Customer Application. Customer evaluate BFL Outputs and assess the suitability for use of Black Forest Labs models. When using Black Forest Labs models or Derivatives in the Customer Application, Customer (i) shall not represent that BFL Output was human-generated; (ii) acknowledge that BFL Outputs may not be unique across users and Black Forest Labs models may generate the same or similar BFL Output for multiple users; (iii) acknowledge that BFL Outputs may contain "hallucinations" and may be inaccurate, objectionable, inappropriate, or otherwise unsuited to Customer's purpose. Customer may not use, or direct third parties to use, the Black Forest Labs models or Derivatives to generate BFL Output for the purpose of creating synthetic training data to develop or train AI models or systems that have substantially similar functionality to the Black Forest Labs models. As between Customer and Black Forest Labs, Black Forest Labs claims no ownership rights in and to Customer's BFL Output.</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Restrictions. Customer agrees that Customer will not, and will not allow or facilitate any third party (including any End User)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Input (as defined in the Product Terms), or BFL Output in a manner that violates any applicable laws or these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Modify decompile, create Derivatives based upon, or otherwise alter the Black Forest Labs models, except to the extent enabled in the service or expressly authorized by Black Forest Labs;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Derivatives, or BFL Output to develop any product, service, or technology that competes with Black Forest Labs or any of its products or services, including using any BFL Output to train, distill or fine tune any other AI models;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Attempt to gain unauthorized access to, interface with, damage, or disrupt the Black Forest Labs models, Derivatives, or the computer systems or networks connected to the Black Forest Labs models;</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 Circumvent, remove, alter, deactivate, degrade, or thwart any technological measure or content protections of the Black Forest Labs models or Derivatives;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robot, spider, crawlers, scraper, or other automatic device, process, software or queries that intercepts, "mines," scrapes, extracts, or otherwise accesses the Black Forest Labs models to monitor, extract, copy or collect information or data from or through the Black Forest Labs models, or engage in any manual process to do the same;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Upload images of individuals to the Black Forest Labs models or Derivatives without their consent or use the Black Forest Labs models or Derivatives in a harassing, threatening, abusive, inflammatory, harmful, hateful, cruel, insensitive, deceptive, or otherwise objectionable manner;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violate any applicable U.S. and non-U.S. export control and trade sanctions laws ("Export Laws") in connection with use of the Black Forest Labs models or Derivatives; or</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distribute, export, or otherwise transfer the Black Forest Labs models or Derivatives (a) to any individual, entity, or country prohibited by Export Laws; (b) to anyone on U.S. or non-U.S. government restricted parties lists; or (c) for any purpose prohibited by Export Laws, including nuclear, chemical or biological weapons, or missile technology applications.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Content Filters and Labelling. As part of Customer's use of Black Forest Labs models or Derivatives, Customer must (i) implement and maintain content filtering measures to prevent the creation, display, transmission, generation, or dissemination of unlawful or infringing content, or (ii) ensure BFL Output undergoes review for unlawful or infringing content before public or non-public distribution, display, transmission or dissemination. Customer must follow applicable law for use of the Black Forest Labs Models to create, display, transmit, generate, or disseminate content. Customer must comply with applicable law on content provenance measures in Customer's use of the Black Forest Labs models. Customer must also implement reasonable abuse monitoring measures for Customer's End User's use of the Customer Application and the Black Forest Labs models or Derivatives.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Release. Customer hereby releases and forever discharges Black Forest Labs and its predecessors, successors, and their respective parent corporations, affiliates, related, and/or subsidiary entities, and all of their past and present investors, directors, shareholders, officers, general or limited partners, employees, attorneys, agents and representatives (the "BFL Releasees"), from and against any and all claims, debts, demands, accounts, judgments, rights, causes of action, equitable relief, damages, costs, charges, complaints, obligations, promises, agreements, controversies, suits, expenses, compensation, responsibility and liability of every kind and character whatsoever (including attorneys' fees and costs), whether in law or equity known or unknown, asserted or unasserted, suspected or unsuspected (collectively, "BFL Released Claims"), arising directly or indirectly, out of or related to BFL Output, content filtering, and content moderation, or the failure to implement adequate content filtering or content moderation.</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CUSTOMER ACKNOWLEDGES THAT IT HAS BEEN ADVISED OF AND IS FAMILIAR WITH THE PROVISIONS OF CALIFORNIA CIVIL CODE SECTION 1542, WHICH PROVIDES AS FOLLOWS: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BEING AWARE OF SAID CODE SECTION, CUSTOMER HEREBY EXPRESSLY WAIVES ANY RIGHTS CUSTOMER MAY HAVE THEREUNDER WITH RESPECT TO BLACK FOREST LABS, AS WELL AS UNDER ANY OTHER STATUTES OR COMMON LAW PRINCIPLES OF SIMILAR EFFECT.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Black Forest Labs Technology; Ownership.  Black Forest Labs will own all right, title, and interest in and to (i) any of the artificial intelligence and machine learning models — including the models' various elements, such as model weights, algorithms, software, checkpoints, parameters, source code (inference code, evaluation code, fine-tuning code) — offered as a Black Forest Labs model via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(ii) any software code offered as a Black Forest Labs model via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and (iii) any Black Forest Labs names, logos, trademarks, and service marks of the models offered as a Black Forest Labs model via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(collectively, "Black Forest Labs Technology"). Customer acknowledges that no intellectual property rights are assigned or transferred to Customer under these terms, other than the limited right to access and use the a Black Forest Labs models via Azure Direct Models. In the event that, by operation of law or otherwise, Customer obtains any intellectual property rights, interest, or ownership in any Black Forest Labs Technology, Customer agrees, to the fullest extent possible under applicable law, to assign such rights to Black Forest Labs.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Indemnification. Customer agrees to indemnify, defend and hold Black Forest Labs and its parents, affiliates, related companies, officers, directors, employees, agents, representatives, partners, and licensors harmless from and against any and all actions, causes of actions, claims, demands, liabilities, losses, judgments, damages or expenses (collectively, "BFL Indemnity Claims") which Black Forest Labs may at any time incur, sustain or become subject to by reason of any BFL Indemnity Claim (a) brought by a third party and arising from Customer's or, if applicable, Customer's End User's (i) breach of these terms or any law or regulation, (ii) operation of a Customer Application, (iii) violation of any rights of any third party, (iv) misuse of the Black Forest Labs models, (v) content or Input, (vi) BFL Output, (vii) fine-tuning of any Black Forest Labs models, and (viii) negligence or willful misconduct or (b) brought by an End User. Customer will pay all costs, damages, and expenses incurred by Black Forest Labs, including reasonable attorneys' fees and costs awarded against or otherwise incurred Black Forest Labs in connection with or arising from any such BFL Indemnity Claim, provided that Black Forest Labs notifies Customer of any such BFL Indemnity Claim. If Customer does not timely and adequately conduct such defense, Black Forest Labs may, at its option and at Customer's expense, conduct such defense, contest, litigate or settle the BFL Indemnity Claim using counsel of Black Forest Labs' own choice without prejudice to Black Forest Labs' right of indemnification. Black Forest Labs will have the right to be represented by counsel at its own expense in any such contest, defense, litigation or settlement conducted by Customer.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Effect of Termination or Expiration. Upon termination or expiration of Customer's agreement with Microsoft, all licenses granted under the agreement to use Black Forest Labs models via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will terminate.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Certain Mistral Models</w:t>
      </w:r>
      <w:r>
        <w:rPr>
          <w:rFonts w:ascii="Segoe UI" w:eastAsia="Times New Roman" w:hAnsi="Segoe UI" w:cs="Segoe UI"/>
          <w:color w:val="505050"/>
          <w:sz w:val="18"/>
          <w:szCs w:val="18"/>
        </w:rPr>
        <w:t xml:space="preserve">. Mistral models are trained and developed by Mistral AI and its Affiliates ("Mistral AI"). Use of Mistral models as </w:t>
      </w:r>
      <w:hyperlink w:anchor="_Toc20"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("Mistral AI Products") in Microsoft Foundry Models is subject to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Intellectual Property. As between Customer and Mistral AI, Mistral AI remains the sole owner of all right, title, and interest in and to the Mistral AI Products, including any modifications or enhancements thereto, and all intellectual property in all of the foregoing, but excluding any developments made by Customer to customize a Mistral AI Product or in furtherance of Customer's use of a Mistral AI Product, in each case only as expressly authorized under the Product Terms including these additional terms ("Customer Developments"). Mistral AI makes no claims of any right, title, or interest in or to Customer Developments. For the avoidance of doubt, Customer Developments do not include the underlying Mistral AI Product customized or used by Customer. </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Restrictions. Customer will not, and will not permit any other person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violates any applicable laws or the Product Terms including these additional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infringes, misappropriates, or otherwise violates any third party's rights, including intentionally using the Mistral AI Products to generate Mistral Outputs that infringe third party rights; "Mistral Outputs" means output from a Mistral AI Product based on Customer's Input);</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send any personal information of children under 13 or the applicable age of digital consent or allow minors to use the Mistral AI Products without consent from their parent or guardian; reverse assemble, reverse compile, decompile, translate, engage in model extraction or stealing attacks, or otherwise attempt to discover the source code or underlying components of the Mistral AI Products, algorithms, and systems of the Mistral AI Products (except to the extent these restrictions are contrary to applicable law);</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compromise the security or proper functionality of the Mistral AI Products, including interfering with, circumventing, or bypassing security or moderation mechanisms in the Mistral AI Products or performing any vulnerability, penetration, or similar testing of the Mistral AI Products;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method to extract any content from the Mistral AI Products other than Mistral Outputs; or distribute or market the Mistral AI Products as a standalone product or Mistral AI Product and/or act as a distributor of the Mistral AI Products without Mistral AI's prior written consent.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Disclaimer. EXCEPT FOR THE EXPRESS WARRANTIES PROVIDED BY MISTRAL AI IN THE PRODUCT TERMS INCLUDING THESE ADDITIONAL TERMS, MISTRAL AI PROVIDES NO WARRANTIES, WHETHER EXPRESS, IMPLIED, STATUTORY, OR OTHERWISE, INCLUDING WARRANTIES OF MERCHANTIBILITY OR FITNESS FOR A PARTICULAR PURPOSE, OR THAT THE MISTRAL OUTPUTS WILL BE ACCURATE, RELIABLE, COMPLETE, OR SUITABLE FOR CUSTOMER'S SPECIFIC REQUIREMENTS. THESE DISCLAIMERS WILL APPLY EXCEPT TO THE EXTENT APPLICABLE LAW DOES NOT PERMIT THEM.</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Indemnity.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Mistral AI. Mistral AI will indemnify, defend, and hold Customer harmless against any liabilities, damages and costs (including reasonable attorneys' fees) arising out of a third-party claim to the extent alleging that the Mistral AI Products infringe that third party's patent, copyright or trademark or makes unlawful use of its trade secret. Mistral AI will have no obligations under this clause to the extent the claim arises from: (i) the combination of the Mistral AI Products with software, hardware, or any other equipment not provided by or on behalf of Mistral AI or otherwise authorized or recommended in the applicable documentation; (ii) modification of the Mistral AI Products or Mistral Outputs by any party other than Mistral AI; (iii) Customer Data; or (iv) Customer's breach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Customer. Customer will indemnify, defend, and hold Mistral AI and its licensors harmless from and against any liabilities, damages, and costs (including reasonable attorneys' fees) arising out of a third-party claim related to the use of the Mistral AI Products in violation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Procedure. The indemnification obligations in this section are subject to the indemnifying Party (a) receiving a prompt written notice of such claim; (b) being granted the exclusive right to control and direct (including the authority to select legal counsel) the investigation, defense or settlement strategy of such claim; and (c) benefitting from all reasonable necessary cooperation and assistance, including access to the relevant information, by the indemnified Party at the indemnifying Party's expense. Any settlement requiring the indemnified Party to admit liability, pay money, or take (or refrain from taking) any action, will require the indemnified Party's prior written consent. </w:t>
      </w:r>
    </w:p>
    <w:p>
      <w:pPr>
        <w:pStyle w:val="Heading3"/>
        <w:spacing w:before="150" w:beforeAutospacing="0"/>
        <w:rPr>
          <w:rFonts w:eastAsia="Times New Roman"/>
          <w:color w:val="0078D4"/>
          <w:sz w:val="26"/>
          <w:szCs w:val="26"/>
        </w:rPr>
      </w:pPr>
      <w:r>
        <w:rPr>
          <w:rFonts w:eastAsia="Times New Roman"/>
          <w:color w:val="0078D4"/>
          <w:sz w:val="26"/>
          <w:szCs w:val="26"/>
        </w:rPr>
        <w:t>Azure AI Services</w:t>
      </w:r>
    </w:p>
    <w:p>
      <w:pPr>
        <w:pStyle w:val="NormalWeb"/>
        <w:spacing w:after="150"/>
      </w:pPr>
      <w:r>
        <w:t>For the purposes of this section, "Services" means collectively the Azure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documentation</w:t>
      </w:r>
    </w:p>
    <w:p>
      <w:pPr>
        <w:pStyle w:val="NormalWeb"/>
        <w:spacing w:after="150"/>
      </w:pPr>
      <w:r>
        <w:t>Microsoft may provide technical documentation regarding the appropriate operation applicable to the Services (including the applicable developer guides), which is made available online by Microsoft and updated from time to time. Customer acknowledges and agrees that it has reviewed this documentation and will use the Services in accordance with such documentation, as applicable.  </w:t>
      </w:r>
    </w:p>
    <w:p>
      <w:pPr>
        <w:pStyle w:val="NormalWeb"/>
        <w:spacing w:before="150"/>
      </w:pPr>
      <w:r>
        <w:t xml:space="preserve">Some Services are intended to process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that includes Biometric Data (as may be further described in product documentation) which Customer may incorporate into its own systems used for personal identification or other purposes. Customer acknowledges and agrees that it is responsible for complying with the Biometric Data obligations contained in the Online Services DPA (</w:t>
      </w:r>
      <w:hyperlink r:id="rId73" w:tgtFrame="_blank" w:history="1">
        <w:r>
          <w:rPr>
            <w:rStyle w:val="Hyperlink"/>
            <w:color w:val="505050"/>
          </w:rPr>
          <w:t>https://aka.ms/DPA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 on Customer use of service output</w:t>
      </w:r>
    </w:p>
    <w:p>
      <w:pPr>
        <w:pStyle w:val="NormalWeb"/>
        <w:spacing w:after="150"/>
      </w:pPr>
      <w:r>
        <w:t>Customer will not use, and will not allow third parties to use the Services or data from the Services to create, train, or improve (directly or indirectly) a similar or competing product or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Limited Access Services</w:t>
      </w:r>
    </w:p>
    <w:p>
      <w:pPr>
        <w:pStyle w:val="NormalWeb"/>
        <w:spacing w:after="150"/>
      </w:pPr>
      <w:r>
        <w:t>Certain Services (or versions thereof) require registration and are subject to limitations on access and use based on Microsoft's eligibility and use criteria, as updated by Microsoft from time to time ("Limited Access Services"). The following Azure AI Services are Limited Access Services:</w:t>
      </w:r>
    </w:p>
    <w:p>
      <w:pPr>
        <w:numPr>
          <w:ilvl w:val="0"/>
          <w:numId w:val="9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TTS custom neural voice </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custom TTS avatar</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Face</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celebrity recognition</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Video Indexer Applied AI Service</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designated as Limited Access</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(Modified Content Filtering/Abuse Monitoring)</w:t>
      </w:r>
    </w:p>
    <w:p>
      <w:pPr>
        <w:pStyle w:val="NormalWeb"/>
        <w:spacing w:before="150"/>
      </w:pPr>
      <w:r>
        <w:rPr>
          <w:i/>
          <w:iCs/>
        </w:rPr>
        <w:t>NOTE: In addition to the services listed here, (i) Azure AI Services Previews may be designated, in applicable preview terms, as subject to Limited Access Services terms; and (ii) certain versions of Azure AI Services, such as versions in containers, may be designated, in product documentation or otherwise, as subject to Limited Access Services terms.</w:t>
      </w:r>
    </w:p>
    <w:p>
      <w:pPr>
        <w:pStyle w:val="NormalWeb"/>
        <w:spacing w:before="150"/>
      </w:pPr>
      <w:r>
        <w:t>Customer may only use Limited Access Services (including when used in a Customer Solution) in accordance with the applicable Product Terms, product documentation, and these Limited Access Services terms; solely for the permitted uses specified in its registration form; and in accordance with any commitments and/or representations made in its Limited Access Services registration form. Customer will provide current, complete, and accurate information in all registration forms and other materials provided to Microsoft pursuant to these Limited Access Service terms.  Microsoft may require Customer from time to time to re-verify that all information submitted to Microsoft regarding Customer and Customer's use of the Limited Access Services remains accurate, complete, and up to date, and that Customer is using the Limited Access Services in accordance with the information submitted and these terms. Customer must respond to requests for re-verification from Microsoft within ten (10) business days of receiving a request (requests may be provided via self-certification Azure tools). If Microsoft needs additional information to assure compliance with these terms or eligibility for access to Limited Access Services, Customer will reasonably cooperate with Microsoft to provide such information within thirty (30) business days of request. </w:t>
      </w:r>
    </w:p>
    <w:p>
      <w:pPr>
        <w:pStyle w:val="NormalWeb"/>
        <w:spacing w:before="150"/>
      </w:pPr>
      <w:r>
        <w:t>Microsoft may re-assess Customer's eligibility to access and use Limited Access Services from time to time. If Microsoft determines that Customer no longer meets Microsoft's eligibility and use criteria for a Limited Access Service (or that Customer does not meet eligibility and use criteria for a Service that has become a Limited Access Service), Microsoft will provide Customer with 12 months' notice before discontinuing Customer's access to and use of that Limited Access Service, unless security, legal, or system performance considerations require an expedited discontinuation of access. This does not apply to Previews and does not affect any other rights and remedies available to Microsoft with respect to Customer's use of Services. </w:t>
      </w:r>
    </w:p>
    <w:p>
      <w:pPr>
        <w:pStyle w:val="NormalWeb"/>
        <w:spacing w:before="150"/>
      </w:pPr>
      <w:r>
        <w:t>In addition to Microsoft's right to discontinue access to and use of a Limited Access Service when Customer no longer meets Microsoft's eligibility and use criteria (or Customer does not meet eligibility and use criteria for a Service that has become a Limited Access Service), Microsoft may limit, suspend or terminate Customer's access to a Limited Access Services for non-compliance with any of the terms in this section (including without limitation Customer's use of a Limited Access Service in a manner that is inconsistent with the Customer's Limited Access Service registration form or with requirements in applicable product documentation), without advance notice but only to the extent reasonably necessary under the circumstances.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Text-to-Speech (TTS) Services </w:t>
      </w:r>
    </w:p>
    <w:p>
      <w:pPr>
        <w:pStyle w:val="NormalWeb"/>
        <w:spacing w:after="150"/>
      </w:pPr>
      <w:r>
        <w:rPr>
          <w:rStyle w:val="Strong"/>
        </w:rPr>
        <w:t>Customer Data submitted to TTS Services</w:t>
      </w:r>
      <w:r>
        <w:t>: Customer represents and warrants that Customer has all necessary right, title, and interest to use all Customer's Data submitted to TTS Services.  </w:t>
      </w:r>
    </w:p>
    <w:p>
      <w:pPr>
        <w:pStyle w:val="NormalWeb"/>
        <w:spacing w:before="150"/>
      </w:pPr>
      <w:r>
        <w:rPr>
          <w:rStyle w:val="Strong"/>
        </w:rPr>
        <w:t>TTS Service output use rights</w:t>
      </w:r>
      <w:r>
        <w:t>: For Customers of the paid tier TTS Service only, Customer may use the audio output of prebuilt neural voices generated using the TTS Service, including for commercial purposes.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Customized TTS Services and use of Synthetic Voices</w:t>
      </w:r>
    </w:p>
    <w:p>
      <w:pPr>
        <w:pStyle w:val="NormalWeb"/>
        <w:spacing w:after="150"/>
      </w:pPr>
      <w:r>
        <w:rPr>
          <w:rStyle w:val="Strong"/>
        </w:rPr>
        <w:t>Permissions:</w:t>
      </w:r>
      <w:r>
        <w:t xml:space="preserve"> Customer represents, warrants and certifies that (i) it has explicit written permission from the voice owner(s) contained within its audio files ("Voice Talent") to use their personal data, including his/her voice likeness to create voice model(s) ("Synthetic Voice(s)"), (ii) Customer's agreement(s) contemplate the duration of use of the Synthetic Voice and any content limitations and (iii) Customer has shared Microsoft's disclosure guidance for voice talent (</w:t>
      </w:r>
      <w:hyperlink r:id="rId173" w:tgtFrame="_blank" w:history="1">
        <w:r>
          <w:rPr>
            <w:rStyle w:val="Hyperlink"/>
            <w:color w:val="505050"/>
          </w:rPr>
          <w:t>https://aka.ms/disclosure-voice-talent</w:t>
        </w:r>
      </w:hyperlink>
      <w:r>
        <w:t>) with Voice Talent directly or through Voice Talent's authorized representative that describes how synthetic voices are developed and operate in conjunction with TTS services. Microsoft reserves the right to require Customer to provide audio files containing acknowledgements by Voice Talent(s). Customer acknowledges and agrees that Microsoft may use this to perform speaker verification against Customer's audio training files; however, Microsoft's retention of audio files does not create or imply an obligation that Microsoft will perform speaker verification. </w:t>
      </w:r>
    </w:p>
    <w:p>
      <w:pPr>
        <w:pStyle w:val="NormalWeb"/>
        <w:spacing w:before="150"/>
      </w:pPr>
      <w:r>
        <w:rPr>
          <w:rStyle w:val="Strong"/>
        </w:rPr>
        <w:t>Permitted uses:</w:t>
      </w:r>
      <w:r>
        <w:t xml:space="preserve"> In addition to compliance with the Acceptable Use Policy, the Microsoft Enterprise AI Services Code of Conduct (</w:t>
      </w:r>
      <w:hyperlink r:id="rId53" w:tgtFrame="_blank" w:history="1">
        <w:r>
          <w:rPr>
            <w:rStyle w:val="Hyperlink"/>
            <w:color w:val="505050"/>
          </w:rPr>
          <w:t>https://aka.ms/AI-CoC</w:t>
        </w:r>
      </w:hyperlink>
      <w:r>
        <w:t>) sets the minimum requirements that all implementations of TTS Services must adhere to in good faith. Customer shall have the exclusive right to use the Synthetic Voice(s)s created by Customer and made available through use of the Services. Notwithstanding the foregoing or anything to the contrary in the DPA, Customer acknowledges and agrees that Microsoft may retain a copy of each Synthetic Voice created by Customer and may, but is not obligated to, use the Synthetic Voice(s) to investigate and respond to any alleged violations of the service terms. Customer agrees and grants Microsoft a limited nonexclusive irrevocable worldwide license to retain acknowledgment audio voice consent file(s)s and a copy of the Synthetic Voice(s) for the limited purposes above. Customer is required to secure and maintain all rights necessary for Microsoft to retain and use the acknowledgment audio files and Synthetic Voice(s) as described in this section without violating the rights of Voice Talent(s) or any other third party or otherwise obligating Microsoft to Customer, Voice Talent or any other third party. This paragraph will survive termination or expiration of Customer's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Translation Attribution</w:t>
      </w:r>
    </w:p>
    <w:p>
      <w:pPr>
        <w:pStyle w:val="NormalWeb"/>
        <w:spacing w:after="150"/>
      </w:pPr>
      <w:r>
        <w:t>When displaying automatic translations performed by Azure AI Service, Customer will provide reasonably prominent notice that the text has been automatically translated by the subject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AI Search</w:t>
      </w:r>
    </w:p>
    <w:p>
      <w:pPr>
        <w:pStyle w:val="NormalWeb"/>
        <w:spacing w:after="150"/>
      </w:pPr>
      <w:r>
        <w:t xml:space="preserve">When Customer uses Web Knowledge Source, which uses Grounding with Bing Search and/or Grounding with Bing Custom Search, Customer's use will be of a First-Party Consumption Service governed by the terms at </w:t>
      </w:r>
      <w:hyperlink r:id="rId169"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Content Safety</w:t>
      </w:r>
    </w:p>
    <w:p>
      <w:pPr>
        <w:pStyle w:val="Heading5"/>
        <w:rPr>
          <w:rFonts w:eastAsia="Times New Roman"/>
        </w:rPr>
      </w:pPr>
      <w:r>
        <w:rPr>
          <w:rFonts w:eastAsia="Times New Roman"/>
        </w:rPr>
        <w:t>Sample Content</w:t>
      </w:r>
    </w:p>
    <w:p>
      <w:pPr>
        <w:pStyle w:val="NormalWeb"/>
      </w:pPr>
      <w:r>
        <w:t>If Customer chooses to provide Microsoft with examples of Customer content ("Sample Content") to help Microsoft tailor the service to Customer's requirements as described in the service documentation, Customer agrees (a) that Microsoft will review and use it in accordance with that documentation, and (b) that Customer will abide by any requirements in that documentation, including the requirement not to include personal, confidential, or commercially sensitive information in Sample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in Containers</w:t>
      </w:r>
    </w:p>
    <w:p>
      <w:pPr>
        <w:pStyle w:val="NormalWeb"/>
        <w:spacing w:after="150"/>
      </w:pPr>
      <w:r>
        <w:t xml:space="preserve">Services' features that are available in containers are licensed to Customer under this agreement as Online Services, and the containers are also subject to the terms for Use of Software with the Online Service. Customer may install and use any number of containers on Customer's hardware devices that are dedicated to Customer's exclusive use, subject to the conditions specified below for connected and disconnected containers, respectively. For containers installed on dedicated hardware that is under the management or control of an entity other than Customer or one of its Affiliates, the Outsourcing Software Management clause of the </w:t>
      </w:r>
      <w:hyperlink r:id="rId167" w:history="1">
        <w:r>
          <w:rPr>
            <w:rStyle w:val="Hyperlink"/>
            <w:color w:val="505050"/>
          </w:rPr>
          <w:t>Universal License Terms for All Software</w:t>
        </w:r>
      </w:hyperlink>
      <w:r>
        <w:t>.  </w:t>
      </w:r>
    </w:p>
    <w:p>
      <w:pPr>
        <w:pStyle w:val="NormalWeb"/>
        <w:spacing w:before="150"/>
      </w:pPr>
      <w:r>
        <w:t>Microsoft may offer required and/or optional updates or supplements to the services in containers. If an update is required, Customer will update the container in accordance with the Microsoft notice requirements; failure to perform these updates may affect the container's functionality and/or the container may stop operating. </w:t>
      </w:r>
    </w:p>
    <w:p>
      <w:pPr>
        <w:pStyle w:val="NormalWeb"/>
        <w:spacing w:before="150"/>
      </w:pPr>
      <w:r>
        <w:t>The containers include material that is confidential and proprietary to Microsoft. Customer agrees to keep that material confidential and to promptly notify Microsoft if Customer becomes aware of any possible misappropriation or misuse.  </w:t>
      </w:r>
    </w:p>
    <w:p>
      <w:pPr>
        <w:pStyle w:val="NormalWeb"/>
        <w:spacing w:before="150"/>
      </w:pPr>
      <w:r>
        <w:rPr>
          <w:rStyle w:val="Strong"/>
        </w:rPr>
        <w:t>Connected Containers:</w:t>
      </w:r>
      <w:r>
        <w:t xml:space="preserve"> Connected containers are designed to connect to a billing endpoint. Customer must configure any connected containers it uses to communicate with the billing endpoint so that the billing endpoint meters all use of the container(s). In addition to the rights to install and use containers on dedicated hardware, Customer may also install and use any number of connected containers in Customer's Microsoft Azure Service accounts; all rights to install and use connected containers are subject to Customer's enabling and maintaining metering for all such containers.</w:t>
      </w:r>
    </w:p>
    <w:p>
      <w:pPr>
        <w:pStyle w:val="NormalWeb"/>
        <w:spacing w:before="150"/>
      </w:pPr>
      <w:r>
        <w:rPr>
          <w:rStyle w:val="Strong"/>
        </w:rPr>
        <w:t xml:space="preserve">Disconnected Containers: </w:t>
      </w:r>
      <w:r>
        <w:t>Disconnected containers are intended for use with no online connectivity to an Azure billing endpoint. Disconnected containers are subject to the terms for Limited Access Services. Disconnected containers have limited capacity workloads and usage is measured in units. As specified in the terms for Purchasing Microsoft Azure Services, Customer must pay upfront for a commitment tier at the number of units necessary to meet Customer's actual service usage for each license period. Customer has the rights specified above to install and use disconnected containers on dedicated hardware provided that the aggregate service usage in all Customer's disconnected containers does not exceed the usage for which Customer has paid for the applicable license period. Disconnected container units expire at the end of the license period, and Customer must activate (or reactivate, as applicable) disconnected container units before the beginning of the next license period. If Customer fails to reactive a disconnected container prior to the expiration of the applicable license period, the disconnected container will stop operating after the license expires.</w:t>
      </w:r>
    </w:p>
    <w:p>
      <w:pPr>
        <w:pStyle w:val="Heading3"/>
        <w:spacing w:before="150" w:beforeAutospacing="0"/>
        <w:rPr>
          <w:rFonts w:eastAsia="Times New Roman"/>
          <w:color w:val="0078D4"/>
          <w:sz w:val="26"/>
          <w:szCs w:val="26"/>
        </w:rPr>
      </w:pPr>
      <w:r>
        <w:rPr>
          <w:rFonts w:eastAsia="Times New Roman"/>
          <w:color w:val="0078D4"/>
          <w:sz w:val="26"/>
          <w:szCs w:val="26"/>
        </w:rPr>
        <w:t>Defender for Cloud - Use on Devices Managed by Third-Parties</w:t>
      </w:r>
    </w:p>
    <w:p>
      <w:pPr>
        <w:pStyle w:val="NormalWeb"/>
        <w:spacing w:after="150"/>
      </w:pPr>
      <w:r>
        <w:t xml:space="preserve">Notwithstanding the </w:t>
      </w:r>
      <w:hyperlink r:id="rId118" w:tgtFrame="_blank" w:history="1">
        <w:r>
          <w:rPr>
            <w:rStyle w:val="Hyperlink"/>
            <w:color w:val="505050"/>
          </w:rPr>
          <w:t>Outsourcing Software Management</w:t>
        </w:r>
      </w:hyperlink>
      <w:r>
        <w:t xml:space="preserve"> clause, Customer may use Defender for Cloud with workloads running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Express Route Global Reach  </w:t>
      </w:r>
    </w:p>
    <w:p>
      <w:pPr>
        <w:pStyle w:val="NormalWeb"/>
        <w:spacing w:after="150"/>
      </w:pPr>
      <w:r>
        <w:t xml:space="preserve">Express Route Global Reach is an Azure Service offering data transport capabilities to Express Route users in certain locations. Express Route Global Reach is provided by the Microsoft Affiliate authorized in a given country to administer it. Pricing for Express Route Global Reach may include applicable taxes and fees. Express Route Global Reach terms may vary from country to country.  All included taxes, fees and country-specific terms of use are disclosed in the terms of use available at </w:t>
      </w:r>
      <w:hyperlink r:id="rId174" w:history="1">
        <w:r>
          <w:rPr>
            <w:rStyle w:val="Hyperlink"/>
            <w:color w:val="505050"/>
          </w:rPr>
          <w:t>https://aka.ms/CommunicationServicesTerms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Identity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Use Rights for Microsoft Defender for Identity Customers</w:t>
      </w:r>
    </w:p>
    <w:p>
      <w:pPr>
        <w:pStyle w:val="NormalWeb"/>
        <w:spacing w:after="150"/>
      </w:pPr>
      <w:r>
        <w:t xml:space="preserve">Customer may also install and use Advanced Threat Analytics locally to manage client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20" w:tooltip="OSE means all or part of an operating system Instance, or all or part of a virtual (or otherwise emulated) operating system Instance...(Refer to Glossary for full definition)" w:history="1">
        <w:r>
          <w:rPr>
            <w:rStyle w:val="Hyperlink"/>
            <w:color w:val="505050"/>
          </w:rPr>
          <w:t>OSEs</w:t>
        </w:r>
      </w:hyperlink>
      <w:r>
        <w:t>) that are used solely by users to whom licenses are assigned. This right expires when Customer's subscription expires.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Automatic Updates for Microsoft for Identity</w:t>
      </w:r>
    </w:p>
    <w:p>
      <w:pPr>
        <w:pStyle w:val="NormalWeb"/>
        <w:spacing w:after="150"/>
      </w:pPr>
      <w:r>
        <w:t>Microsoft Defender for Identity may automatically download and install updates for you. You agree to receive these automatic updates without any additional notice.</w:t>
      </w:r>
    </w:p>
    <w:p>
      <w:pPr>
        <w:pStyle w:val="Heading3"/>
        <w:spacing w:before="150" w:beforeAutospacing="0"/>
        <w:rPr>
          <w:rFonts w:eastAsia="Times New Roman"/>
          <w:color w:val="0078D4"/>
          <w:sz w:val="26"/>
          <w:szCs w:val="26"/>
        </w:rPr>
      </w:pPr>
      <w:r>
        <w:rPr>
          <w:rFonts w:eastAsia="Times New Roman"/>
          <w:color w:val="0078D4"/>
          <w:sz w:val="26"/>
          <w:szCs w:val="26"/>
        </w:rPr>
        <w:t>Microsoft Genomics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Medical Use</w:t>
      </w:r>
    </w:p>
    <w:p>
      <w:pPr>
        <w:pStyle w:val="NormalWeb"/>
        <w:spacing w:after="150"/>
      </w:pPr>
      <w:r>
        <w:t>Microsoft Genomics is not a medical device and outputs generated from its use are not intended to be statements of fact, nor are they to be used as a substitute for medical judgment, advice, diagnosis or treatment of any disease or condition.</w:t>
      </w:r>
    </w:p>
    <w:p>
      <w:pPr>
        <w:pStyle w:val="Heading3"/>
        <w:spacing w:before="150" w:beforeAutospacing="0"/>
        <w:rPr>
          <w:rFonts w:eastAsia="Times New Roman"/>
          <w:color w:val="0078D4"/>
          <w:sz w:val="26"/>
          <w:szCs w:val="26"/>
        </w:rPr>
      </w:pPr>
      <w:r>
        <w:rPr>
          <w:rFonts w:eastAsia="Times New Roman"/>
          <w:color w:val="0078D4"/>
          <w:sz w:val="26"/>
          <w:szCs w:val="26"/>
        </w:rPr>
        <w:t>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Customer may only access and use Visual Studio App Center to develop and test Customer's application(s). Only one Licensed User may access a virtual machine provided by Visual Studio App Center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Visual Studio App Center. Microsoft is responsible for complying with the terms for any such software included in Visual Studio App Center and will keep confidential any confidential information of Apple accessed as part of 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Azure User Plans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31"/>
        <w:gridCol w:w="489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Client Management License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Client Management License Add-on (User SL)</w:t>
            </w:r>
          </w:p>
        </w:tc>
      </w:tr>
    </w:tbl>
    <w:p>
      <w:pPr>
        <w:rPr>
          <w:rFonts w:eastAsia="Times New Roman"/>
          <w:color w:val="0078D4"/>
          <w:sz w:val="26"/>
          <w:szCs w:val="26"/>
        </w:rPr>
      </w:pPr>
    </w:p>
    <w:p w:rsidR="00ED5159" w:rsidP="00ED5159">
      <w:pPr>
        <w:pStyle w:val="ProductList-OfferingGroupHeading"/>
        <w:outlineLvl w:val="1"/>
      </w:pPr>
      <w:r>
        <w:t>Microsoft Dynamics 365 Services</w:t>
      </w:r>
      <w:r>
        <w:fldChar w:fldCharType="begin"/>
      </w:r>
      <w:r>
        <w:instrText xml:space="preserve"> TC </w:instrText>
      </w:r>
      <w:bookmarkStart w:id="52" w:name="_Toc256000041"/>
      <w:r>
        <w:instrText>"</w:instrText>
      </w:r>
      <w:r>
        <w:instrText>Microsoft Dynamics 365 Services</w:instrText>
      </w:r>
      <w:r>
        <w:instrText>"</w:instrText>
      </w:r>
      <w:bookmarkEnd w:id="5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Dynamics 365 Field Service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Customer Service Enterprise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Professional Direct Support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Field Service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Sales Enterprise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Sales Enterprise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Team Members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Customer Service Enterprise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Unified Service Desk (USD)</w:t>
      </w:r>
    </w:p>
    <w:p>
      <w:pPr>
        <w:pStyle w:val="NormalWeb"/>
        <w:spacing w:after="150"/>
      </w:pPr>
      <w:r>
        <w:t xml:space="preserve">Customers with active Dynamics 365 Customer Service Enterprise subscriptions may install and use USD software for each user. </w:t>
      </w:r>
      <w:hyperlink w:anchor="_Toc20"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Dynamics CustomerSource</w:t>
      </w:r>
    </w:p>
    <w:p>
      <w:pPr>
        <w:pStyle w:val="NormalWeb"/>
        <w:spacing w:after="150"/>
      </w:pPr>
      <w:r>
        <w:t>Customers with active Dynamics 365 subscriptions may access and use CustomerSource.</w:t>
      </w:r>
    </w:p>
    <w:p>
      <w:pPr>
        <w:pStyle w:val="Heading3"/>
        <w:spacing w:before="150" w:beforeAutospacing="0"/>
        <w:rPr>
          <w:rFonts w:eastAsia="Times New Roman"/>
          <w:color w:val="0078D4"/>
          <w:sz w:val="26"/>
          <w:szCs w:val="26"/>
        </w:rPr>
      </w:pPr>
      <w:r>
        <w:rPr>
          <w:rFonts w:eastAsia="Times New Roman"/>
          <w:color w:val="0078D4"/>
          <w:sz w:val="26"/>
          <w:szCs w:val="26"/>
        </w:rPr>
        <w:t>Dynamics 365 Plan for Government</w:t>
      </w:r>
    </w:p>
    <w:p>
      <w:pPr>
        <w:pStyle w:val="NormalWeb"/>
        <w:spacing w:after="150"/>
      </w:pPr>
      <w:r>
        <w:t>Dynamics 365 Supply Chain Management, Finance, Commerce, and Human Resources are not available in Dynamics 365 Plan for Government.</w:t>
      </w:r>
    </w:p>
    <w:p>
      <w:pPr>
        <w:pStyle w:val="Heading3"/>
        <w:spacing w:before="150" w:beforeAutospacing="0"/>
        <w:rPr>
          <w:rFonts w:eastAsia="Times New Roman"/>
          <w:color w:val="0078D4"/>
          <w:sz w:val="26"/>
          <w:szCs w:val="26"/>
        </w:rPr>
      </w:pPr>
      <w:r>
        <w:rPr>
          <w:rFonts w:eastAsia="Times New Roman"/>
          <w:color w:val="0078D4"/>
          <w:sz w:val="26"/>
          <w:szCs w:val="26"/>
        </w:rPr>
        <w:t>Prerequisites for Base and Attach user subscription licenses</w:t>
      </w:r>
    </w:p>
    <w:p>
      <w:pPr>
        <w:pStyle w:val="NormalWeb"/>
        <w:spacing w:after="150"/>
      </w:pPr>
      <w:r>
        <w:t>When purchasing multiple core Business Applications, the first or Base license must be the highest priced license for the user. Every full user must have a Base license. Dynamics 365 attach user SLs may only be assigned to users with qualifying application licenses.</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Dynamics 365 Remote Assist and Dynamics 365 Guides</w:t>
      </w:r>
    </w:p>
    <w:p>
      <w:pPr>
        <w:pStyle w:val="NormalWeb"/>
        <w:spacing w:after="150"/>
      </w:pPr>
      <w:hyperlink w:anchor="_Toc20" w:tooltip="see Glossary for full definition." w:history="1">
        <w:r>
          <w:rPr>
            <w:rStyle w:val="Hyperlink"/>
            <w:color w:val="505050"/>
          </w:rPr>
          <w:t>External Users</w:t>
        </w:r>
      </w:hyperlink>
      <w:r>
        <w:t xml:space="preserve"> may access and use the above software on devices licensed with a Dynamics 365 Remote Assist Device SL or Dynamics 365 Guides Device SL.</w:t>
      </w:r>
    </w:p>
    <w:p>
      <w:pPr>
        <w:pStyle w:val="Heading3"/>
        <w:spacing w:before="150" w:beforeAutospacing="0"/>
        <w:rPr>
          <w:rFonts w:eastAsia="Times New Roman"/>
          <w:color w:val="0078D4"/>
          <w:sz w:val="26"/>
          <w:szCs w:val="26"/>
        </w:rPr>
      </w:pPr>
      <w:r>
        <w:rPr>
          <w:rFonts w:eastAsia="Times New Roman"/>
          <w:color w:val="0078D4"/>
          <w:sz w:val="26"/>
          <w:szCs w:val="26"/>
        </w:rPr>
        <w:t>Dual Use Rights</w:t>
      </w:r>
    </w:p>
    <w:p>
      <w:pPr>
        <w:pStyle w:val="NormalWeb"/>
        <w:spacing w:after="150"/>
      </w:pPr>
      <w:r>
        <w:t>Certain Dynamics 365 SLs may allow access to the on-premises equivalent. This is mapped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99"/>
        <w:gridCol w:w="3099"/>
        <w:gridCol w:w="37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Dynamics 365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On-Premises Software access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On-Premises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Sales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Customer Service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Customer Service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Field Service functionality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Activity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Activity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Device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Supply Chain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Team Members (on-premises)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(On-Premises) or Dynamics 365 for Operations, on-premises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Essentials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Premium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Team Members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 Device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rPr>
          <w:i/>
          <w:iCs/>
        </w:rPr>
        <w:t>*On-premises dual use rights only apply for the specific Dynamics 365 for Operations applications for which the user has a cloud SL. For example, a user licensed for Finance may only use the Dynamics 365 on-premises security roles associated with the Finance USL.</w:t>
      </w:r>
    </w:p>
    <w:p>
      <w:pPr>
        <w:pStyle w:val="NormalWeb"/>
        <w:spacing w:before="150"/>
      </w:pPr>
      <w:r>
        <w:rPr>
          <w:i/>
          <w:iCs/>
        </w:rPr>
        <w:t>**Only available for Microsoft Cloud Agreement (MCA)</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19"/>
        <w:gridCol w:w="421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 Prerequisites (Base License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user SLs other than the Team Members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Sales Enterprise, or</w:t>
            </w:r>
          </w:p>
          <w:p>
            <w:pPr>
              <w:pStyle w:val="NormalWeb"/>
              <w:spacing w:before="150"/>
            </w:pPr>
            <w:r>
              <w:t>Dynamics 365 Sales Premium, or</w:t>
            </w:r>
          </w:p>
          <w:p>
            <w:pPr>
              <w:pStyle w:val="NormalWeb"/>
              <w:spacing w:before="150"/>
            </w:pPr>
            <w:r>
              <w:t>Microsoft Relationship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Conversation Intelligence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Insights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Insights Attach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10 or more seats of ONE of the following:</w:t>
            </w:r>
          </w:p>
          <w:p>
            <w:pPr>
              <w:pStyle w:val="NormalWeb"/>
              <w:spacing w:before="150"/>
            </w:pPr>
            <w:r>
              <w:t>Dynamics 365 Sales Professional</w:t>
            </w:r>
          </w:p>
          <w:p>
            <w:pPr>
              <w:pStyle w:val="NormalWeb"/>
              <w:spacing w:before="150"/>
            </w:pPr>
            <w:r>
              <w:t>Dynamics 365 Sales Enterprise</w:t>
            </w:r>
          </w:p>
          <w:p>
            <w:pPr>
              <w:pStyle w:val="NormalWeb"/>
              <w:spacing w:before="150"/>
            </w:pPr>
            <w:r>
              <w:t>Dynamics 365 Sales Premium</w:t>
            </w:r>
          </w:p>
          <w:p>
            <w:pPr>
              <w:pStyle w:val="NormalWeb"/>
              <w:spacing w:before="150"/>
            </w:pPr>
            <w:r>
              <w:t>Microsoft Relationship Sales</w:t>
            </w:r>
          </w:p>
          <w:p>
            <w:pPr>
              <w:pStyle w:val="NormalWeb"/>
              <w:spacing w:before="150"/>
            </w:pPr>
            <w:r>
              <w:t>Dynamics 365 Customer Service Professional</w:t>
            </w:r>
          </w:p>
          <w:p>
            <w:pPr>
              <w:pStyle w:val="NormalWeb"/>
              <w:spacing w:before="150"/>
            </w:pPr>
            <w:r>
              <w:t>Dynamics 365 Customer Service Enterprise</w:t>
            </w:r>
          </w:p>
          <w:p>
            <w:pPr>
              <w:pStyle w:val="NormalWeb"/>
              <w:spacing w:before="150"/>
            </w:pPr>
            <w:r>
              <w:t>Dynamics 365 Field Service</w:t>
            </w:r>
          </w:p>
          <w:p>
            <w:pPr>
              <w:pStyle w:val="NormalWeb"/>
              <w:spacing w:before="150"/>
            </w:pPr>
            <w:r>
              <w:t>Dynamics 365 Finance</w:t>
            </w:r>
          </w:p>
          <w:p>
            <w:pPr>
              <w:pStyle w:val="NormalWeb"/>
              <w:spacing w:before="150"/>
            </w:pPr>
            <w:r>
              <w:t>Dynamics 365 Supply Chain Management</w:t>
            </w:r>
          </w:p>
          <w:p>
            <w:pPr>
              <w:pStyle w:val="NormalWeb"/>
              <w:spacing w:before="150"/>
            </w:pPr>
            <w:r>
              <w:t>Dynamics 365 Commerce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Chat for Dynamics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Asset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Supply Chain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Intelligent Order Management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Intelligent Order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Messaging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e-Commerce Tier</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Scale Unit - Cloud</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Recommendations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Ratings and Reviews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Digital Add-on</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Voice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Add-on for Customer Service Enterprise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 Contractor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Field Service (User SL) or</w:t>
            </w:r>
          </w:p>
          <w:p>
            <w:pPr>
              <w:pStyle w:val="NormalWeb"/>
              <w:spacing w:before="150"/>
            </w:pPr>
            <w:r>
              <w:t>Dynamics 365 Field Service Device (SL) and</w:t>
            </w:r>
          </w:p>
          <w:p>
            <w:pPr>
              <w:pStyle w:val="NormalWeb"/>
              <w:spacing w:before="150"/>
            </w:pPr>
            <w:r>
              <w:t>Microsoft Entra ID</w:t>
            </w:r>
          </w:p>
        </w:tc>
      </w:tr>
    </w:tbl>
    <w:p/>
    <w:p>
      <w:pPr>
        <w:pStyle w:val="Heading3"/>
        <w:spacing w:before="150" w:beforeAutospacing="0"/>
        <w:rPr>
          <w:rFonts w:eastAsia="Times New Roman"/>
          <w:color w:val="0078D4"/>
          <w:sz w:val="26"/>
          <w:szCs w:val="26"/>
        </w:rPr>
      </w:pPr>
      <w:r>
        <w:rPr>
          <w:rFonts w:eastAsia="Times New Roman"/>
          <w:color w:val="0078D4"/>
          <w:sz w:val="26"/>
          <w:szCs w:val="26"/>
        </w:rPr>
        <w:t>Purchasing Minimums - Academic</w:t>
      </w:r>
    </w:p>
    <w:p>
      <w:pPr>
        <w:pStyle w:val="NormalWeb"/>
        <w:spacing w:after="150"/>
      </w:pPr>
      <w:r>
        <w:t>Purchases in the Academic segment require a minimum purchase of the Licenses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467"/>
        <w:gridCol w:w="2045"/>
        <w:gridCol w:w="581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Segment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 (Base License only)</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Academic</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and/or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Professional, and/or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 and/or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Professional, and/or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w:t>
            </w:r>
          </w:p>
        </w:tc>
      </w:tr>
    </w:tbl>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84"/>
        <w:gridCol w:w="3859"/>
        <w:gridCol w:w="2686"/>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rHeight w:val="465"/>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c>
          <w:tcPr>
            <w:tcBorders>
              <w:top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purchased Base Licenses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Commerce</w:t>
            </w:r>
          </w:p>
          <w:p>
            <w:pPr>
              <w:pStyle w:val="NormalWeb"/>
              <w:spacing w:before="150"/>
            </w:pPr>
            <w:r>
              <w:t>Dynamics 365 Finance</w:t>
            </w:r>
          </w:p>
          <w:p>
            <w:pPr>
              <w:pStyle w:val="NormalWeb"/>
              <w:spacing w:before="150"/>
            </w:pPr>
            <w:r>
              <w:t>Dynamics 365 Project Operations</w:t>
            </w:r>
          </w:p>
          <w:p>
            <w:pPr>
              <w:pStyle w:val="NormalWeb"/>
              <w:spacing w:before="150"/>
            </w:pPr>
            <w:r>
              <w:t>Dynamics 365 Supply Chain Management</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Commerce, or</w:t>
            </w:r>
          </w:p>
          <w:p>
            <w:pPr>
              <w:pStyle w:val="NormalWeb"/>
              <w:spacing w:before="150"/>
            </w:pPr>
            <w:r>
              <w:t>Dynamics 365 Finance, or</w:t>
            </w:r>
          </w:p>
          <w:p>
            <w:pPr>
              <w:pStyle w:val="NormalWeb"/>
              <w:spacing w:before="150"/>
            </w:pPr>
            <w:r>
              <w:t>Dynamics 365 Project Operations, or</w:t>
            </w:r>
          </w:p>
          <w:p>
            <w:pPr>
              <w:pStyle w:val="NormalWeb"/>
              <w:spacing w:before="150"/>
            </w:pPr>
            <w:r>
              <w:t>Dynamics 365 Supply Chain Management</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Finance Premium</w:t>
            </w:r>
          </w:p>
          <w:p>
            <w:pPr>
              <w:pStyle w:val="NormalWeb"/>
              <w:spacing w:before="150"/>
            </w:pPr>
            <w:r>
              <w:t>Dynamics 365 Supply Chain Management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Finance Premium</w:t>
            </w:r>
          </w:p>
          <w:p>
            <w:pPr>
              <w:pStyle w:val="NormalWeb"/>
              <w:spacing w:before="150"/>
            </w:pPr>
            <w:r>
              <w:t>Dynamics 365 Supply Chain Management Premium</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20</w:t>
            </w:r>
          </w:p>
          <w:p>
            <w:pPr>
              <w:pStyle w:val="NormalWeb"/>
              <w:spacing w:before="150"/>
            </w:pPr>
            <w:r>
              <w:t>(250 maximum - once met all remaining users are covered with no additional licenses required)</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Dynamics applications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Interacted People</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Tier 1: 1</w:t>
            </w:r>
          </w:p>
          <w:p>
            <w:pPr>
              <w:pStyle w:val="NormalWeb"/>
              <w:spacing w:before="150"/>
            </w:pPr>
            <w:r>
              <w:t>Tier 2: 4</w:t>
            </w:r>
          </w:p>
          <w:p>
            <w:pPr>
              <w:pStyle w:val="NormalWeb"/>
              <w:spacing w:before="150"/>
            </w:pPr>
            <w:r>
              <w:t>Tier 3: 5</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Additional Interacted People Tier 1</w:t>
            </w:r>
          </w:p>
          <w:p>
            <w:pPr>
              <w:pStyle w:val="NormalWeb"/>
              <w:spacing w:before="150"/>
            </w:pPr>
            <w:r>
              <w:t>Dynamics 365 Additional Interacted People Tier 2</w:t>
            </w:r>
          </w:p>
          <w:p>
            <w:pPr>
              <w:pStyle w:val="NormalWeb"/>
              <w:spacing w:before="150"/>
            </w:pPr>
            <w:r>
              <w:t>Dynamics 365 Additional Interacted People Tier 3</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Unified People</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Tier 1: 1</w:t>
            </w:r>
          </w:p>
          <w:p>
            <w:pPr>
              <w:pStyle w:val="NormalWeb"/>
              <w:spacing w:before="150"/>
            </w:pPr>
            <w:r>
              <w:t>Tier 2: 4</w:t>
            </w:r>
          </w:p>
          <w:p>
            <w:pPr>
              <w:pStyle w:val="NormalWeb"/>
              <w:spacing w:before="150"/>
            </w:pPr>
            <w:r>
              <w:t>Tier 3: 19</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Additional Unified People Tier 1</w:t>
            </w:r>
          </w:p>
          <w:p>
            <w:pPr>
              <w:pStyle w:val="NormalWeb"/>
              <w:spacing w:before="150"/>
            </w:pPr>
            <w:r>
              <w:t>Dynamics 365 Additional Unified People Tier 2</w:t>
            </w:r>
          </w:p>
          <w:p>
            <w:pPr>
              <w:pStyle w:val="NormalWeb"/>
              <w:spacing w:before="150"/>
            </w:pPr>
            <w:r>
              <w:t>Dynamics 365 Additional Unified People Tier 3</w:t>
            </w:r>
          </w:p>
        </w:tc>
      </w:tr>
      <w:tr>
        <w:tblPrEx>
          <w:tblW w:w="5000" w:type="pct"/>
          <w:tblInd w:w="600" w:type="dxa"/>
          <w:tblCellMar>
            <w:top w:w="15" w:type="dxa"/>
            <w:left w:w="15" w:type="dxa"/>
            <w:bottom w:w="15" w:type="dxa"/>
            <w:right w:w="15" w:type="dxa"/>
          </w:tblCellMar>
        </w:tblPrEx>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Additional Database Capacity</w:t>
            </w:r>
          </w:p>
        </w:tc>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pStyle w:val="NormalWeb"/>
            </w:pPr>
            <w:r>
              <w:t>Dynamics 365 Operations - Additional Database Capacity Tier 1</w:t>
            </w:r>
          </w:p>
          <w:p>
            <w:pPr>
              <w:pStyle w:val="NormalWeb"/>
              <w:spacing w:before="150"/>
            </w:pPr>
            <w:r>
              <w:t> Dynamics 365 Operations - Additional Database Capacity Tier 2</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In addition, Azure Media Services H.265/HEVC Encoding, H.264/AVC Visual Standard, and VC-1 Video Standard apply only to Dynamics 365 Commerce. (refer to </w:t>
      </w:r>
      <w:hyperlink r:id="rId114"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hyperlink w:anchor="_Toc20" w:tooltip="see Glossary for full definition." w:history="1">
        <w:r>
          <w:rPr>
            <w:rStyle w:val="Hyperlink"/>
            <w:color w:val="505050"/>
          </w:rPr>
          <w:t>External Users</w:t>
        </w:r>
      </w:hyperlink>
      <w:r>
        <w:t xml:space="preserve"> of Dynamics 365 Services do not need a SL to access the Online Service. This exemption does not apply to </w:t>
      </w:r>
      <w:hyperlink w:anchor="_Toc20" w:tooltip="see Glossary for full definition." w:history="1">
        <w:r>
          <w:rPr>
            <w:rStyle w:val="Hyperlink"/>
            <w:color w:val="505050"/>
          </w:rPr>
          <w:t>External Users</w:t>
        </w:r>
      </w:hyperlink>
      <w:r>
        <w:t xml:space="preserve"> using Dynamics 365 client software with Dynamics 365 Services other than services or components included in Dynamics 365 Supply Chain Management/Supply Chain Management Premium, Dynamics 365 Finance/Finance Premium, Dynamics 365 Commerce, Dynamics 365 Human Resources, or Dynamics 365 Project Operations.</w:t>
      </w:r>
    </w:p>
    <w:p>
      <w:pPr>
        <w:pStyle w:val="Heading3"/>
        <w:spacing w:before="150" w:beforeAutospacing="0"/>
        <w:rPr>
          <w:rFonts w:eastAsia="Times New Roman"/>
          <w:color w:val="0078D4"/>
          <w:sz w:val="26"/>
          <w:szCs w:val="26"/>
        </w:rPr>
      </w:pPr>
      <w:r>
        <w:rPr>
          <w:rFonts w:eastAsia="Times New Roman"/>
          <w:color w:val="0078D4"/>
          <w:sz w:val="26"/>
          <w:szCs w:val="26"/>
        </w:rPr>
        <w:t>Administration Portal</w:t>
      </w:r>
    </w:p>
    <w:p>
      <w:pPr>
        <w:pStyle w:val="NormalWeb"/>
        <w:spacing w:after="150"/>
      </w:pPr>
      <w:r>
        <w:t>Customers with Dynamics 365 Supply Chain Management/Supply Chain Management Premium, Dynamics 365 Finance/Finance Premium, Dynamics 365 Commerce, Dynamics 365 Human Resources, or Dynamics 365 Project Operations SLs may deploy and manage the Online Service through Microsoft Dynamics Lifecycle Services (or its successor), which is subject to separate terms.</w:t>
      </w:r>
    </w:p>
    <w:p>
      <w:pPr>
        <w:pStyle w:val="Heading3"/>
        <w:spacing w:before="150" w:beforeAutospacing="0"/>
        <w:rPr>
          <w:rFonts w:eastAsia="Times New Roman"/>
          <w:color w:val="0078D4"/>
          <w:sz w:val="26"/>
          <w:szCs w:val="26"/>
        </w:rPr>
      </w:pPr>
      <w:r>
        <w:rPr>
          <w:rFonts w:eastAsia="Times New Roman"/>
          <w:color w:val="0078D4"/>
          <w:sz w:val="26"/>
          <w:szCs w:val="26"/>
        </w:rPr>
        <w:t>Mixed deployments of Dynamics 365 services</w:t>
      </w:r>
    </w:p>
    <w:p>
      <w:pPr>
        <w:pStyle w:val="NormalWeb"/>
        <w:spacing w:after="150"/>
      </w:pPr>
      <w:r>
        <w:t>Customers may mix (i) Dynamics 365 Sales Professional and Enterprise licenses, (ii) Dynamics 365 Customer Service Professional and Enterprise licenses, or (iii) Dynamics 365 Business Central and any of the following: Dynamics 365 Finance/Finance Premium, Dynamics 365 Supply Chain Management/Supply Chain Management Premium, or Dynamics 365 Project Operations licenses if,</w:t>
      </w:r>
    </w:p>
    <w:p>
      <w:pPr>
        <w:numPr>
          <w:ilvl w:val="0"/>
          <w:numId w:val="9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Online Service is deployed under a separate instance, and</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Licensed users only access instances for which they are entitled.</w:t>
      </w:r>
    </w:p>
    <w:p>
      <w:pPr>
        <w:pStyle w:val="Heading3"/>
        <w:spacing w:before="150" w:beforeAutospacing="0"/>
        <w:rPr>
          <w:rFonts w:eastAsia="Times New Roman"/>
          <w:color w:val="0078D4"/>
          <w:sz w:val="26"/>
          <w:szCs w:val="26"/>
        </w:rPr>
      </w:pPr>
      <w:r>
        <w:rPr>
          <w:rFonts w:eastAsia="Times New Roman"/>
          <w:color w:val="0078D4"/>
          <w:sz w:val="26"/>
          <w:szCs w:val="26"/>
        </w:rPr>
        <w:t>Third-Party Funds Transfers</w:t>
      </w:r>
    </w:p>
    <w:p>
      <w:pPr>
        <w:pStyle w:val="NormalWeb"/>
        <w:spacing w:after="150"/>
      </w:pPr>
      <w:r>
        <w:t>Certain Dynamics 365 services may make third-party services available that allow Customer to transfer funds to Customer's end users or other recipient using that third-party service. Customer's use of any third-party service to transfer funds is governed by the terms and conditions of that third-party service. The third-party service provider is solely responsible for the receipt and transmission of funds. Microsoft is not responsible for any aspect of the third-party service and does not at any point hold, own or control funds, actually or constructively receive, take possession of or hold any money or monetary value for transmission, or advertise, solicit or hold itself out as receiving money for transmission.</w:t>
      </w:r>
    </w:p>
    <w:p>
      <w:pPr>
        <w:pStyle w:val="Heading3"/>
        <w:spacing w:before="150" w:beforeAutospacing="0"/>
        <w:rPr>
          <w:rFonts w:eastAsia="Times New Roman"/>
          <w:color w:val="0078D4"/>
          <w:sz w:val="26"/>
          <w:szCs w:val="26"/>
        </w:rPr>
      </w:pPr>
      <w:r>
        <w:rPr>
          <w:rFonts w:eastAsia="Times New Roman"/>
          <w:color w:val="0078D4"/>
          <w:sz w:val="26"/>
          <w:szCs w:val="26"/>
        </w:rPr>
        <w:t>Dynamics 365 Business Central and Dynamics 365 Finance in Denmark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Danish Bookkeeping Authority Registration Numbers</w:t>
      </w:r>
    </w:p>
    <w:p>
      <w:pPr>
        <w:pStyle w:val="NormalWeb"/>
        <w:spacing w:after="150"/>
      </w:pPr>
      <w:r>
        <w:t>Dynamics 365 Business Central and Dynamics 365 Finance are Digital Standard Bookkeeping Systems registered with the Danish Business Authority.  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 The registration numbers 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376"/>
        <w:gridCol w:w="39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Central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fob467715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Finance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fob314877</w:t>
            </w:r>
          </w:p>
        </w:tc>
      </w:tr>
    </w:tbl>
    <w:p/>
    <w:p>
      <w:pPr>
        <w:pStyle w:val="Heading3"/>
        <w:spacing w:before="150" w:beforeAutospacing="0"/>
        <w:rPr>
          <w:rFonts w:eastAsia="Times New Roman"/>
          <w:color w:val="0078D4"/>
          <w:sz w:val="26"/>
          <w:szCs w:val="26"/>
        </w:rPr>
      </w:pPr>
      <w:r>
        <w:rPr>
          <w:rFonts w:eastAsia="Times New Roman"/>
          <w:color w:val="0078D4"/>
          <w:sz w:val="26"/>
          <w:szCs w:val="26"/>
        </w:rPr>
        <w:t>Dynamics 365 Business Central in Spain</w:t>
      </w:r>
    </w:p>
    <w:p>
      <w:pPr>
        <w:pStyle w:val="NormalWeb"/>
        <w:spacing w:after="150"/>
      </w:pPr>
      <w:r>
        <w:t xml:space="preserve">Dynamics 365 Business Central complies with the country/region certifications and accreditations listed in this </w:t>
      </w:r>
      <w:hyperlink r:id="rId175" w:tgtFrame="_blank" w:history="1">
        <w:r>
          <w:rPr>
            <w:rStyle w:val="Hyperlink"/>
            <w:color w:val="505050"/>
          </w:rPr>
          <w:t>link</w:t>
        </w:r>
      </w:hyperlink>
      <w:r>
        <w:t xml:space="preserve">. To this extent, you may find information on the Spanish declaration concerning computer billing systems in this </w:t>
      </w:r>
      <w:hyperlink r:id="rId176" w:tgtFrame="_blank" w:history="1">
        <w:r>
          <w:rPr>
            <w:rStyle w:val="Hyperlink"/>
            <w:color w:val="505050"/>
          </w:rPr>
          <w:t>link</w:t>
        </w:r>
      </w:hyperlink>
      <w:r>
        <w:t>. Please contact your reseller in those countries or regions where Microsoft does not provide a local version of Dynamics 365 Business Central. </w:t>
      </w:r>
    </w:p>
    <w:p>
      <w:pPr>
        <w:pStyle w:val="Heading3"/>
        <w:spacing w:before="150" w:beforeAutospacing="0"/>
        <w:rPr>
          <w:rFonts w:eastAsia="Times New Roman"/>
          <w:color w:val="0078D4"/>
          <w:sz w:val="26"/>
          <w:szCs w:val="26"/>
        </w:rPr>
      </w:pPr>
      <w:r>
        <w:rPr>
          <w:rFonts w:eastAsia="Times New Roman"/>
          <w:color w:val="0078D4"/>
          <w:sz w:val="26"/>
          <w:szCs w:val="26"/>
        </w:rPr>
        <w:t>Dynamics 365 Customer Insights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Promotional Laws, Regulations, and Industry Standards</w:t>
      </w:r>
    </w:p>
    <w:p>
      <w:pPr>
        <w:pStyle w:val="NormalWeb"/>
        <w:spacing w:after="150"/>
      </w:pPr>
      <w:r>
        <w:t>Microsoft bears no responsibility for Customer's compliance with any applicable law, regulation, or industry standard governing the Customer's transmittal of promotional communications.</w:t>
      </w:r>
    </w:p>
    <w:p>
      <w:pPr>
        <w:pStyle w:val="Heading3"/>
        <w:spacing w:before="150" w:beforeAutospacing="0"/>
        <w:rPr>
          <w:rFonts w:eastAsia="Times New Roman"/>
          <w:color w:val="0078D4"/>
          <w:sz w:val="26"/>
          <w:szCs w:val="26"/>
        </w:rPr>
      </w:pPr>
      <w:r>
        <w:rPr>
          <w:rFonts w:eastAsia="Times New Roman"/>
          <w:color w:val="0078D4"/>
          <w:sz w:val="26"/>
          <w:szCs w:val="26"/>
        </w:rPr>
        <w:t>Dynamics 365 Supply Chain Management, Finance, Commerce, and Project Operations Source Code</w:t>
      </w:r>
    </w:p>
    <w:p>
      <w:pPr>
        <w:pStyle w:val="NormalWeb"/>
        <w:spacing w:after="150"/>
      </w:pPr>
      <w:r>
        <w:t>Customer may modify for its internal use the X++ application layer source code for Dynamics 365 Supply Chain Management/Supply Chain Management Premium, Dynamics 365 Finance/Finance Premium, Dynamics 365 for Commerce, or Dynamics 365 Project Operations.</w:t>
      </w:r>
    </w:p>
    <w:p>
      <w:pPr>
        <w:pStyle w:val="Heading3"/>
        <w:spacing w:before="150" w:beforeAutospacing="0"/>
        <w:rPr>
          <w:rFonts w:eastAsia="Times New Roman"/>
          <w:color w:val="0078D4"/>
          <w:sz w:val="26"/>
          <w:szCs w:val="26"/>
        </w:rPr>
      </w:pPr>
      <w:r>
        <w:rPr>
          <w:rFonts w:eastAsia="Times New Roman"/>
          <w:color w:val="0078D4"/>
          <w:sz w:val="26"/>
          <w:szCs w:val="26"/>
        </w:rPr>
        <w:t>Server Use Rights for Dynamics 365 User SLs, From SA User SLs and Add-on User SLs</w:t>
      </w:r>
    </w:p>
    <w:p>
      <w:pPr>
        <w:pStyle w:val="NormalWeb"/>
        <w:spacing w:after="150"/>
      </w:pPr>
      <w:r>
        <w:t>The server use rights provisions below do not apply to Customers licensed for Dynamics 365 for Sales Professional, Dynamics 365 Customer Service Professional, Dynamics 365 Customer Insights, Dynamics 365 for Human Resources, or Customers licensed for Dynamics 365 online services through Open License, Open Value and Open Value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for Operations on-premises Server</w:t>
      </w:r>
    </w:p>
    <w:p>
      <w:pPr>
        <w:pStyle w:val="NormalWeb"/>
        <w:spacing w:after="150"/>
      </w:pPr>
      <w:r>
        <w:t>Customer's with active subscriptions for (1) Dynamics 365 Plan or (2) Dynamics 365 Unified Operations Plan (or any separately licensed component of the Plan) may,</w:t>
      </w:r>
    </w:p>
    <w:p>
      <w:pPr>
        <w:numPr>
          <w:ilvl w:val="0"/>
          <w:numId w:val="9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the Dynamics 365 for Operations Server software on a network server or shared servers;</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and use Dynamics AX 2012 R3 Server software in lieu of Dynamics 365 for Operations Server;</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receive and use updates related to government tax and regulatory requirements on the server software; and</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create derivative works of plug-ins, runtime, and other components identified in printed or online documentation and use those derivative works, but only with the server software and only for Customer's internal purposes.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on-premises Server</w:t>
      </w:r>
    </w:p>
    <w:p>
      <w:pPr>
        <w:pStyle w:val="NormalWeb"/>
        <w:spacing w:after="150"/>
      </w:pPr>
      <w:r>
        <w:t>Customers with active subscriptions for (1) Dynamics 365 Plan or (2) Dynamics 365 Customer Engagement Plan (or any separately licensed component of the Plan) may,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Dynamics 365 server (on-premises) software on a network server or shared servers;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Dynamics CRM 2016 Server software in lieu of Dynamics 365 On-Premise Server;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users and devices assigned one of the following CALs to access the version of the server software that is current as of the subscription start date: Dynamics 365 On-premises for Sales, Customer Service or Team Members CALs; or Dynamics CRM CAL. Users and devices assigned CALs with active Software Assurance may access new versions of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Business Central on-premises</w:t>
      </w:r>
    </w:p>
    <w:p>
      <w:pPr>
        <w:pStyle w:val="NormalWeb"/>
        <w:spacing w:after="150"/>
      </w:pPr>
      <w:r>
        <w:t>Customers with active subscriptions for Dynamics 365 Business Central may,</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Dynamics 365 Business Central on-premises software on a network server or shared servers;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users and devices assigned one of the following CALs to access the version of the server software that is current as of the subscription start date: Dynamics 365 Business Central Premium, Essentials, or Team Member CALs. Users and devices assigned CALs with an active maintenance plan may access new versions of the server software. </w:t>
      </w:r>
    </w:p>
    <w:p>
      <w:pPr>
        <w:pStyle w:val="Heading3"/>
        <w:spacing w:before="150" w:beforeAutospacing="0"/>
        <w:rPr>
          <w:rFonts w:eastAsia="Times New Roman"/>
          <w:color w:val="0078D4"/>
          <w:sz w:val="26"/>
          <w:szCs w:val="26"/>
        </w:rPr>
      </w:pPr>
      <w:r>
        <w:rPr>
          <w:rFonts w:eastAsia="Times New Roman"/>
          <w:color w:val="0078D4"/>
          <w:sz w:val="26"/>
          <w:szCs w:val="26"/>
        </w:rPr>
        <w:t>Microsoft Relationship Sales</w:t>
      </w:r>
    </w:p>
    <w:p>
      <w:pPr>
        <w:pStyle w:val="NormalWeb"/>
        <w:spacing w:after="150"/>
      </w:pPr>
      <w:r>
        <w:t>All components, software and entitlements of Microsoft Relationship Sales are limited for use with Dynamics 365 Sales environments only.</w:t>
      </w:r>
    </w:p>
    <w:p>
      <w:pPr>
        <w:pStyle w:val="NormalWeb"/>
        <w:spacing w:before="150"/>
      </w:pPr>
      <w:r>
        <w:t xml:space="preserve">Microsoft Relationship Sales includes Dynamics 365 for Sales Enterprise and LinkedIn Sales Navigator Advanced Plus Edition. LinkedIn Sales Navigator Advanced Plus Edition is for the sole use of the Microsoft Relationship Sales </w:t>
      </w:r>
      <w:hyperlink w:anchor="_Toc20" w:tooltip="Licensed User means the single person to whom a License is assigned." w:history="1">
        <w:r>
          <w:rPr>
            <w:rStyle w:val="Hyperlink"/>
            <w:color w:val="505050"/>
          </w:rPr>
          <w:t>Licensed User</w:t>
        </w:r>
      </w:hyperlink>
      <w:r>
        <w:t xml:space="preserve"> for the duration of the subscription.</w:t>
      </w:r>
    </w:p>
    <w:p>
      <w:pPr>
        <w:pStyle w:val="Heading3"/>
        <w:spacing w:before="150" w:beforeAutospacing="0"/>
        <w:rPr>
          <w:rFonts w:eastAsia="Times New Roman"/>
          <w:color w:val="0078D4"/>
          <w:sz w:val="26"/>
          <w:szCs w:val="26"/>
        </w:rPr>
      </w:pPr>
      <w:r>
        <w:rPr>
          <w:rFonts w:eastAsia="Times New Roman"/>
          <w:color w:val="0078D4"/>
          <w:sz w:val="26"/>
          <w:szCs w:val="26"/>
        </w:rPr>
        <w:t>Dynamics 365 for Operations Order Lines </w:t>
      </w:r>
    </w:p>
    <w:p>
      <w:pPr>
        <w:pStyle w:val="NormalWeb"/>
        <w:spacing w:after="150"/>
      </w:pPr>
      <w:r>
        <w:t>Users or devices do not require an SL to indirectly (not through a client UI) execute the transaction types designated in the Dynamics 365 Licensing Guide (</w:t>
      </w:r>
      <w:hyperlink r:id="rId177" w:history="1">
        <w:r>
          <w:rPr>
            <w:rStyle w:val="Hyperlink"/>
            <w:color w:val="505050"/>
          </w:rPr>
          <w:t>https://go.microsoft.com/fwlink/?LinkId=866544&amp;clcid=0x409</w:t>
        </w:r>
      </w:hyperlink>
      <w:r>
        <w:t>). The number of allowed transactions is limited to the number of order lines licensed.  </w:t>
      </w:r>
    </w:p>
    <w:p>
      <w:pPr>
        <w:pStyle w:val="Heading3"/>
        <w:spacing w:before="150" w:beforeAutospacing="0"/>
        <w:rPr>
          <w:rFonts w:eastAsia="Times New Roman"/>
          <w:color w:val="0078D4"/>
          <w:sz w:val="26"/>
          <w:szCs w:val="26"/>
        </w:rPr>
      </w:pPr>
      <w:r>
        <w:rPr>
          <w:rFonts w:eastAsia="Times New Roman"/>
          <w:color w:val="0078D4"/>
          <w:sz w:val="26"/>
          <w:szCs w:val="26"/>
        </w:rPr>
        <w:t>Dynamics 365 Customer Insights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Provided Data and Insights</w:t>
      </w:r>
    </w:p>
    <w:p>
      <w:pPr>
        <w:pStyle w:val="NormalWeb"/>
        <w:spacing w:after="150"/>
      </w:pPr>
      <w:r>
        <w:t>Dynamics 365 Customer Insights may include Microsoft provided data and insights (including, but not limited to, market segment and brand affinity data and insights), which Customer may use for internal business purposes only.</w:t>
      </w:r>
    </w:p>
    <w:p>
      <w:pPr>
        <w:pStyle w:val="Heading3"/>
        <w:spacing w:before="150" w:beforeAutospacing="0"/>
        <w:rPr>
          <w:rFonts w:eastAsia="Times New Roman"/>
          <w:color w:val="0078D4"/>
          <w:sz w:val="26"/>
          <w:szCs w:val="26"/>
        </w:rPr>
      </w:pPr>
      <w:r>
        <w:rPr>
          <w:rFonts w:eastAsia="Times New Roman"/>
          <w:color w:val="0078D4"/>
          <w:sz w:val="26"/>
          <w:szCs w:val="26"/>
        </w:rPr>
        <w:t>Communication Services</w:t>
      </w:r>
    </w:p>
    <w:p>
      <w:pPr>
        <w:pStyle w:val="NormalWeb"/>
        <w:spacing w:after="150"/>
      </w:pPr>
      <w:r>
        <w:t>Certain Dynamics 365 services have voice and text services provided by Azure Communication Services. For these services, the Azure Communication Services terms below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Responsibility</w:t>
      </w:r>
    </w:p>
    <w:p>
      <w:pPr>
        <w:pStyle w:val="NormalWeb"/>
        <w:spacing w:after="150"/>
      </w:pPr>
      <w:r>
        <w:t>Azure Communication Services ("ACS") is a developer product and an input to customers' applications. Customer may only use Azure Communication Services for business purposes. Customers are solely liable for their applications or offerings that incorporate Azure Communication Services capabilities and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Notices</w:t>
      </w:r>
    </w:p>
    <w:p>
      <w:pPr>
        <w:pStyle w:val="NormalWeb"/>
        <w:spacing w:after="150"/>
      </w:pPr>
      <w:r>
        <w:t xml:space="preserve">The H.264/AVC Visual Standard notice in </w:t>
      </w:r>
      <w:hyperlink r:id="rId114" w:tgtFrame="_blank" w:history="1">
        <w:r>
          <w:rPr>
            <w:rStyle w:val="Hyperlink"/>
            <w:color w:val="505050"/>
          </w:rPr>
          <w:t>Notices</w:t>
        </w:r>
      </w:hyperlink>
      <w:r>
        <w:t xml:space="preserve">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Recording and Transcription</w:t>
      </w:r>
    </w:p>
    <w:p>
      <w:pPr>
        <w:pStyle w:val="NormalWeb"/>
        <w:spacing w:after="150"/>
      </w:pPr>
      <w:r>
        <w:t>It is your responsibility to ensure that the users of your application are notified when recording or transcription are enabled in a call or meeting. Microsoft will indicate to you via the Azure Communication Services API that recording or transcription has commenced and you must communicate this fact, in real time, to your users within your application's user interface.  If you have configured your policy to require explicit consent for recording or transcription, you are required to gather explicit consent from your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Microphone</w:t>
      </w:r>
    </w:p>
    <w:p>
      <w:pPr>
        <w:pStyle w:val="NormalWeb"/>
        <w:spacing w:after="150"/>
      </w:pPr>
      <w:r>
        <w:t>It is your responsibility to ensure that the users of your application are notified when a microphone is being accessed by the Azure Communication Services SDK. Microsoft will indicate to you via the Azure Communication Services API that the microphone has been acquired and is ready to be used or is in use by the calling SDK. You as a developer are responsible for notifying your end users if the microphone is in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Teams Interoperability</w:t>
      </w:r>
    </w:p>
    <w:p>
      <w:pPr>
        <w:pStyle w:val="NormalWeb"/>
        <w:spacing w:after="150"/>
      </w:pPr>
      <w:r>
        <w:t>Interoperability between Azure Communication Services and Microsoft Teams enables your applications and users to participate in Teams calls, meetings, and chat. In addition to existing charges in Teams for PSTN connectivity, you will be charged consumption fees in Azure Communication Services.</w:t>
      </w:r>
    </w:p>
    <w:p>
      <w:pPr>
        <w:pStyle w:val="NormalWeb"/>
        <w:spacing w:before="150"/>
      </w:pPr>
      <w:r>
        <w:t>When Teams users join Teams meetings on the Teams clients then the call is covered by your Teams licenses. When a user makes a call using Azure Communication Services or when a Microsoft 365 or Microsoft Entra user makes a call with ACS calling SDK it will be charged based on Azure Communication Services fees.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Terms Precedence</w:t>
      </w:r>
    </w:p>
    <w:p>
      <w:pPr>
        <w:pStyle w:val="NormalWeb"/>
        <w:spacing w:after="150"/>
      </w:pPr>
      <w:r>
        <w:t>Some Azure Communication Services, including private previews and Previews, may be provided under a separate license, such as an open-source license. In the event of a conflict between these terms and any separate license, the separate license will prevail with respect to the Azure Communication Service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Information</w:t>
      </w:r>
    </w:p>
    <w:p>
      <w:pPr>
        <w:pStyle w:val="NormalWeb"/>
        <w:spacing w:after="150"/>
      </w:pPr>
      <w:r>
        <w:t>Except in instances required by law or regulation, Microsoft does not retain information that identifies individual end users. Customer acknowledges that, should it delete or de-link end user identifying information in its possession, Microsoft shall have no responsibility to reconstitute the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Defense of Claims</w:t>
      </w:r>
    </w:p>
    <w:p>
      <w:pPr>
        <w:pStyle w:val="NormalWeb"/>
        <w:spacing w:after="150"/>
      </w:pPr>
      <w:r>
        <w:t>You agree to defend, hold harmless, and indemnify Microsoft and its directors, officers, employees, affiliates, and agents from and against any and all demands, assertions, and legal proceedings brought by any third party (and all resulting judgments, settlements and expenses (including reasonable attorneys' fees and costs)) arising from a material breach of these terms by you or your subcontractors, agents, employees, or customers. This includes, without limitation, breach of the obligation to comply with applicable telemarketing laws and the U.S. Telephone Consumer Protection Act of 1991.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ACS SMS and MMS services involve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ACS messaging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  </w:t>
      </w:r>
    </w:p>
    <w:p>
      <w:pPr>
        <w:pStyle w:val="NormalWeb"/>
        <w:spacing w:after="150"/>
      </w:pPr>
      <w:r>
        <w:t xml:space="preserve">Customer and its end users shall comply with the Azure Communication Services Messaging Policy. The Messaging Policy applies to SMS, MMS, and email communications. Microsoft reserves the right to suspend or remove access to Azure Communication Services for Customer or its end users that do not comply with the Messaging Policy. The Messaging Policy is available at </w:t>
      </w:r>
      <w:hyperlink r:id="rId154" w:tgtFrame="_blank" w:history="1">
        <w:r>
          <w:rPr>
            <w:rStyle w:val="Hyperlink"/>
            <w:color w:val="505050"/>
          </w:rPr>
          <w:t>https://docs.microsoft.com/azure/communication-services/concepts/telephony-sms/messaging-policy</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The </w:t>
      </w:r>
      <w:hyperlink r:id="rId26" w:tgtFrame="_blank" w:history="1">
        <w:r>
          <w:rPr>
            <w:rStyle w:val="Hyperlink"/>
            <w:color w:val="505050"/>
          </w:rPr>
          <w:t>Privacy &amp; Security terms</w:t>
        </w:r>
      </w:hyperlink>
      <w:r>
        <w:t xml:space="preserve"> apply to any Copilot features powered by Azure OpenAI service that are included within Microsoft Dynamics 365 Core Services or Dynamics 365 EU Data Boundary Services, except that any component powered by Bing remains subject to Bing terms.</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Add-ons to SA</w:t>
        </w:r>
      </w:hyperlink>
      <w:r>
        <w:rPr>
          <w:rFonts w:ascii="Segoe UI" w:eastAsia="Times New Roman" w:hAnsi="Segoe UI" w:cs="Segoe UI"/>
          <w:color w:val="505050"/>
          <w:sz w:val="18"/>
          <w:szCs w:val="18"/>
        </w:rPr>
        <w:t xml:space="preserve"> User SL for each Qualifying License(s), unless provided otherwise in these terms</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Add-ons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Dynamics 365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57"/>
        <w:gridCol w:w="51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Professional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Professional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Add-on</w:t>
            </w:r>
          </w:p>
        </w:tc>
      </w:tr>
    </w:tbl>
    <w:p>
      <w:pPr>
        <w:rPr>
          <w:rFonts w:eastAsia="Times New Roman"/>
          <w:color w:val="0078D4"/>
          <w:sz w:val="26"/>
          <w:szCs w:val="26"/>
        </w:rPr>
      </w:pPr>
    </w:p>
    <w:p w:rsidR="00ED5159" w:rsidP="00ED5159">
      <w:pPr>
        <w:pStyle w:val="ProductList-OfferingGroupHeading"/>
        <w:outlineLvl w:val="1"/>
      </w:pPr>
      <w:r>
        <w:t>Microsoft Power Platform</w:t>
      </w:r>
      <w:r>
        <w:fldChar w:fldCharType="begin"/>
      </w:r>
      <w:r>
        <w:instrText xml:space="preserve"> TC </w:instrText>
      </w:r>
      <w:bookmarkStart w:id="53" w:name="_Toc256000042"/>
      <w:r>
        <w:instrText>"</w:instrText>
      </w:r>
      <w:r>
        <w:instrText>Microsoft Power Platform</w:instrText>
      </w:r>
      <w:r>
        <w:instrText>"</w:instrText>
      </w:r>
      <w:bookmarkEnd w:id="5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Power BI Pro A</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Professional Direct Support</w:t>
            </w:r>
          </w:p>
        </w:tc>
        <w:tc>
          <w:tcPr/>
          <w:p w:rsidR="00A363CA" w:rsidP="00A363CA">
            <w:pPr>
              <w:pStyle w:val="ProductList-TableBody"/>
            </w:pPr>
            <w:r>
              <w:t>Additional Product</w:t>
            </w:r>
          </w:p>
        </w:tc>
      </w:tr>
    </w:tbl>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BI Report Server - Running Instances</w:t>
      </w:r>
    </w:p>
    <w:p>
      <w:pPr>
        <w:pStyle w:val="NormalWeb"/>
        <w:spacing w:after="150"/>
      </w:pPr>
      <w:r>
        <w:t xml:space="preserve">For each Microsoft Power BI Premium P subscription license, 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the Power BI Report Server software in a </w:t>
      </w:r>
      <w:hyperlink w:anchor="_Toc20"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0" w:tooltip="Virtual OSE means an OSE that is configured to run on a virtual hardware system." w:history="1">
        <w:r>
          <w:rPr>
            <w:rStyle w:val="Hyperlink"/>
            <w:color w:val="505050"/>
          </w:rPr>
          <w:t>Virtual OSE</w:t>
        </w:r>
      </w:hyperlink>
      <w:r>
        <w:t xml:space="preserve"> on a Server dedicated to Customer's user or a </w:t>
      </w:r>
      <w:hyperlink w:anchor="_Toc20" w:tooltip="Virtual OSE means an OSE that is configured to run on a virtual hardware system." w:history="1">
        <w:r>
          <w:rPr>
            <w:rStyle w:val="Hyperlink"/>
            <w:color w:val="505050"/>
          </w:rPr>
          <w:t>Virtual OSE</w:t>
        </w:r>
      </w:hyperlink>
      <w:r>
        <w:t xml:space="preserve"> on shared servers on Microsoft Azure Services only. </w:t>
      </w:r>
      <w:hyperlink w:anchor="_Toc20"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Customer may run the Power BI Report Server software in a Physical or </w:t>
      </w:r>
      <w:hyperlink w:anchor="_Toc20" w:tooltip="Virtual OSE means an OSE that is configured to run on a virtual hardware system." w:history="1">
        <w:r>
          <w:rPr>
            <w:rStyle w:val="Hyperlink"/>
            <w:color w:val="505050"/>
          </w:rPr>
          <w:t>Virtual OSE</w:t>
        </w:r>
      </w:hyperlink>
      <w:r>
        <w:t xml:space="preserve"> with up to the number of cores included under its Power BI Premium P plan.  If any </w:t>
      </w:r>
      <w:hyperlink w:anchor="_Toc20" w:tooltip="Virtual Core means the unit of processing power in a virtual hardware system. A Virtual Core is the virtual representation of one or more hardware threads." w:history="1">
        <w:r>
          <w:rPr>
            <w:rStyle w:val="Hyperlink"/>
            <w:color w:val="505050"/>
          </w:rPr>
          <w:t>Virtual Core</w:t>
        </w:r>
      </w:hyperlink>
      <w:r>
        <w:t xml:space="preserve"> is at any time mapped to more than one Hardware Thread, Customer needs an additional subscription license for each additional </w:t>
      </w:r>
      <w:hyperlink w:anchor="_Toc20" w:tooltip="Hardware Thread means either a Physical Core or a hyper-thread in a Physical Processor." w:history="1">
        <w:r>
          <w:rPr>
            <w:rStyle w:val="Hyperlink"/>
            <w:color w:val="505050"/>
          </w:rPr>
          <w:t>Hardware Thread</w:t>
        </w:r>
      </w:hyperlink>
      <w:r>
        <w:t xml:space="preserve"> mapped to that </w:t>
      </w:r>
      <w:hyperlink w:anchor="_Toc20" w:tooltip="Virtual Core means the unit of processing power in a virtual hardware system. A Virtual Core is the virtual representation of one or more hardware threads." w:history="1">
        <w:r>
          <w:rPr>
            <w:rStyle w:val="Hyperlink"/>
            <w:color w:val="505050"/>
          </w:rPr>
          <w:t>Virtual Core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Power BI Report Server - Sharing Content</w:t>
      </w:r>
    </w:p>
    <w:p>
      <w:pPr>
        <w:pStyle w:val="NormalWeb"/>
        <w:spacing w:after="150"/>
      </w:pPr>
      <w:r>
        <w:t>A Power BI Pro User SL is required to publish shared Power BI reports using the Power BI Report Server. </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0"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(SQL Server Standard) included in Power BI Report Server in one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0" w:tooltip="Server means a physical hardware system capable of running server software." w:history="1">
        <w:r>
          <w:rPr>
            <w:rStyle w:val="Hyperlink"/>
            <w:color w:val="505050"/>
          </w:rPr>
          <w:t>Server</w:t>
        </w:r>
      </w:hyperlink>
      <w:r>
        <w:t xml:space="preserve"> for the limited purpose of supporting Power BI Report Server and any other product that includes SQL Server database software. </w:t>
      </w:r>
      <w:hyperlink w:anchor="_Toc20"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17"/>
        <w:gridCol w:w="471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unattended RPA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Automate Premium per user or</w:t>
            </w:r>
          </w:p>
          <w:p>
            <w:pPr>
              <w:pStyle w:val="NormalWeb"/>
              <w:spacing w:before="150"/>
            </w:pPr>
            <w:r>
              <w:t>Power Automate per flow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BI Pro, or</w:t>
            </w:r>
          </w:p>
          <w:p>
            <w:pPr>
              <w:pStyle w:val="NormalWeb"/>
              <w:spacing w:before="150"/>
            </w:pPr>
            <w:r>
              <w:t>Microsoft 365 A5/E5, or</w:t>
            </w:r>
          </w:p>
          <w:p>
            <w:pPr>
              <w:pStyle w:val="NormalWeb"/>
              <w:spacing w:before="150"/>
            </w:pPr>
            <w:r>
              <w:t>Office 365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Process Mining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Premium per user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Platform Requests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Apps, or</w:t>
            </w:r>
          </w:p>
          <w:p>
            <w:pPr>
              <w:pStyle w:val="NormalWeb"/>
              <w:spacing w:before="150"/>
            </w:pPr>
            <w:r>
              <w:t>Power Automate, or</w:t>
            </w:r>
          </w:p>
          <w:p>
            <w:pPr>
              <w:pStyle w:val="NormalWeb"/>
              <w:spacing w:before="150"/>
            </w:pPr>
            <w:r>
              <w:t>O/M365</w:t>
            </w:r>
            <w:r>
              <w:rPr>
                <w:i/>
                <w:iCs/>
                <w:vertAlign w:val="superscript"/>
              </w:rPr>
              <w:t>1</w:t>
            </w:r>
            <w:r>
              <w:t>, or</w:t>
            </w:r>
          </w:p>
          <w:p>
            <w:pPr>
              <w:pStyle w:val="NormalWeb"/>
              <w:spacing w:before="150"/>
            </w:pPr>
            <w:r>
              <w:t>Dynamics 365</w:t>
            </w:r>
            <w:r>
              <w:rPr>
                <w:i/>
                <w:iCs/>
                <w:vertAlign w:val="superscript"/>
              </w:rPr>
              <w:t>2</w:t>
            </w:r>
          </w:p>
        </w:tc>
      </w:tr>
    </w:tbl>
    <w:p>
      <w:pPr>
        <w:pStyle w:val="NormalWeb"/>
      </w:pPr>
      <w:r>
        <w:rPr>
          <w:vertAlign w:val="superscript"/>
        </w:rPr>
        <w:t>1</w:t>
      </w:r>
      <w:r>
        <w:t xml:space="preserve">Select licenses as identified </w:t>
      </w:r>
      <w:hyperlink r:id="rId178" w:tgtFrame="_blank" w:history="1">
        <w:r>
          <w:rPr>
            <w:rStyle w:val="Hyperlink"/>
            <w:color w:val="505050"/>
          </w:rPr>
          <w:t>here</w:t>
        </w:r>
      </w:hyperlink>
      <w:r>
        <w:rPr>
          <w:vertAlign w:val="superscript"/>
        </w:rPr>
        <w:t>2</w:t>
      </w:r>
      <w:r>
        <w:t xml:space="preserve">Select licenses as identified </w:t>
      </w:r>
      <w:hyperlink r:id="rId179" w:tgtFrame="_blank" w:history="1">
        <w:r>
          <w:rPr>
            <w:rStyle w:val="Hyperlink"/>
            <w:color w:val="505050"/>
          </w:rPr>
          <w:t>here</w:t>
        </w:r>
      </w:hyperlink>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95"/>
        <w:gridCol w:w="63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AI Builder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Dataverse Database Capacity (1GB)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portals login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plan (2000 Seat Minimum)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per flow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20</w:t>
            </w:r>
          </w:p>
          <w:p>
            <w:pPr>
              <w:pStyle w:val="NormalWeb"/>
              <w:spacing w:before="150"/>
            </w:pPr>
            <w:r>
              <w:t>(250 maximum - once met, all remaining users are covered with no additional licenses required)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Authenticated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w:t>
            </w:r>
          </w:p>
          <w:p>
            <w:pPr>
              <w:pStyle w:val="NormalWeb"/>
              <w:spacing w:before="150"/>
            </w:pPr>
            <w:r>
              <w:t>Tier 3: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Anonymous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20</w:t>
            </w:r>
          </w:p>
          <w:p>
            <w:pPr>
              <w:pStyle w:val="NormalWeb"/>
              <w:spacing w:before="150"/>
            </w:pPr>
            <w:r>
              <w:t>Tier 3: 200</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Pages - Extended Use rights</w:t>
      </w:r>
    </w:p>
    <w:p>
      <w:pPr>
        <w:pStyle w:val="NormalWeb"/>
        <w:spacing w:after="150"/>
      </w:pPr>
      <w:r>
        <w:t>Purchases of the following products provide internal users the use rights for Power Pages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61"/>
        <w:gridCol w:w="68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Custom Power Pages 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Enterprise license</w:t>
            </w:r>
            <w:r>
              <w:rPr>
                <w:rFonts w:ascii="Segoe UI" w:eastAsia="Times New Roman" w:hAnsi="Segoe UI" w:cs="Segoe UI"/>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Pages that map to licensed Dynamics 365 application context and,</w:t>
            </w:r>
          </w:p>
          <w:p>
            <w:pPr>
              <w:pStyle w:val="NormalWeb"/>
              <w:spacing w:before="150"/>
            </w:pPr>
            <w:r>
              <w:t>Power Pages that map to the same environment as the licensed Dynamics 365 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Power Page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Unlimited Power Pages</w:t>
            </w:r>
          </w:p>
        </w:tc>
      </w:tr>
    </w:tbl>
    <w:p>
      <w:pPr>
        <w:pStyle w:val="NormalWeb"/>
      </w:pPr>
      <w:r>
        <w:rPr>
          <w:i/>
          <w:iCs/>
          <w:vertAlign w:val="superscript"/>
        </w:rPr>
        <w:t>1</w:t>
      </w:r>
      <w:r>
        <w:rPr>
          <w:i/>
          <w:iCs/>
        </w:rPr>
        <w:t>Dynamics 365 Sales Enterprise, Dynamics 365 Customer Service Enterprise, Dynamics 365 Field Service, Dynamics 365 Project Operations, Dynamics 365 Finance/Finance Premium, Dynamics 365 Supply Chain Management/Supply Chain Management Premium, Dynamics 365 Commerce, Dynamics 365 Human Resources, Dynamics 365 Business Central.</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H.264/AVC Visual Standard, and VC-1 Video Standard Notices apply. (refer to </w:t>
      </w:r>
      <w:hyperlink r:id="rId107"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Inactive Dataverse Instances provided with Microsoft 365 licenses</w:t>
      </w:r>
    </w:p>
    <w:p>
      <w:pPr>
        <w:pStyle w:val="NormalWeb"/>
        <w:spacing w:after="150"/>
      </w:pPr>
      <w:r>
        <w:t>If a Customer allows its Dataverse instance that is provided with Microsoft 365 licenses to go inactive, Microsoft may, at its discretion, disable the inactive instance and delete the Customer Data and Personal Data within it.  Such Dataverse instance is inactive if for 90 days 1) no user logged into the instance, 2) no apps, bots, reports or flows have accessed the data contained in the instance, 3) no new apps, bots, reports, or flows were installed on or imported into the instance, and 4) no other actions or activities are registered in this instance through API or background processing jobs.</w:t>
      </w:r>
    </w:p>
    <w:p>
      <w:pPr>
        <w:pStyle w:val="Heading3"/>
        <w:spacing w:before="150" w:beforeAutospacing="0"/>
        <w:rPr>
          <w:rFonts w:eastAsia="Times New Roman"/>
          <w:color w:val="0078D4"/>
          <w:sz w:val="26"/>
          <w:szCs w:val="26"/>
        </w:rPr>
      </w:pPr>
      <w:r>
        <w:rPr>
          <w:rFonts w:eastAsia="Times New Roman"/>
          <w:color w:val="0078D4"/>
          <w:sz w:val="26"/>
          <w:szCs w:val="26"/>
        </w:rPr>
        <w:t>Microsoft Copilot Studio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 and Bing Custom Search) </w:t>
      </w:r>
    </w:p>
    <w:p>
      <w:pPr>
        <w:pStyle w:val="NormalWeb"/>
        <w:spacing w:after="150"/>
      </w:pPr>
      <w:r>
        <w:t>When Grounding with Bing Search and Grounding with Bing Custom Search are optionally available through Microsoft Copilot Studio, as disclosed in the product documentation for Microsoft Copilot Studio, the use of Grounding with Bing Search and Grounding with Bing Custom Search are governed by the Terms of Use (</w:t>
      </w:r>
      <w:hyperlink r:id="rId169" w:tgtFrame="_blank" w:history="1">
        <w:r>
          <w:rPr>
            <w:rStyle w:val="Hyperlink"/>
            <w:color w:val="505050"/>
          </w:rPr>
          <w:t>https://www.microsoft.com/bing/apis/grounding-legal-enterprise</w:t>
        </w:r>
      </w:hyperlink>
      <w:r>
        <w:t>) and Microsoft Privacy Statement (</w:t>
      </w:r>
      <w:hyperlink r:id="rId180" w:tgtFrame="_blank" w:history="1">
        <w:r>
          <w:rPr>
            <w:rStyle w:val="Hyperlink"/>
            <w:color w:val="505050"/>
          </w:rPr>
          <w:t>https://www.microsoft.com/privacy/privacystatement</w:t>
        </w:r>
      </w:hyperlink>
      <w:r>
        <w:t xml:space="preserve">). The </w:t>
      </w:r>
      <w:hyperlink w:anchor="_Toc20" w:tooltip="Data Protection Addendum (DPA) means the Microsoft Products and Services Data Protection Addendum published at https://aka.ms/DPA." w:history="1">
        <w:r>
          <w:rPr>
            <w:rStyle w:val="Hyperlink"/>
            <w:color w:val="505050"/>
          </w:rPr>
          <w:t>Data Protection Addendum</w:t>
        </w:r>
      </w:hyperlink>
      <w:r>
        <w:t xml:space="preserve"> does not apply to the use of Grounding with Bing Search and Grounding with Bing Custom Search. </w:t>
      </w:r>
    </w:p>
    <w:p>
      <w:pPr>
        <w:pStyle w:val="NormalWeb"/>
        <w:spacing w:before="150"/>
      </w:pPr>
      <w:r>
        <w:t>Notwithstanding the foregoing, any terms applicable to the web query functionality, queries, or other data (including any Personal Data) ("Query Data") sent from Entra ID-authenticated use of Microsoft Copilot Studio to Bing for Grounding with Bing Search and Grounding with Bing Custom Search are subject to the following terms: </w:t>
      </w:r>
    </w:p>
    <w:p>
      <w:pPr>
        <w:numPr>
          <w:ilvl w:val="0"/>
          <w:numId w:val="9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Covered Product</w:t>
      </w:r>
    </w:p>
    <w:p>
      <w:pPr>
        <w:pStyle w:val="NormalWeb"/>
        <w:spacing w:after="150"/>
      </w:pPr>
      <w:r>
        <w:t xml:space="preserve">Microsoft Copilot Studio is a </w:t>
      </w:r>
      <w:hyperlink w:anchor="_Toc20"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with configurable Metaprompts or other safety systems and is subject to clause 5 of the Customer Copyright Commitment for those capabilities documented at Customer Copyright Commitment Required Mitigations here </w:t>
      </w:r>
      <w:hyperlink r:id="rId64" w:tgtFrame="_blank" w:history="1">
        <w:r>
          <w:rPr>
            <w:rStyle w:val="Hyperlink"/>
            <w:color w:val="505050"/>
          </w:rPr>
          <w:t>https://learn.microsoft.com/legal/cognitive-services/openai/customer-copyright-commitment</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Power BI</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"Customer Application" means an application or any set of applications that adds primary and significant functionality to the Embedded Capabilities and that is not primarily a substitute for any portion of Microsoft Power BI services.</w:t>
      </w:r>
    </w:p>
    <w:p>
      <w:pPr>
        <w:pStyle w:val="NormalWeb"/>
        <w:spacing w:before="150"/>
      </w:pPr>
      <w:r>
        <w:t>"Embedded Capabilities" means the Power BI APIs and embedded views for use by an application.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Exception for Embedded Capabilities</w:t>
      </w:r>
    </w:p>
    <w:p>
      <w:pPr>
        <w:pStyle w:val="NormalWeb"/>
        <w:spacing w:after="150"/>
      </w:pPr>
      <w:r>
        <w:t>Customer may create and maintain a Customer Application and, despite anything to the contrary in Customer's volume licensing agreement, combine Embedded Capabilities with Customer Data owned or licensed by Customer or a third party, to create a Customer Application using the Embedded Capabilities and the Customer Data together. Any Power BI content accessed by the Customer Application or its end users must be stored in Microsoft Power BI Premium capacity. Customer may permit third parties to access and use the Embedded Capabilities in connection with the use of that Customer Application. Customer is responsible for that use and for ensuring that these terms and the terms and conditions of Customer's volume licensing agreement are met by that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w:t>
      </w:r>
    </w:p>
    <w:p>
      <w:pPr>
        <w:pStyle w:val="NormalWeb"/>
        <w:spacing w:after="150"/>
      </w:pPr>
      <w:r>
        <w:t>Customer may not</w:t>
      </w:r>
    </w:p>
    <w:p>
      <w:pPr>
        <w:numPr>
          <w:ilvl w:val="0"/>
          <w:numId w:val="9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Power BI services, or</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Power BI feature that is made available on a per user basis.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without a User SL</w:t>
      </w:r>
    </w:p>
    <w:p>
      <w:pPr>
        <w:pStyle w:val="NormalWeb"/>
        <w:spacing w:after="150"/>
      </w:pPr>
      <w:r>
        <w:t>A User SL is not required to view content in Power BI Premium capacity that is shared through the embed APIs or embedded views functionality. With Power BI Premium P series only, a User SL is also not required to view content in Power BI Premium capacity that is shared through the apps or email subscription features, or through Power BI Report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Publish to Web</w:t>
      </w:r>
    </w:p>
    <w:p>
      <w:pPr>
        <w:pStyle w:val="NormalWeb"/>
        <w:spacing w:after="150"/>
      </w:pPr>
      <w:r>
        <w:t>Customer may use the publish to web functionality to share content only on a publicly available website. Customer may not use this functionality to share content internally. Microsoft may display content published through the publish to web functionality on a public website or gallery.</w:t>
      </w:r>
    </w:p>
    <w:p>
      <w:pPr>
        <w:pStyle w:val="Heading3"/>
        <w:spacing w:before="150" w:beforeAutospacing="0"/>
        <w:rPr>
          <w:rFonts w:eastAsia="Times New Roman"/>
          <w:color w:val="0078D4"/>
          <w:sz w:val="26"/>
          <w:szCs w:val="26"/>
        </w:rPr>
      </w:pPr>
      <w:r>
        <w:rPr>
          <w:rFonts w:eastAsia="Times New Roman"/>
          <w:color w:val="0078D4"/>
          <w:sz w:val="26"/>
          <w:szCs w:val="26"/>
        </w:rPr>
        <w:t>Microsoft Power Apps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Tables</w:t>
      </w:r>
    </w:p>
    <w:p>
      <w:pPr>
        <w:pStyle w:val="NormalWeb"/>
        <w:spacing w:after="150"/>
      </w:pPr>
      <w:r>
        <w:t xml:space="preserve">Customer may not create, modify, or delete any data from tables of the type designated as "restricted" in product documentation at </w:t>
      </w:r>
      <w:hyperlink r:id="rId181" w:tgtFrame="_blank" w:history="1">
        <w:r>
          <w:rPr>
            <w:rStyle w:val="Hyperlink"/>
            <w:color w:val="505050"/>
          </w:rPr>
          <w:t>https://go.microsoft.com/fwlink/?linkid=868812</w:t>
        </w:r>
      </w:hyperlink>
      <w:r>
        <w:t>. Customer has read-only access to such restricted tables.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Non-Restricted Tables</w:t>
      </w:r>
    </w:p>
    <w:p>
      <w:pPr>
        <w:pStyle w:val="NormalWeb"/>
        <w:spacing w:after="150"/>
      </w:pPr>
      <w:r>
        <w:t xml:space="preserve">Users with a Power Apps license may create, read, update, or delete any data from tables of the type that are not designated as "restricted" in product documentation at </w:t>
      </w:r>
      <w:hyperlink r:id="rId182" w:tgtFrame="_blank" w:history="1">
        <w:r>
          <w:rPr>
            <w:rStyle w:val="Hyperlink"/>
            <w:color w:val="505050"/>
          </w:rPr>
          <w:t>https://go.microsoft.com/fwlink/?linkid=868812</w:t>
        </w:r>
      </w:hyperlink>
      <w:hyperlink r:id="rId182"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Distributable Code</w:t>
      </w:r>
    </w:p>
    <w:p>
      <w:pPr>
        <w:pStyle w:val="NormalWeb"/>
        <w:spacing w:after="150"/>
      </w:pPr>
      <w:r>
        <w:t xml:space="preserve">Customer may use the "Wrap" feature of Power Apps to generate a software package containing a canvas app combined with certain Power Apps mobile platform components. Customer may distribute the combined package unmodified under the terms set forth in the Distributable Code section of the </w:t>
      </w:r>
      <w:hyperlink r:id="rId118" w:tgtFrame="_blank" w:history="1">
        <w:r>
          <w:rPr>
            <w:rStyle w:val="Hyperlink"/>
            <w:color w:val="505050"/>
          </w:rPr>
          <w:t>Universal License Terms for Software</w:t>
        </w:r>
      </w:hyperlink>
      <w:r>
        <w:t>. Customer may not disassemble the combined package or distribute any components separated from the combined package.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may be required to update the package generated from the "Wrap" feature of Power Apps to ensure packages are running on a supported version of the Power Apps mobile platform. Packages running on unsupported versions may not function. </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For Power Apps, Power Automate, Power Pages, and Microsoft Copilot Studio, the </w:t>
      </w:r>
      <w:hyperlink r:id="rId26" w:tgtFrame="_blank" w:history="1">
        <w:r>
          <w:rPr>
            <w:rStyle w:val="Hyperlink"/>
            <w:color w:val="505050"/>
          </w:rPr>
          <w:t>Privacy &amp; Security terms</w:t>
        </w:r>
      </w:hyperlink>
      <w:r>
        <w:t xml:space="preserve"> apply to any Copilot features powered by Azure OpenAI service that are included within the Microsoft Power Platform Core Services or Power Platform EU Data Boundary Services, except that any component powered by Bing remains subject to the Bing terms.</w:t>
      </w:r>
    </w:p>
    <w:p w:rsidR="00ED5159" w:rsidP="00ED5159">
      <w:pPr>
        <w:pStyle w:val="ProductList-OfferingGroupHeading"/>
        <w:outlineLvl w:val="1"/>
      </w:pPr>
      <w:r>
        <w:t>Office 365 Services</w:t>
      </w:r>
      <w:r>
        <w:fldChar w:fldCharType="begin"/>
      </w:r>
      <w:r>
        <w:instrText xml:space="preserve"> TC </w:instrText>
      </w:r>
      <w:bookmarkStart w:id="54" w:name="_Toc256000043"/>
      <w:r>
        <w:instrText>"</w:instrText>
      </w:r>
      <w:bookmarkStart w:id="55" w:name="_Toc18"/>
      <w:r>
        <w:instrText>Office 365 Services</w:instrText>
      </w:r>
      <w:bookmarkEnd w:id="55"/>
      <w:r>
        <w:instrText>"</w:instrText>
      </w:r>
      <w:bookmarkEnd w:id="54"/>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2Heading"/>
        <w:outlineLvl w:val="2"/>
      </w:pPr>
      <w:r>
        <w:t>Audio Services</w:t>
      </w:r>
      <w:r>
        <w:fldChar w:fldCharType="begin"/>
      </w:r>
      <w:r>
        <w:instrText xml:space="preserve"> TC </w:instrText>
      </w:r>
      <w:bookmarkStart w:id="56" w:name="_Toc256000044"/>
      <w:r>
        <w:instrText>"</w:instrText>
      </w:r>
      <w:r>
        <w:instrText>Audio Services</w:instrText>
      </w:r>
      <w:r>
        <w:instrText>"</w:instrText>
      </w:r>
      <w:bookmarkEnd w:id="5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Teams Phone Standard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Audio Conferencing Extended Dial-out minutes to USA/CAN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Audio Conferencing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19"/>
        <w:gridCol w:w="781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Communications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Microsoft Teams EEA; Microsoft Teams Enterprise;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Extended Dial-out minutes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Audio Conferencing; Audio Conferencing for India-Based Users; Microsoft 365 E5/A5; Microsoft 365 E5 EEA (no Teams)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Audio Conferencing with Dial-out to USA/CAN;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F1/F3/E3/A3/E5/A5;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 E5 Users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E5/A5;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Phone Standard;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Communications Credits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Audio Conferencing for India-Based Users; Microsoft 365 E5/A5; Microsoft 365 E5 (no Teams); Microsoft 365 E5 EEA (no Teams); Microsoft Teams Audio Conferencing with Dial-out to USA/CAN; Office 365 E5/A5; Office 365 E5 EEA (no Teams)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Audio Conferencing with Dial-out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F1/E3/F3; Microsoft 365 Business Basic/Business Standard/Business Premium; Microsoft Teams EEA; Microsoft Teams Enterprise; Office E1/E3/F3; Teams Essentials (AAD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for Frontline Workers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Office 365 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with 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Operator Connect Conferencing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/F1/F3/E3/A3/E5/A5; Microsoft Teams EEA; Microsoft Teams Enterprise; Office 365 F3/E1/E3/A3/E5/A5</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Instant Messaging</w:t>
      </w:r>
    </w:p>
    <w:p>
      <w:pPr>
        <w:pStyle w:val="NormalWeb"/>
        <w:spacing w:after="150"/>
      </w:pPr>
      <w:r>
        <w:t>An end user will be able to transfer a text message to another end user in real time over an Internet Protocol network.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Presence</w:t>
      </w:r>
    </w:p>
    <w:p>
      <w:pPr>
        <w:pStyle w:val="NormalWeb"/>
        <w:spacing w:after="150"/>
      </w:pPr>
      <w:r>
        <w:t>An end user will be able to set and display the end user's availability and view another end user's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Meetings</w:t>
      </w:r>
    </w:p>
    <w:p>
      <w:pPr>
        <w:pStyle w:val="NormalWeb"/>
        <w:spacing w:after="150"/>
      </w:pPr>
      <w:r>
        <w:t>An end user will be able to conduct an Internet-based meeting that has audio and video conferencing functionality with other end users.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and H.264/AVC and/or VC-1 Notices apply (refer to </w:t>
      </w:r>
      <w:hyperlink r:id="rId114"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Common Area Communications Device</w:t>
      </w:r>
    </w:p>
    <w:p>
      <w:pPr>
        <w:pStyle w:val="NormalWeb"/>
        <w:spacing w:after="150"/>
      </w:pPr>
      <w:r>
        <w:t>A Common Area Communication Device ("CACD") is a device shared by multiple users who do not log into the device with their Microsoft 365 credentials and which supports calls, meetings and/or conferencing over voice, Voice over IP, and/or video.  Microsoft Teams Shared Device and Teams Rooms offerings are Device SLs that may only be assigned to a CACD. Each CACD Licensed Device may be accessed and used by any number of users. </w:t>
      </w:r>
    </w:p>
    <w:p>
      <w:pPr>
        <w:pStyle w:val="Heading3"/>
        <w:spacing w:before="150" w:beforeAutospacing="0"/>
        <w:rPr>
          <w:rFonts w:eastAsia="Times New Roman"/>
          <w:color w:val="0078D4"/>
          <w:sz w:val="26"/>
          <w:szCs w:val="26"/>
        </w:rPr>
      </w:pPr>
      <w:r>
        <w:rPr>
          <w:rFonts w:eastAsia="Times New Roman"/>
          <w:color w:val="0078D4"/>
          <w:sz w:val="26"/>
          <w:szCs w:val="26"/>
        </w:rPr>
        <w:t>Open Phone System Platform and Number Management</w:t>
      </w:r>
    </w:p>
    <w:p>
      <w:pPr>
        <w:pStyle w:val="NormalWeb"/>
        <w:spacing w:after="150"/>
      </w:pPr>
      <w:r>
        <w:t>Microsoft Phone System is an open platform that supports integration with any certified telecommunications carrier through options like Direct Routing or Operator Connect. Authorized carriers have the ability to provision, add, and remove telephone numbers associated with your account. Such actions are performed under the carrier's control and in accordance with your contractual arrangements with that carrier. Microsoft is not responsible for billing related to Direct Routing or Operator Connect; all payments are managed directly with the carrier that owns the telephone numbers.</w:t>
      </w:r>
    </w:p>
    <w:p>
      <w:pPr>
        <w:pStyle w:val="Heading3"/>
        <w:spacing w:before="150" w:beforeAutospacing="0"/>
        <w:rPr>
          <w:rFonts w:eastAsia="Times New Roman"/>
          <w:color w:val="0078D4"/>
          <w:sz w:val="26"/>
          <w:szCs w:val="26"/>
        </w:rPr>
      </w:pPr>
      <w:r>
        <w:rPr>
          <w:rFonts w:eastAsia="Times New Roman"/>
          <w:color w:val="0078D4"/>
          <w:sz w:val="26"/>
          <w:szCs w:val="26"/>
        </w:rPr>
        <w:t>Calling Plan and Audio Conferencing Services (Calling/Conferencing Services)</w:t>
      </w:r>
    </w:p>
    <w:p>
      <w:pPr>
        <w:pStyle w:val="NormalWeb"/>
        <w:spacing w:after="150"/>
      </w:pPr>
      <w:r>
        <w:t>Exceeding the usage limitations for the applicable Calling and Conferencing service subscription plan as described in the terms of use may result in suspension of the services. Microsoft will provide reasonable notice before suspending Calling or Conferencing services, and customer will be able to make emergency calls during any period of suspension.</w:t>
      </w:r>
    </w:p>
    <w:p>
      <w:pPr>
        <w:pStyle w:val="Heading3"/>
        <w:spacing w:before="150" w:beforeAutospacing="0"/>
        <w:rPr>
          <w:rFonts w:eastAsia="Times New Roman"/>
          <w:color w:val="0078D4"/>
          <w:sz w:val="26"/>
          <w:szCs w:val="26"/>
        </w:rPr>
      </w:pPr>
      <w:r>
        <w:rPr>
          <w:rFonts w:eastAsia="Times New Roman"/>
          <w:color w:val="0078D4"/>
          <w:sz w:val="26"/>
          <w:szCs w:val="26"/>
        </w:rPr>
        <w:t>Operator Connect </w:t>
      </w:r>
    </w:p>
    <w:p>
      <w:pPr>
        <w:pStyle w:val="NormalWeb"/>
        <w:spacing w:after="150"/>
      </w:pPr>
      <w:r>
        <w:t xml:space="preserve">Operator Connect includes Operator Connect for Microsoft Teams and Microsoft Teams Phone Mobile. Microsoft is an independent controller of </w:t>
      </w:r>
      <w:hyperlink w:anchor="_Toc20" w:tooltip="Personal Data means any information relating to an identified or identifiable natural person." w:history="1">
        <w:r>
          <w:rPr>
            <w:rStyle w:val="Hyperlink"/>
            <w:color w:val="505050"/>
          </w:rPr>
          <w:t>Personal Data</w:t>
        </w:r>
      </w:hyperlink>
      <w:r>
        <w:t xml:space="preserve"> processed in connection with Operator Connect. Customer agrees to, and must notify its end users of, the following:</w:t>
      </w:r>
    </w:p>
    <w:p>
      <w:pPr>
        <w:pStyle w:val="NormalWeb"/>
        <w:spacing w:before="150"/>
      </w:pPr>
      <w:r>
        <w:t>Operator Connect enables Teams end users to communicate with others through telephony networks via Microsoft Teams.  </w:t>
      </w:r>
    </w:p>
    <w:p>
      <w:pPr>
        <w:pStyle w:val="NormalWeb"/>
        <w:spacing w:before="150"/>
      </w:pPr>
      <w:r>
        <w:t>When Operator Connect is enabled by your organization, Microsoft shares information with your organization's communication services carrier (the Operator) to ensure the proper functioning of your Operator's service.  </w:t>
      </w:r>
    </w:p>
    <w:p>
      <w:pPr>
        <w:pStyle w:val="NormalWeb"/>
        <w:spacing w:before="150"/>
      </w:pPr>
      <w:r>
        <w:t>Information Microsoft shares with your Operator when you use Operator Connect includes:</w:t>
      </w:r>
    </w:p>
    <w:p>
      <w:pPr>
        <w:numPr>
          <w:ilvl w:val="0"/>
          <w:numId w:val="10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phone numbers;</w:t>
      </w:r>
    </w:p>
    <w:p>
      <w:pPr>
        <w:numPr>
          <w:ilvl w:val="0"/>
          <w:numId w:val="10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call details and call quality data, such as caller and call recipient phone numbers; call invite and end times; call duration; certain caller identifiers; and information about service connections (e.g., IP addresses and operating systems of the caller and call recipient); and</w:t>
      </w:r>
    </w:p>
    <w:p>
      <w:pPr>
        <w:numPr>
          <w:ilvl w:val="0"/>
          <w:numId w:val="10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location information for emergency calling.</w:t>
      </w:r>
    </w:p>
    <w:p>
      <w:pPr>
        <w:pStyle w:val="NormalWeb"/>
        <w:spacing w:before="150"/>
      </w:pPr>
      <w:r>
        <w:t>Operators will be able to export and download the information listed above.</w:t>
      </w:r>
    </w:p>
    <w:p>
      <w:pPr>
        <w:pStyle w:val="NormalWeb"/>
        <w:spacing w:before="150"/>
      </w:pPr>
      <w:r>
        <w:t xml:space="preserve">This information will be handled by your Operator in accordance with your Operator's privacy practices. For more information, refer to your Operator's privacy policy and terms of use. For information about how Microsoft will handle this </w:t>
      </w:r>
      <w:hyperlink w:anchor="_Toc20" w:tooltip="Personal Data means any information relating to an identified or identifiable natural person." w:history="1">
        <w:r>
          <w:rPr>
            <w:rStyle w:val="Hyperlink"/>
            <w:color w:val="505050"/>
          </w:rPr>
          <w:t>Personal Data</w:t>
        </w:r>
      </w:hyperlink>
      <w:r>
        <w:t xml:space="preserve">, please refer to the Microsoft Privacy Statement at </w:t>
      </w:r>
      <w:hyperlink r:id="rId183" w:tgtFrame="_blank" w:history="1">
        <w:r>
          <w:rPr>
            <w:rStyle w:val="Hyperlink"/>
            <w:color w:val="505050"/>
          </w:rPr>
          <w:t>https://go.microsoft.com/fwlink/?LinkId=521839</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Teams SMS Messaging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Teams SMS service involves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Teams SMS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w:t>
      </w:r>
    </w:p>
    <w:p>
      <w:pPr>
        <w:pStyle w:val="NormalWeb"/>
        <w:spacing w:after="150"/>
      </w:pPr>
      <w:r>
        <w:t>Customer and its end users shall comply with the Teams SMS Messaging Policy. The Messaging Policy applies to SMS communications. Microsoft reserves the right to suspend or remove access to Teams SMS for Customers that do not comply with the Messaging Policy. The Messaging Policy is available at </w:t>
      </w:r>
      <w:hyperlink r:id="rId184" w:tgtFrame="_blank" w:history="1">
        <w:r>
          <w:rPr>
            <w:rStyle w:val="Hyperlink"/>
            <w:color w:val="505050"/>
          </w:rPr>
          <w:t>https://learn.microsoft.com/microsoftteams/sms-microsoft-teams-policy.</w:t>
        </w:r>
      </w:hyperlink>
      <w:r>
        <w:t> </w:t>
      </w:r>
    </w:p>
    <w:p w:rsidR="00ED5159" w:rsidP="00ED5159">
      <w:pPr>
        <w:pStyle w:val="ProductList-Offering2Heading"/>
        <w:outlineLvl w:val="2"/>
      </w:pPr>
      <w:r>
        <w:t>Exchange Online</w:t>
      </w:r>
      <w:r>
        <w:fldChar w:fldCharType="begin"/>
      </w:r>
      <w:r>
        <w:instrText xml:space="preserve"> TC </w:instrText>
      </w:r>
      <w:bookmarkStart w:id="57" w:name="_Toc256000045"/>
      <w:r>
        <w:instrText>"</w:instrText>
      </w:r>
      <w:r>
        <w:instrText>Exchange Online</w:instrText>
      </w:r>
      <w:r>
        <w:instrText>"</w:instrText>
      </w:r>
      <w:bookmarkEnd w:id="5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Online Plan 2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Online Plan 1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Online Protection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Online Archiving for Exchange Online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for Office 365 Plan 1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Online Archiving for Exchange Server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8"/>
        <w:gridCol w:w="680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F1; Microsoft Defender for Office 365 F2</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33" w:history="1">
              <w:r>
                <w:rPr>
                  <w:rFonts w:ascii="Segoe UI" w:eastAsia="Times New Roman" w:hAnsi="Segoe UI" w:cs="Segoe UI"/>
                  <w:sz w:val="16"/>
                  <w:szCs w:val="16"/>
                  <w:u w:val="single"/>
                </w:rPr>
                <w:t>Student Use Benefits and Academic Programs</w:t>
              </w:r>
            </w:hyperlink>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33"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89"/>
        <w:gridCol w:w="59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Data Loss Prevention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w:t>
      </w:r>
    </w:p>
    <w:p>
      <w:pPr>
        <w:pStyle w:val="NormalWeb"/>
        <w:spacing w:after="150"/>
      </w:pPr>
      <w:r>
        <w:t>Exchange Online or its successor service will have Core Features capabilities stated in the General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Emails</w:t>
      </w:r>
    </w:p>
    <w:p>
      <w:pPr>
        <w:pStyle w:val="NormalWeb"/>
        <w:spacing w:after="150"/>
      </w:pPr>
      <w:r>
        <w:t>An end user will be able to send email messages, receive email messages that originate from within and outside of Customer's organization, and access the end user's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Mobile and Web Browser Access</w:t>
      </w:r>
    </w:p>
    <w:p>
      <w:pPr>
        <w:pStyle w:val="NormalWeb"/>
        <w:spacing w:after="150"/>
      </w:pPr>
      <w:r>
        <w:t>Through the Microsoft Exchange ActiveSync protocol or a successor protocol or technology, Exchange Online will enable an end user to send and receive emails and update and view calendars from a mobile device that adequately supports such a protocol or technology. An end user will be able to send email messages, receive email messages that originate from within and outside of Customer's organization, and access the end user's mailbox, all from within a compatible web browser.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will be able to recover the contents of a deleted mailbox and an end user will be able to recover an item that has been deleted from one of the end user's email folders.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Calendar</w:t>
      </w:r>
    </w:p>
    <w:p>
      <w:pPr>
        <w:pStyle w:val="NormalWeb"/>
        <w:spacing w:after="150"/>
      </w:pPr>
      <w:r>
        <w:t>An end user will be able to view a calendar and schedule appointments, meetings, and automatic replies to incoming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Contacts</w:t>
      </w:r>
    </w:p>
    <w:p>
      <w:pPr>
        <w:pStyle w:val="NormalWeb"/>
        <w:spacing w:after="150"/>
      </w:pPr>
      <w:r>
        <w:t>Through an Exchange Online-provided user interface, Customer will be able to create and manage distribution groups and an organization-wide directory of mail-enabled end users, distribution groups, and external contacts.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 Archiving</w:t>
      </w:r>
    </w:p>
    <w:p>
      <w:pPr>
        <w:pStyle w:val="NormalWeb"/>
        <w:spacing w:after="150"/>
      </w:pPr>
      <w:r>
        <w:t>Exchange Online Archiving or its successor service will have Core Features capabilities stated in the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allow an end user to store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 distinct from policies that an end user can apply to the end user's own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through Office 365 support services, will be able to recover a deleted archive mailbox, and an end user will be able to recover an item that has been deleted from one of the end user's email folders in the end user's archive.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Legal Hold</w:t>
      </w:r>
    </w:p>
    <w:p>
      <w:pPr>
        <w:pStyle w:val="NormalWeb"/>
        <w:spacing w:after="150"/>
      </w:pPr>
      <w:r>
        <w:t>Customer will be able to place a "legal hold" on an end user's primary mailbox and archive mailbox to preserve the content of those mailboxes.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w:t>
      </w:r>
    </w:p>
    <w:p>
      <w:pPr>
        <w:pStyle w:val="NormalWeb"/>
        <w:spacing w:after="150"/>
      </w:pPr>
      <w:r>
        <w:t>Archiving may be used for messaging storage only with Exchange Online Plans 1 and 2 and Exchange Online Kiosk.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 for Exchange Server</w:t>
      </w:r>
    </w:p>
    <w:p>
      <w:pPr>
        <w:pStyle w:val="NormalWeb"/>
        <w:spacing w:after="150"/>
      </w:pPr>
      <w:r>
        <w:t>Users licensed for Exchange Server 2013 Standard Client Access License may access the Exchange Server 2013 Enterprise Client Access License features necessary to support use of Exchange Online Archiving for Exchange Server.</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an Exchange Online User SL may (i) use Microsoft Outlook for mobile devices for commercial purposes and (ii) sign in to Microsoft Outlook with their work or school account on up to five smartphones and five tablets. Microsoft Outlook is also subject to the Service Specific Terms applicable to M365 Mobile Applications. </w:t>
      </w:r>
    </w:p>
    <w:p>
      <w:pPr>
        <w:pStyle w:val="Heading3"/>
        <w:spacing w:before="150" w:beforeAutospacing="0"/>
        <w:rPr>
          <w:rFonts w:eastAsia="Times New Roman"/>
          <w:color w:val="0078D4"/>
          <w:sz w:val="26"/>
          <w:szCs w:val="26"/>
        </w:rPr>
      </w:pPr>
      <w:r>
        <w:rPr>
          <w:rFonts w:eastAsia="Times New Roman"/>
          <w:color w:val="0078D4"/>
          <w:sz w:val="26"/>
          <w:szCs w:val="26"/>
        </w:rPr>
        <w:t>Office 365 Data Loss Prevention Device License</w:t>
      </w:r>
    </w:p>
    <w:p>
      <w:pPr>
        <w:pStyle w:val="NormalWeb"/>
        <w:spacing w:after="150"/>
      </w:pPr>
      <w:r>
        <w:t>If Customer is licensed for Office 365 Data Loss Prevention by Device, all users of the Licensed Device are licensed for the Online Service.</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Exchange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3"/>
        <w:gridCol w:w="553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Exchange Standard CAL</w:t>
            </w:r>
          </w:p>
          <w:p>
            <w:pPr>
              <w:pStyle w:val="NormalWeb"/>
              <w:spacing w:before="150"/>
            </w:pPr>
            <w: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 (User SL)</w:t>
            </w:r>
          </w:p>
        </w:tc>
      </w:tr>
    </w:tbl>
    <w:p>
      <w:pPr>
        <w:rPr>
          <w:rFonts w:eastAsia="Times New Roman"/>
          <w:color w:val="0078D4"/>
          <w:sz w:val="26"/>
          <w:szCs w:val="26"/>
        </w:rPr>
      </w:pPr>
    </w:p>
    <w:p w:rsidR="00ED5159" w:rsidP="00ED5159">
      <w:pPr>
        <w:pStyle w:val="ProductList-Offering2Heading"/>
        <w:outlineLvl w:val="2"/>
      </w:pPr>
      <w:r>
        <w:t>Microsoft 365 Applications</w:t>
      </w:r>
      <w:r>
        <w:fldChar w:fldCharType="begin"/>
      </w:r>
      <w:r>
        <w:instrText xml:space="preserve"> TC </w:instrText>
      </w:r>
      <w:bookmarkStart w:id="58" w:name="_Toc256000046"/>
      <w:r>
        <w:instrText>"</w:instrText>
      </w:r>
      <w:r>
        <w:instrText>Microsoft 365 Applications</w:instrText>
      </w:r>
      <w:r>
        <w:instrText>"</w:instrText>
      </w:r>
      <w:bookmarkEnd w:id="5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365 Apps for enterprise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Apps for business (User SL)</w:t>
            </w:r>
          </w:p>
        </w:tc>
        <w:tc>
          <w:tcPr/>
          <w:p w:rsidR="00A363CA" w:rsidP="00A363CA">
            <w:pPr>
              <w:pStyle w:val="ProductList-TableBody"/>
            </w:pPr>
            <w:r>
              <w:t>Additional Product</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 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33" w:history="1">
              <w:r>
                <w:rPr>
                  <w:rFonts w:ascii="Segoe UI" w:eastAsia="Times New Roman" w:hAnsi="Segoe UI" w:cs="Segoe UI"/>
                  <w:sz w:val="16"/>
                  <w:szCs w:val="16"/>
                  <w:u w:val="single"/>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Office View/Print for Office for the Web Users</w:t>
      </w:r>
    </w:p>
    <w:p>
      <w:pPr>
        <w:pStyle w:val="NormalWeb"/>
        <w:spacing w:after="150"/>
      </w:pPr>
      <w:r>
        <w:t>Users licensed with an Office 365 or Microsoft 365 license may use Microsoft 365 Apps for enterprise in Reduced Functionality Mode to view and print files.</w:t>
      </w:r>
    </w:p>
    <w:p>
      <w:pPr>
        <w:pStyle w:val="Heading3"/>
        <w:spacing w:before="150" w:beforeAutospacing="0"/>
        <w:rPr>
          <w:rFonts w:eastAsia="Times New Roman"/>
          <w:color w:val="0078D4"/>
          <w:sz w:val="26"/>
          <w:szCs w:val="26"/>
        </w:rPr>
      </w:pPr>
      <w:r>
        <w:rPr>
          <w:rFonts w:eastAsia="Times New Roman"/>
          <w:color w:val="0078D4"/>
          <w:sz w:val="26"/>
          <w:szCs w:val="26"/>
        </w:rPr>
        <w:t>Microsoft 365 Apps for business</w:t>
      </w:r>
    </w:p>
    <w:p>
      <w:pPr>
        <w:pStyle w:val="NormalWeb"/>
        <w:spacing w:after="150"/>
      </w:pPr>
      <w:r>
        <w:t>Customer may not provision more than 300 user subscription licenses.</w:t>
      </w:r>
    </w:p>
    <w:p>
      <w:pPr>
        <w:pStyle w:val="Heading3"/>
        <w:spacing w:before="150" w:beforeAutospacing="0"/>
        <w:rPr>
          <w:rFonts w:eastAsia="Times New Roman"/>
          <w:color w:val="0078D4"/>
          <w:sz w:val="26"/>
          <w:szCs w:val="26"/>
        </w:rPr>
      </w:pPr>
      <w:r>
        <w:rPr>
          <w:rFonts w:eastAsia="Times New Roman"/>
          <w:color w:val="0078D4"/>
          <w:sz w:val="26"/>
          <w:szCs w:val="26"/>
        </w:rPr>
        <w:t>Academic Programs</w:t>
      </w:r>
    </w:p>
    <w:p>
      <w:pPr>
        <w:pStyle w:val="NormalWeb"/>
        <w:spacing w:after="150"/>
      </w:pPr>
      <w:r>
        <w:t xml:space="preserve">The following applies to customers in the </w:t>
      </w:r>
      <w:hyperlink w:anchor="_Toc20" w:tooltip="Open Value Subscription - Education Solutions" w:history="1">
        <w:r>
          <w:rPr>
            <w:rStyle w:val="Hyperlink"/>
            <w:color w:val="505050"/>
          </w:rPr>
          <w:t>OVS-ES</w:t>
        </w:r>
      </w:hyperlink>
      <w:r>
        <w:t xml:space="preserve"> and/or </w:t>
      </w:r>
      <w:hyperlink w:anchor="_Toc20" w:tooltip="Enrollment for Education Solutions" w:history="1">
        <w:r>
          <w:rPr>
            <w:rStyle w:val="Hyperlink"/>
            <w:color w:val="505050"/>
          </w:rPr>
          <w:t>EES</w:t>
        </w:r>
      </w:hyperlink>
      <w:r>
        <w:t xml:space="preserve"> Licensing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Apps for enterprise Device SL in EES</w:t>
      </w:r>
    </w:p>
    <w:p>
      <w:pPr>
        <w:pStyle w:val="NormalWeb"/>
        <w:spacing w:after="150"/>
      </w:pPr>
      <w:r>
        <w:t xml:space="preserve">Institutions with Microsoft 365 Apps for enterprise User SLs assigned to all faculty and staff, </w:t>
      </w:r>
      <w:hyperlink w:anchor="_Toc20"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0"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in </w:t>
      </w:r>
      <w:hyperlink w:anchor="_Toc20" w:tooltip="Enrollment for Education Solutions" w:history="1">
        <w:r>
          <w:rPr>
            <w:rStyle w:val="Hyperlink"/>
            <w:color w:val="505050"/>
          </w:rPr>
          <w:t>EES</w:t>
        </w:r>
      </w:hyperlink>
      <w:r>
        <w:t xml:space="preserve"> may acquire Microsoft 365 Apps for enterprise Device SLs up to the number of Microsoft 365 Apps for enterprise User SLs licensed by the Institution for use on any device within the Institution’s Organization, including any open access lab or library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Lab and Library Use in OVS-ES</w:t>
      </w:r>
    </w:p>
    <w:p>
      <w:pPr>
        <w:pStyle w:val="NormalWeb"/>
        <w:spacing w:after="150"/>
      </w:pPr>
      <w:r>
        <w:t xml:space="preserve">Institutions with Microsoft 365 Apps for enterprise User SLs assigned to all faculty and staff, </w:t>
      </w:r>
      <w:hyperlink w:anchor="_Toc20"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0"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in </w:t>
      </w:r>
      <w:hyperlink w:anchor="_Toc20" w:tooltip="Open Value Subscription - Education Solutions" w:history="1">
        <w:r>
          <w:rPr>
            <w:rStyle w:val="Hyperlink"/>
            <w:color w:val="505050"/>
          </w:rPr>
          <w:t>OVS-ES</w:t>
        </w:r>
      </w:hyperlink>
      <w:r>
        <w:t xml:space="preserve"> may install Office Professional Plus software on any open access lab or library within the Institution’s Organization. Use of the software is otherwise subject to the License terms for Office Professional Plus.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The following terms apply only to Microsoft 365 Apps for enterprise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Online Server</w:t>
      </w:r>
    </w:p>
    <w:p>
      <w:pPr>
        <w:pStyle w:val="NormalWeb"/>
        <w:spacing w:after="150"/>
      </w:pPr>
      <w:r>
        <w:t>For each Microsoft 365 Apps for enterprise subscription, Customer may install any number of copies of Office Online Server on any Server. Any server that is under the management or control of an entity other than Customer or one of its Affiliates is subject to the Outsourcing Software Management terms. Each Microsoft 365 Apps for enterprise user may use the Office Online Server software. This provision does not apply to Customers that license this Product under the Microsoft Online Subscription Agreement, Microsoft Cloud Agreement, or other Microsoft agreement that cover Online Services only.</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10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0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10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10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0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0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Heading3"/>
        <w:spacing w:before="150" w:beforeAutospacing="0"/>
        <w:rPr>
          <w:rFonts w:eastAsia="Times New Roman"/>
          <w:color w:val="0078D4"/>
          <w:sz w:val="26"/>
          <w:szCs w:val="26"/>
        </w:rPr>
      </w:pPr>
      <w:r>
        <w:rPr>
          <w:rFonts w:eastAsia="Times New Roman"/>
          <w:color w:val="0078D4"/>
          <w:sz w:val="26"/>
          <w:szCs w:val="26"/>
        </w:rPr>
        <w:t>Device-Based Subscription License</w:t>
      </w:r>
    </w:p>
    <w:p>
      <w:pPr>
        <w:pStyle w:val="NormalWeb"/>
        <w:spacing w:after="150"/>
      </w:pPr>
      <w:r>
        <w:t xml:space="preserve">Each Device </w:t>
      </w:r>
      <w:hyperlink w:anchor="_Toc20" w:tooltip="SL means subscription License that allows access to software or a hosted service for a defined period of time." w:history="1">
        <w:r>
          <w:rPr>
            <w:rStyle w:val="Hyperlink"/>
            <w:color w:val="505050"/>
          </w:rPr>
          <w:t>SL</w:t>
        </w:r>
      </w:hyperlink>
      <w:r>
        <w:t xml:space="preserve"> permits use of the software provided with the subscription. Users of a Licensed Device:</w:t>
      </w:r>
    </w:p>
    <w:p>
      <w:pPr>
        <w:numPr>
          <w:ilvl w:val="0"/>
          <w:numId w:val="10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activate and use the software provided on one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or</w:t>
      </w:r>
    </w:p>
    <w:p>
      <w:pPr>
        <w:numPr>
          <w:ilvl w:val="0"/>
          <w:numId w:val="10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install and use the software remotely from the </w:t>
      </w:r>
      <w:hyperlink w:anchor="_Toc20"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on one </w:t>
      </w:r>
      <w:hyperlink w:anchor="_Toc20"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0" w:tooltip="Network Server means a physical hardware server that provides resource assistant to computers in a network." w:history="1">
        <w:r>
          <w:rPr>
            <w:rStyle w:val="Hyperlink"/>
            <w:rFonts w:ascii="Segoe UI" w:eastAsia="Times New Roman" w:hAnsi="Segoe UI" w:cs="Segoe UI"/>
            <w:color w:val="505050"/>
            <w:sz w:val="18"/>
            <w:szCs w:val="18"/>
          </w:rPr>
          <w:t>Network Server</w:t>
        </w:r>
      </w:hyperlink>
      <w:r>
        <w:rPr>
          <w:rFonts w:ascii="Segoe UI" w:eastAsia="Times New Roman" w:hAnsi="Segoe UI" w:cs="Segoe UI"/>
          <w:color w:val="505050"/>
          <w:sz w:val="18"/>
          <w:szCs w:val="18"/>
        </w:rPr>
        <w:t>, or on Microsoft Azure.</w:t>
      </w:r>
    </w:p>
    <w:p>
      <w:pPr>
        <w:pStyle w:val="NormalWeb"/>
        <w:spacing w:before="150"/>
      </w:pPr>
      <w:r>
        <w:t xml:space="preserve">Customer must connect each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which the software is installed to the Internet at least once every 90 days, or the functionality of the software may be affected.</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 Microsoft 365 Apps for business or Microsoft 365 Apps for enterprise User SL may (i) use Microsoft Office for mobile devices for commercial purposes and (ii) sign in to Microsoft Office with their work or school account on up to five smartphones and five tablets.</w:t>
      </w:r>
    </w:p>
    <w:p>
      <w:pPr>
        <w:pStyle w:val="NormalWeb"/>
        <w:spacing w:before="150"/>
      </w:pPr>
      <w:r>
        <w:t>When versions of Microsoft Word, Excel, PowerPoint, Outlook, OneDrive, and Teams applications for mobile devices (“M365 Mobile Applications”) are used with a work or school account to access Online Services governed by these terms, the terms that govern the relevant Online Service apply to that use of the M365 Mobile Applications. Microsoft’s commitments related to M365 Mobile Applications do not extend to data processing, policies, or practices of third-party providers of mobile platforms on which the mobile applications operate (e.g., Apple, Google).</w:t>
      </w:r>
    </w:p>
    <w:p w:rsidR="00ED5159" w:rsidP="00ED5159">
      <w:pPr>
        <w:pStyle w:val="ProductList-Offering2Heading"/>
        <w:outlineLvl w:val="2"/>
      </w:pPr>
      <w:r>
        <w:t>Microsoft Teams</w:t>
      </w:r>
      <w:r>
        <w:fldChar w:fldCharType="begin"/>
      </w:r>
      <w:r>
        <w:instrText xml:space="preserve"> TC </w:instrText>
      </w:r>
      <w:bookmarkStart w:id="59" w:name="_Toc256000047"/>
      <w:r>
        <w:instrText>"</w:instrText>
      </w:r>
      <w:r>
        <w:instrText>Microsoft Teams</w:instrText>
      </w:r>
      <w:r>
        <w:instrText>"</w:instrText>
      </w:r>
      <w:bookmarkEnd w:id="59"/>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Notice applies to all Office 365 Services that include Microsoft Teams (refer to </w:t>
      </w:r>
      <w:hyperlink r:id="rId107"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 Entitlements and Meeting Join License Requirements</w:t>
      </w:r>
    </w:p>
    <w:p>
      <w:pPr>
        <w:pStyle w:val="NormalWeb"/>
        <w:spacing w:after="150"/>
      </w:pPr>
      <w:r>
        <w:t xml:space="preserve">User SLs are not required for any user to join meetings, webinars, and live events hosted by licensed users. User SLs are also not required for </w:t>
      </w:r>
      <w:hyperlink w:anchor="_Toc20" w:tooltip="see Glossary for full definition." w:history="1">
        <w:r>
          <w:rPr>
            <w:rStyle w:val="Hyperlink"/>
            <w:color w:val="505050"/>
          </w:rPr>
          <w:t>External Users</w:t>
        </w:r>
      </w:hyperlink>
      <w:r>
        <w:t xml:space="preserve"> to participate in Teams channels as a Guest with a Microsoft Entra External ID.</w:t>
      </w:r>
    </w:p>
    <w:p>
      <w:pPr>
        <w:pStyle w:val="Heading3"/>
        <w:spacing w:before="150" w:beforeAutospacing="0"/>
        <w:rPr>
          <w:rFonts w:eastAsia="Times New Roman"/>
          <w:color w:val="0078D4"/>
          <w:sz w:val="26"/>
          <w:szCs w:val="26"/>
        </w:rPr>
      </w:pPr>
      <w:r>
        <w:rPr>
          <w:rFonts w:eastAsia="Times New Roman"/>
          <w:color w:val="0078D4"/>
          <w:sz w:val="26"/>
          <w:szCs w:val="26"/>
        </w:rPr>
        <w:t>Health Sector Customers</w:t>
      </w:r>
    </w:p>
    <w:p>
      <w:pPr>
        <w:pStyle w:val="NormalWeb"/>
        <w:spacing w:after="150"/>
      </w:pPr>
      <w:r>
        <w:t>Customer is solely responsible for: (1) the accuracy and adequacy of information and Data furnished through use of Microsoft Teams; (2) implementing a secure application-to-application authentication method between any Customer application and/or service and Microsoft Teams; (3) obtaining appropriate consent from end users in connection with end user's and Customer's use of Microsoft Teams; and (4) displaying appropriate warnings, disclaimers, and acknowledgements to end users in connection with end user's and Customers use of Microsoft Teams.</w:t>
      </w:r>
    </w:p>
    <w:p>
      <w:pPr>
        <w:pStyle w:val="NormalWeb"/>
        <w:spacing w:before="150"/>
      </w:pPr>
      <w:r>
        <w:t>Any information provided by Customer or its patients in Microsoft Teams (including meeting recordings if enabled by Customer, or any Microsoft Teams apps enabling virtual appointment services) that's necessary for medical records continuity or retention purposes should be downloaded, copied, and/or notated directly in such records by Customer. This service does not maintain legal medical record or a designated record set.</w:t>
      </w:r>
    </w:p>
    <w:p>
      <w:pPr>
        <w:pStyle w:val="Heading3"/>
        <w:spacing w:before="150" w:beforeAutospacing="0"/>
        <w:rPr>
          <w:rFonts w:eastAsia="Times New Roman"/>
          <w:color w:val="0078D4"/>
          <w:sz w:val="26"/>
          <w:szCs w:val="26"/>
        </w:rPr>
      </w:pPr>
      <w:r>
        <w:rPr>
          <w:rFonts w:eastAsia="Times New Roman"/>
          <w:color w:val="0078D4"/>
          <w:sz w:val="26"/>
          <w:szCs w:val="26"/>
        </w:rPr>
        <w:t>Trials</w:t>
      </w:r>
    </w:p>
    <w:p>
      <w:pPr>
        <w:pStyle w:val="NormalWeb"/>
        <w:spacing w:after="150"/>
      </w:pPr>
      <w:r>
        <w:t>Microsoft Teams Exploratory Experience may only be initiated by individual end users. Customer may not initiate a Microsoft Teams Exploratory Experience on behalf of end user employees. This offer is not valid for users that have formerly used Teams from a paid, unpaid or trial license.</w:t>
      </w:r>
    </w:p>
    <w:p w:rsidR="00ED5159" w:rsidP="00ED5159">
      <w:pPr>
        <w:pStyle w:val="ProductList-Offering2Heading"/>
        <w:outlineLvl w:val="2"/>
      </w:pPr>
      <w:r>
        <w:t>Office 365 Suites</w:t>
      </w:r>
      <w:r>
        <w:fldChar w:fldCharType="begin"/>
      </w:r>
      <w:r>
        <w:instrText xml:space="preserve"> TC </w:instrText>
      </w:r>
      <w:bookmarkStart w:id="60" w:name="_Toc256000048"/>
      <w:r>
        <w:instrText>"</w:instrText>
      </w:r>
      <w:r>
        <w:instrText>Office 365 Suites</w:instrText>
      </w:r>
      <w:r>
        <w:instrText>"</w:instrText>
      </w:r>
      <w:bookmarkEnd w:id="6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Office 365 A1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Office 365 A3 (User SL)</w:t>
            </w:r>
          </w:p>
        </w:tc>
        <w:tc>
          <w:tcPr/>
          <w:p w:rsidR="00A363CA" w:rsidP="00A363CA">
            <w:pPr>
              <w:pStyle w:val="ProductList-TableBody"/>
            </w:pPr>
            <w:r>
              <w:t>Additional Product,Enterprise Online Service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11"/>
        <w:gridCol w:w="75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Application and Server (E1 and F3, Server only. Office 365 Multi-Geo Application only),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F3</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6" w:tgtFrame="_blank" w:history="1">
              <w:r>
                <w:rPr>
                  <w:rFonts w:ascii="Segoe UI" w:eastAsia="Times New Roman" w:hAnsi="Segoe UI" w:cs="Segoe UI"/>
                  <w:sz w:val="16"/>
                  <w:szCs w:val="16"/>
                  <w:u w:val="single"/>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Office 365 A1, E1, F3, and Business Basic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3"/>
        <w:spacing w:before="150" w:beforeAutospacing="0"/>
        <w:rPr>
          <w:rFonts w:eastAsia="Times New Roman"/>
          <w:color w:val="0078D4"/>
          <w:sz w:val="26"/>
          <w:szCs w:val="26"/>
        </w:rPr>
      </w:pPr>
      <w:r>
        <w:rPr>
          <w:rFonts w:eastAsia="Times New Roman"/>
          <w:color w:val="0078D4"/>
          <w:sz w:val="26"/>
          <w:szCs w:val="26"/>
        </w:rPr>
        <w:t>Project for the web data  </w:t>
      </w:r>
    </w:p>
    <w:p>
      <w:pPr>
        <w:pStyle w:val="NormalWeb"/>
        <w:spacing w:after="150"/>
      </w:pPr>
      <w:r>
        <w:t>Users licensed with an Office 365 license are granted view rights access to Project for the web Customer Data only on Tenants that have a Microsoft Planner and Project Plan 1/3/5 license(s).</w:t>
      </w:r>
    </w:p>
    <w:p>
      <w:pPr>
        <w:numPr>
          <w:ilvl w:val="0"/>
          <w:numId w:val="10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These rights do not grant access to Power Platform applications or other data sets.</w:t>
      </w:r>
    </w:p>
    <w:p>
      <w:pPr>
        <w:pStyle w:val="Heading3"/>
        <w:spacing w:before="150" w:beforeAutospacing="0"/>
        <w:rPr>
          <w:rFonts w:eastAsia="Times New Roman"/>
          <w:color w:val="0078D4"/>
          <w:sz w:val="26"/>
          <w:szCs w:val="26"/>
        </w:rPr>
      </w:pPr>
      <w:r>
        <w:rPr>
          <w:rFonts w:eastAsia="Times New Roman"/>
          <w:color w:val="0078D4"/>
          <w:sz w:val="26"/>
          <w:szCs w:val="26"/>
        </w:rPr>
        <w:t>Office 365 EEA (no Teams) and Microsoft Teams EEA</w:t>
      </w:r>
    </w:p>
    <w:p>
      <w:pPr>
        <w:pStyle w:val="NormalWeb"/>
        <w:spacing w:after="150"/>
      </w:pPr>
      <w:r>
        <w:t>Customers in European Economic Area (EEA) countries and Switzerland may acquire and use Office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Office 365 (no Teams) and Microsoft Teams Enterprise</w:t>
      </w:r>
    </w:p>
    <w:p>
      <w:pPr>
        <w:pStyle w:val="NormalWeb"/>
        <w:spacing w:after="150"/>
      </w:pPr>
      <w:r>
        <w:t>Customers not in European Economic Area (EEA) countries and Switzerland may acquire and use Office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9"/>
        <w:gridCol w:w="68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Multi-Geo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Academic Programs</w:t>
      </w:r>
    </w:p>
    <w:p>
      <w:pPr>
        <w:pStyle w:val="NormalWeb"/>
        <w:spacing w:after="150"/>
      </w:pPr>
      <w:r>
        <w:t xml:space="preserve">The following applies to customers in the </w:t>
      </w:r>
      <w:hyperlink w:anchor="_Toc20" w:tooltip="Open Value Subscription - Education Solutions" w:history="1">
        <w:r>
          <w:rPr>
            <w:rStyle w:val="Hyperlink"/>
            <w:color w:val="505050"/>
          </w:rPr>
          <w:t>OVS-ES</w:t>
        </w:r>
      </w:hyperlink>
      <w:r>
        <w:t xml:space="preserve"> and/or </w:t>
      </w:r>
      <w:hyperlink w:anchor="_Toc20" w:tooltip="Enrollment for Education Solutions" w:history="1">
        <w:r>
          <w:rPr>
            <w:rStyle w:val="Hyperlink"/>
            <w:color w:val="505050"/>
          </w:rPr>
          <w:t>EES</w:t>
        </w:r>
      </w:hyperlink>
      <w:r>
        <w:t xml:space="preserve"> Licensing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Use Rights for Office Professional Plus</w:t>
      </w:r>
    </w:p>
    <w:p>
      <w:pPr>
        <w:pStyle w:val="NormalWeb"/>
        <w:spacing w:after="150"/>
      </w:pPr>
      <w:r>
        <w:t xml:space="preserve">Each </w:t>
      </w:r>
      <w:hyperlink w:anchor="_Toc20" w:tooltip="Licensed User means the single person to whom a License is assigned." w:history="1">
        <w:r>
          <w:rPr>
            <w:rStyle w:val="Hyperlink"/>
            <w:color w:val="505050"/>
          </w:rPr>
          <w:t>Licensed User</w:t>
        </w:r>
      </w:hyperlink>
      <w:r>
        <w:t xml:space="preserve"> assigned an Office 365 A3/A5 User SL may install one local copy of Office Professional Plus for the sole use of the </w:t>
      </w:r>
      <w:hyperlink w:anchor="_Toc20" w:tooltip="Licensed User means the single person to whom a License is assigned." w:history="1">
        <w:r>
          <w:rPr>
            <w:rStyle w:val="Hyperlink"/>
            <w:color w:val="505050"/>
          </w:rPr>
          <w:t>Licensed User</w:t>
        </w:r>
      </w:hyperlink>
      <w:r>
        <w:t xml:space="preserve"> for the duration of the subscription. This provision does not apply to User SLs acquired through the </w:t>
      </w: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Apps for Enterprise for Shared Device Use in EES</w:t>
      </w:r>
    </w:p>
    <w:p>
      <w:pPr>
        <w:pStyle w:val="NormalWeb"/>
        <w:spacing w:after="150"/>
      </w:pPr>
      <w:r>
        <w:t xml:space="preserve">Institutions with Office 365 A3/A5 User SLs assigned to all faculty and staff, </w:t>
      </w:r>
      <w:hyperlink w:anchor="_Toc20"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0"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in </w:t>
      </w:r>
      <w:hyperlink w:anchor="_Toc20" w:tooltip="Enrollment for Education Solutions" w:history="1">
        <w:r>
          <w:rPr>
            <w:rStyle w:val="Hyperlink"/>
            <w:color w:val="505050"/>
          </w:rPr>
          <w:t>EES</w:t>
        </w:r>
      </w:hyperlink>
      <w:r>
        <w:t xml:space="preserve"> may acquire Microsoft 365 Apps for enterprise Device SLs up to the number of Office 365 A3/A5 User SLs licensed by the Institution for use on any device within the Institution’s Organization, including any open access lab or library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Professional Plus for Lab and Library Use</w:t>
      </w:r>
    </w:p>
    <w:p>
      <w:pPr>
        <w:pStyle w:val="NormalWeb"/>
        <w:spacing w:after="150"/>
      </w:pPr>
      <w:r>
        <w:t xml:space="preserve">Institutions with Office 365 A3/A5 User SLs assigned to all faculty and staff, </w:t>
      </w:r>
      <w:hyperlink w:anchor="_Toc20"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0"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may install Office Professional Plus software on any open access lab or library within the Institution’s Organization. Use of the software is otherwise subject to the License terms for </w:t>
      </w:r>
      <w:hyperlink r:id="rId119" w:history="1">
        <w:r>
          <w:rPr>
            <w:rStyle w:val="Hyperlink"/>
            <w:color w:val="505050"/>
          </w:rPr>
          <w:t>Office Professional Plus</w:t>
        </w:r>
      </w:hyperlink>
      <w:r>
        <w:t>.</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This section does not apply to EEA and no Teams Licenses.</w:t>
      </w:r>
    </w:p>
    <w:p>
      <w:pPr>
        <w:pStyle w:val="Heading3"/>
        <w:spacing w:before="150" w:beforeAutospacing="0"/>
        <w:rPr>
          <w:rFonts w:eastAsia="Times New Roman"/>
          <w:color w:val="0078D4"/>
          <w:sz w:val="26"/>
          <w:szCs w:val="26"/>
        </w:rPr>
      </w:pPr>
      <w:r>
        <w:rPr>
          <w:rFonts w:eastAsia="Times New Roman"/>
          <w:color w:val="0078D4"/>
          <w:sz w:val="26"/>
          <w:szCs w:val="26"/>
        </w:rPr>
        <w:t>Office 365 Suites</w:t>
      </w:r>
    </w:p>
    <w:p>
      <w:pPr>
        <w:pStyle w:val="NormalWeb"/>
        <w:spacing w:after="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SLs provide Licensed Users server software access rights equivalent to the Qualifying License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33"/>
        <w:gridCol w:w="479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w:t>
            </w:r>
          </w:p>
          <w:p>
            <w:pPr>
              <w:pStyle w:val="NormalWeb"/>
              <w:spacing w:before="150"/>
            </w:pPr>
            <w:r>
              <w:t>Core CAL Suite Bridge for Enterprise Mobility + Security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Enterprise CAL Suite, or </w:t>
            </w:r>
          </w:p>
          <w:p>
            <w:pPr>
              <w:pStyle w:val="NormalWeb"/>
              <w:spacing w:before="150"/>
            </w:pPr>
            <w:r>
              <w:t>Core CAL Suite Bridge for Enterprise Mobility + Security, or </w:t>
            </w:r>
          </w:p>
          <w:p>
            <w:pPr>
              <w:pStyle w:val="NormalWeb"/>
              <w:spacing w:before="150"/>
            </w:pPr>
            <w: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without Apps for enterprise Add-ons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 </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and Office Professional Plus, or </w:t>
            </w:r>
          </w:p>
          <w:p>
            <w:pPr>
              <w:pStyle w:val="NormalWeb"/>
              <w:spacing w:before="150"/>
            </w:pPr>
            <w:r>
              <w:t>Core CAL Suite Bridge for Enterprise Mobility + Security and Office Professional Plus, or </w:t>
            </w:r>
          </w:p>
          <w:p>
            <w:pPr>
              <w:pStyle w:val="NormalWeb"/>
              <w:spacing w:before="150"/>
            </w:pPr>
            <w:r>
              <w:t>Enterprise CAL Suite and Office Professional Plus, or  </w:t>
            </w:r>
          </w:p>
          <w:p>
            <w:pPr>
              <w:pStyle w:val="NormalWeb"/>
              <w:spacing w:before="150"/>
            </w:pPr>
            <w:r>
              <w:t>Enterprise CAL Suite Bridge for Enterprise Mobility+ Security and 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A3/E3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E5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Add-on (Available under Open Value Organization Wide and Open Value Subscription Only)</w:t>
            </w:r>
          </w:p>
        </w:tc>
      </w:tr>
    </w:tbl>
    <w:p/>
    <w:p w:rsidR="00ED5159" w:rsidP="00ED5159">
      <w:pPr>
        <w:pStyle w:val="ProductList-Offering2Heading"/>
        <w:outlineLvl w:val="2"/>
      </w:pPr>
      <w:r>
        <w:t>Office for the web</w:t>
      </w:r>
      <w:r>
        <w:fldChar w:fldCharType="begin"/>
      </w:r>
      <w:r>
        <w:instrText xml:space="preserve"> TC </w:instrText>
      </w:r>
      <w:bookmarkStart w:id="61" w:name="_Toc256000049"/>
      <w:r>
        <w:instrText>"</w:instrText>
      </w:r>
      <w:r>
        <w:instrText>Office for the web</w:instrText>
      </w:r>
      <w:r>
        <w:instrText>"</w:instrText>
      </w:r>
      <w:bookmarkEnd w:id="61"/>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Office for the web or its successor service will have the following Core Features capabilities stated in the General Terms:</w:t>
      </w:r>
    </w:p>
    <w:p>
      <w:pPr>
        <w:pStyle w:val="NormalWeb"/>
        <w:spacing w:before="150"/>
      </w:pPr>
      <w:r>
        <w:t>An end user will be able to create, view, and edit documents in Microsoft Word, Excel, PowerPoint, and OneNote file types that are supported by Office for the web or its successor service.</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Office for the web.</w:t>
      </w:r>
    </w:p>
    <w:p w:rsidR="00ED5159" w:rsidP="00ED5159">
      <w:pPr>
        <w:pStyle w:val="ProductList-Offering2Heading"/>
        <w:outlineLvl w:val="2"/>
      </w:pPr>
      <w:r>
        <w:t>Project</w:t>
      </w:r>
      <w:r>
        <w:fldChar w:fldCharType="begin"/>
      </w:r>
      <w:r>
        <w:instrText xml:space="preserve"> TC </w:instrText>
      </w:r>
      <w:bookmarkStart w:id="62" w:name="_Toc256000050"/>
      <w:r>
        <w:instrText>"</w:instrText>
      </w:r>
      <w:r>
        <w:instrText>Project</w:instrText>
      </w:r>
      <w:r>
        <w:instrText>"</w:instrText>
      </w:r>
      <w:bookmarkEnd w:id="6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Planner and Project Plan 3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Planner and Project Plan 5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Project Essentials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069"/>
        <w:gridCol w:w="22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Project</w:t>
      </w:r>
    </w:p>
    <w:p>
      <w:pPr>
        <w:pStyle w:val="NormalWeb"/>
        <w:spacing w:after="150"/>
      </w:pPr>
      <w:r>
        <w:t>Planner and Project Plan 3/5 licensed users may install and use a copy of Project Standard/Professional 2016 or a prior version on devices licensed for and running Office Standard/Professional Plus. Devices licensed for Office Professional Plus by way of the Microsoft 365 From SA Office Professional Plus user entitlement are also eligible.</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 for Project application</w:t>
      </w:r>
    </w:p>
    <w:p>
      <w:pPr>
        <w:pStyle w:val="NormalWeb"/>
        <w:spacing w:after="150"/>
      </w:pPr>
      <w:r>
        <w:t>Each user to whom Customer assigns a Planner and Project Plan 3 or Plan 5 User SL must have a Microsoft Account in order to use the software provided with the subscription. These users:</w:t>
      </w:r>
    </w:p>
    <w:p>
      <w:pPr>
        <w:numPr>
          <w:ilvl w:val="0"/>
          <w:numId w:val="10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0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w:t>
      </w:r>
    </w:p>
    <w:p>
      <w:pPr>
        <w:numPr>
          <w:ilvl w:val="0"/>
          <w:numId w:val="10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w:t>
      </w:r>
    </w:p>
    <w:p>
      <w:pPr>
        <w:numPr>
          <w:ilvl w:val="0"/>
          <w:numId w:val="10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0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0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40"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Use of SharePoint Online</w:t>
      </w:r>
    </w:p>
    <w:p>
      <w:pPr>
        <w:pStyle w:val="NormalWeb"/>
        <w:spacing w:after="150"/>
      </w:pPr>
      <w:r>
        <w:t>Rights to the SharePoint Online functionality provided with a Planner and Project Plan 3 or Plan 5 SL are limited to storing and accessing data in support of Project.</w:t>
      </w:r>
    </w:p>
    <w:p>
      <w:pPr>
        <w:pStyle w:val="Heading3"/>
        <w:spacing w:before="150" w:beforeAutospacing="0"/>
        <w:rPr>
          <w:rFonts w:eastAsia="Times New Roman"/>
          <w:color w:val="0078D4"/>
          <w:sz w:val="26"/>
          <w:szCs w:val="26"/>
        </w:rPr>
      </w:pPr>
      <w:r>
        <w:rPr>
          <w:rFonts w:eastAsia="Times New Roman"/>
          <w:color w:val="0078D4"/>
          <w:sz w:val="26"/>
          <w:szCs w:val="26"/>
        </w:rPr>
        <w:t>Universal Resource Scheduling</w:t>
      </w:r>
    </w:p>
    <w:p>
      <w:pPr>
        <w:pStyle w:val="NormalWeb"/>
        <w:spacing w:after="150"/>
      </w:pPr>
      <w:r>
        <w:t>Customers with a Microsoft Planner Plan 1 or a Microsoft Planner and Project Plan 3/5 license(s) are only permitted to use Universal Resource Scheduling to schedule Project and Task tables within the context of a project.</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Project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2"/>
        <w:gridCol w:w="553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bl>
    <w:p>
      <w:pPr>
        <w:rPr>
          <w:rFonts w:eastAsia="Times New Roman"/>
          <w:color w:val="0078D4"/>
          <w:sz w:val="26"/>
          <w:szCs w:val="26"/>
        </w:rPr>
      </w:pPr>
    </w:p>
    <w:p w:rsidR="00ED5159" w:rsidP="00ED5159">
      <w:pPr>
        <w:pStyle w:val="ProductList-Offering2Heading"/>
        <w:outlineLvl w:val="2"/>
      </w:pPr>
      <w:r>
        <w:t>SharePoint Online</w:t>
      </w:r>
      <w:r>
        <w:fldChar w:fldCharType="begin"/>
      </w:r>
      <w:r>
        <w:instrText xml:space="preserve"> TC </w:instrText>
      </w:r>
      <w:bookmarkStart w:id="63" w:name="_Toc256000051"/>
      <w:r>
        <w:instrText>"</w:instrText>
      </w:r>
      <w:r>
        <w:instrText>SharePoint Online</w:instrText>
      </w:r>
      <w:r>
        <w:instrText>"</w:instrText>
      </w:r>
      <w:bookmarkEnd w:id="6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SharePoint Embedded</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Extra File Storage 1 GB (Add-on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SharePoint Syntex</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SharePoint Online or its successor service will have Core Features capabilities stated in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Collaboration Sites</w:t>
      </w:r>
    </w:p>
    <w:p>
      <w:pPr>
        <w:pStyle w:val="NormalWeb"/>
        <w:spacing w:after="150"/>
      </w:pPr>
      <w:r>
        <w:t>An end user will be able to create a web browser-accessible site through which the end user can upload and share content and manage who has permission to access that site.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set storage capacity limits for a site created by an end user.</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SharePoint Online K1, Plan 1 and Plan 2.</w:t>
      </w:r>
    </w:p>
    <w:p>
      <w:pPr>
        <w:pStyle w:val="Heading3"/>
        <w:spacing w:before="150" w:beforeAutospacing="0"/>
        <w:rPr>
          <w:rFonts w:eastAsia="Times New Roman"/>
          <w:color w:val="0078D4"/>
          <w:sz w:val="26"/>
          <w:szCs w:val="26"/>
        </w:rPr>
      </w:pPr>
      <w:r>
        <w:rPr>
          <w:rFonts w:eastAsia="Times New Roman"/>
          <w:color w:val="0078D4"/>
          <w:sz w:val="26"/>
          <w:szCs w:val="26"/>
        </w:rPr>
        <w:t>Storage Add-on SLs</w:t>
      </w:r>
    </w:p>
    <w:p>
      <w:pPr>
        <w:pStyle w:val="NormalWeb"/>
        <w:spacing w:after="150"/>
      </w:pPr>
      <w:r>
        <w:t>Office 365 Extra File Storage is required for each gigabyte of storage in excess of the storage provided with User SLs for SharePoint Online Plans 1 and 2.</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SharePoint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13"/>
        <w:gridCol w:w="521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Standard CAL</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Visio Online</w:t>
      </w:r>
      <w:r>
        <w:fldChar w:fldCharType="begin"/>
      </w:r>
      <w:r>
        <w:instrText xml:space="preserve"> TC </w:instrText>
      </w:r>
      <w:bookmarkStart w:id="64" w:name="_Toc256000052"/>
      <w:r>
        <w:instrText>"</w:instrText>
      </w:r>
      <w:r>
        <w:instrText>Visio Online</w:instrText>
      </w:r>
      <w:r>
        <w:instrText>"</w:instrText>
      </w:r>
      <w:bookmarkEnd w:id="6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Visio Online Plan 2</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Visio Online Plan 1</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Style w:val="Strong"/>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Visio</w:t>
      </w:r>
    </w:p>
    <w:p>
      <w:pPr>
        <w:pStyle w:val="NormalWeb"/>
        <w:spacing w:after="150"/>
      </w:pPr>
      <w:r>
        <w:t>Visio Online Plan 2 licensed users may install and use a copy of Visio Standard/Professional 2016 or a prior version on devices licensed for and running Office Standard/Professional Plus. Devices licensed for Office Professional Plus by way of the Microsoft 365 From SA Office Professional Plus user entitlement are also eligible.</w:t>
      </w:r>
    </w:p>
    <w:p>
      <w:pPr>
        <w:pStyle w:val="Heading3"/>
        <w:spacing w:before="150" w:beforeAutospacing="0"/>
        <w:rPr>
          <w:rFonts w:eastAsia="Times New Roman"/>
          <w:color w:val="0078D4"/>
          <w:sz w:val="26"/>
          <w:szCs w:val="26"/>
        </w:rPr>
      </w:pPr>
      <w:r>
        <w:rPr>
          <w:rFonts w:eastAsia="Times New Roman"/>
          <w:color w:val="0078D4"/>
          <w:sz w:val="26"/>
          <w:szCs w:val="26"/>
        </w:rPr>
        <w:t>Visio View/Print for Office Users</w:t>
      </w:r>
    </w:p>
    <w:p>
      <w:pPr>
        <w:pStyle w:val="NormalWeb"/>
        <w:spacing w:after="150"/>
      </w:pPr>
      <w:r>
        <w:t>Users licensed with an Office 365 or Microsoft 365 license may use Visio in Reduced Functionality Mode to view and print files.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10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0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10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10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0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0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40" w:tgtFrame="_blank" w:history="1">
        <w:r>
          <w:rPr>
            <w:rStyle w:val="Hyperlink"/>
            <w:color w:val="505050"/>
          </w:rPr>
          <w:t>Amazon WorkSpaces Deployments</w:t>
        </w:r>
      </w:hyperlink>
      <w:r>
        <w:t xml:space="preserve"> for more information.</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1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1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1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Visio</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54"/>
        <w:gridCol w:w="617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Standard</w:t>
            </w:r>
          </w:p>
        </w:tc>
      </w:tr>
    </w:tbl>
    <w:p>
      <w:pPr>
        <w:rPr>
          <w:rFonts w:eastAsia="Times New Roman"/>
          <w:color w:val="0078D4"/>
          <w:sz w:val="26"/>
          <w:szCs w:val="26"/>
        </w:rPr>
      </w:pPr>
    </w:p>
    <w:p w:rsidR="00ED5159" w:rsidP="00ED5159">
      <w:pPr>
        <w:pStyle w:val="ProductList-OfferingGroupHeading"/>
        <w:outlineLvl w:val="1"/>
      </w:pPr>
      <w:r>
        <w:t>Other Online Services</w:t>
      </w:r>
      <w:r>
        <w:fldChar w:fldCharType="begin"/>
      </w:r>
      <w:r>
        <w:instrText xml:space="preserve"> TC </w:instrText>
      </w:r>
      <w:bookmarkStart w:id="65" w:name="_Toc256000053"/>
      <w:r>
        <w:instrText>"</w:instrText>
      </w:r>
      <w:bookmarkStart w:id="66" w:name="_Toc19"/>
      <w:r>
        <w:instrText>Other Online Services</w:instrText>
      </w:r>
      <w:bookmarkEnd w:id="66"/>
      <w:r>
        <w:instrText>"</w:instrText>
      </w:r>
      <w:bookmarkEnd w:id="65"/>
      <w:r>
        <w:instrText xml:space="preserve"> \l 2</w:instrText>
      </w:r>
      <w:r>
        <w:fldChar w:fldCharType="end"/>
      </w:r>
    </w:p>
    <w:p w:rsidR="00ED5159" w:rsidP="00ED5159">
      <w:pPr>
        <w:pStyle w:val="ProductList-Offering2Heading"/>
        <w:outlineLvl w:val="2"/>
      </w:pPr>
      <w:r>
        <w:t>Microsoft Defender for Cloud Apps</w:t>
      </w:r>
      <w:r>
        <w:fldChar w:fldCharType="begin"/>
      </w:r>
      <w:r>
        <w:instrText xml:space="preserve"> TC </w:instrText>
      </w:r>
      <w:bookmarkStart w:id="67" w:name="_Toc256000054"/>
      <w:r>
        <w:instrText>"</w:instrText>
      </w:r>
      <w:r>
        <w:instrText>Microsoft Defender for Cloud Apps</w:instrText>
      </w:r>
      <w:r>
        <w:instrText>"</w:instrText>
      </w:r>
      <w:bookmarkEnd w:id="6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Cloud Apps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430"/>
        <w:gridCol w:w="59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 F1</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33" w:history="1">
              <w:r>
                <w:rPr>
                  <w:rFonts w:ascii="Segoe UI" w:eastAsia="Times New Roman" w:hAnsi="Segoe UI" w:cs="Segoe UI"/>
                  <w:sz w:val="16"/>
                  <w:szCs w:val="16"/>
                  <w:u w:val="single"/>
                </w:rPr>
                <w:t>Student Use Benefits and Academic Programs</w:t>
              </w:r>
            </w:hyperlink>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 Allowance</w:t>
      </w:r>
    </w:p>
    <w:p>
      <w:pPr>
        <w:pStyle w:val="NormalWeb"/>
        <w:spacing w:after="150"/>
      </w:pPr>
      <w:r>
        <w:t>In addition to access by its Licensed Users, Customer may permit External Users to access the service in connection with access to Customer's resources using SharePoint Online, OneDrive, Teams and other Microsoft hosted services.</w:t>
      </w:r>
    </w:p>
    <w:p w:rsidR="00ED5159" w:rsidP="00ED5159">
      <w:pPr>
        <w:pStyle w:val="ProductList-Offering2Heading"/>
        <w:outlineLvl w:val="2"/>
      </w:pPr>
      <w:r>
        <w:t>Microsoft Intune</w:t>
      </w:r>
      <w:r>
        <w:fldChar w:fldCharType="begin"/>
      </w:r>
      <w:r>
        <w:instrText xml:space="preserve"> TC </w:instrText>
      </w:r>
      <w:bookmarkStart w:id="68" w:name="_Toc256000055"/>
      <w:r>
        <w:instrText>"</w:instrText>
      </w:r>
      <w:r>
        <w:instrText>Microsoft Intune</w:instrText>
      </w:r>
      <w:r>
        <w:instrText>"</w:instrText>
      </w:r>
      <w:bookmarkEnd w:id="6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Intune Plan 1 for EDU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Plan 1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Plan 1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Plan 1 for EDU (Device SL)</w:t>
            </w:r>
          </w:p>
        </w:tc>
        <w:tc>
          <w:tcPr/>
          <w:p w:rsidR="00A363CA" w:rsidP="00A363CA">
            <w:pPr>
              <w:pStyle w:val="ProductList-TableBody"/>
            </w:pPr>
            <w:r>
              <w:t>Additional Product,Enterprise Online Service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2 Frontline Worker; Microsoft Intune Endpoint Privilege Management Frontline Worke; Microsoft Intune Advance Analytics Frontline Worker; Microsoft Intune Enterprise Application Management Frontline Worker; Microsoft Intune Cloud PKI Frontline Worker; Microsoft Intune Remote Help Frontline Worker</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33" w:history="1">
              <w:r>
                <w:rPr>
                  <w:rFonts w:ascii="Segoe UI" w:eastAsia="Times New Roman" w:hAnsi="Segoe UI" w:cs="Segoe UI"/>
                  <w:sz w:val="16"/>
                  <w:szCs w:val="16"/>
                  <w:u w:val="single"/>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Microsoft Intune Plan 1 for EDU (Device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Term</w:t>
      </w:r>
    </w:p>
    <w:p>
      <w:pPr>
        <w:pStyle w:val="NormalWeb"/>
        <w:spacing w:after="150"/>
      </w:pPr>
      <w:r>
        <w:t>The term of the Microsoft Intune Plan 1 for EDU (Device SL) subscription ("Intune Device SL") is six years from the date of order. If an Intune Device SL extends beyond the expiration of Customer's volume license agreement under which the Intune Device SL was purchased, the terms of such agreement will survive as necessary for the duration of the Intune Device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Cancellation and Reassignment</w:t>
      </w:r>
    </w:p>
    <w:p>
      <w:pPr>
        <w:pStyle w:val="NormalWeb"/>
        <w:spacing w:after="150"/>
      </w:pPr>
      <w:r>
        <w:t>The Microsoft Intune Plan 1 for EDU (Device SL) may not be cancelled and can only be reassigned to a new device of the same model (or equivalent manufacturer-provided replacement) upon permanent hardware failure of the device the Intune Device SL was previously assigned to.</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Any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Manage Devices and Applications</w:t>
      </w:r>
    </w:p>
    <w:p>
      <w:pPr>
        <w:pStyle w:val="NormalWeb"/>
        <w:spacing w:after="150"/>
      </w:pPr>
      <w:r>
        <w:t>Each User to whom Customer assigns a User SL may access and use the Online Services and related software (including System Center software) to manage applications and up to fifteen devices. Management of a device accessed by more than one user requires a User SL for each user.</w:t>
      </w:r>
    </w:p>
    <w:p>
      <w:pPr>
        <w:pStyle w:val="Heading3"/>
        <w:spacing w:before="150" w:beforeAutospacing="0"/>
        <w:rPr>
          <w:rFonts w:eastAsia="Times New Roman"/>
          <w:color w:val="0078D4"/>
          <w:sz w:val="26"/>
          <w:szCs w:val="26"/>
        </w:rPr>
      </w:pPr>
      <w:r>
        <w:rPr>
          <w:rFonts w:eastAsia="Times New Roman"/>
          <w:color w:val="0078D4"/>
          <w:sz w:val="26"/>
          <w:szCs w:val="26"/>
        </w:rPr>
        <w:t>Microsoft Intune for Devices</w:t>
      </w:r>
    </w:p>
    <w:p>
      <w:pPr>
        <w:pStyle w:val="NormalWeb"/>
        <w:spacing w:after="150"/>
      </w:pPr>
      <w:r>
        <w:t>Microsoft Intune for Devices may only be linked to devices that are not affiliated with specific users. Product features with user affinity, including but not limited to Conditional Access, App Protection, and optional app installation, cannot be used under Microsoft Intune for Devices SLs. Applications that are typically mapped to specific users, such as Outlook and OneDrive, may not be used under this service.</w:t>
      </w:r>
    </w:p>
    <w:p>
      <w:pPr>
        <w:pStyle w:val="Heading3"/>
        <w:spacing w:before="150" w:beforeAutospacing="0"/>
        <w:rPr>
          <w:rFonts w:eastAsia="Times New Roman"/>
          <w:color w:val="0078D4"/>
          <w:sz w:val="26"/>
          <w:szCs w:val="26"/>
        </w:rPr>
      </w:pPr>
      <w:r>
        <w:rPr>
          <w:rFonts w:eastAsia="Times New Roman"/>
          <w:color w:val="0078D4"/>
          <w:sz w:val="26"/>
          <w:szCs w:val="26"/>
        </w:rPr>
        <w:t>Storage Add-on SL</w:t>
      </w:r>
    </w:p>
    <w:p>
      <w:pPr>
        <w:pStyle w:val="NormalWeb"/>
        <w:spacing w:after="150"/>
      </w:pPr>
      <w:r>
        <w:t>A Storage Add-on SL is required for each gigabyte of storage in excess of the storage provided with the base subscription.</w:t>
      </w:r>
    </w:p>
    <w:p>
      <w:pPr>
        <w:pStyle w:val="Heading3"/>
        <w:spacing w:before="150" w:beforeAutospacing="0"/>
        <w:rPr>
          <w:rFonts w:eastAsia="Times New Roman"/>
          <w:color w:val="0078D4"/>
          <w:sz w:val="26"/>
          <w:szCs w:val="26"/>
        </w:rPr>
      </w:pPr>
      <w:r>
        <w:rPr>
          <w:rFonts w:eastAsia="Times New Roman"/>
          <w:color w:val="0078D4"/>
          <w:sz w:val="26"/>
          <w:szCs w:val="26"/>
        </w:rPr>
        <w:t>Windows Software Components in System Center Software</w:t>
      </w:r>
    </w:p>
    <w:p>
      <w:pPr>
        <w:pStyle w:val="NormalWeb"/>
        <w:spacing w:after="150"/>
      </w:pPr>
      <w:r>
        <w:t xml:space="preserve">The System Center software includes one or more of the following Windows Software Components: Microsoft .NET Framework, Microsoft Data Access Components, PowerShell software and certain .dlls related to Microsoft Build, Windows Identity Foundation, Windows Library for JavaScript, Debghelp.dll, and Web Deploy technologies. The license terms governing use of the Windows Software Components are in the Windows 8.1 Pro and Enterprise section of the Product Terms. The Product Terms is located at </w:t>
      </w:r>
      <w:hyperlink r:id="rId186" w:tgtFrame="_blank" w:history="1">
        <w:r>
          <w:rPr>
            <w:rStyle w:val="Hyperlink"/>
            <w:color w:val="505050"/>
          </w:rPr>
          <w:t>http://go.microsoft.com/?linkid=9839206</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Technology and Benchmarking</w:t>
      </w:r>
    </w:p>
    <w:p>
      <w:pPr>
        <w:pStyle w:val="NormalWeb"/>
        <w:spacing w:after="150"/>
      </w:pPr>
      <w:r>
        <w:t>The Software included with the Online Service includes SQL Server-branded components other than a SQL Server Database. Those components are licensed to Customer under the terms of their respective licenses, which can be found in the installation directory or unified installer of the software. Customer must obtain Microsoft's prior written approval to disclose to a third party the results of any benchmark test of these components or the software that includes them.</w:t>
      </w:r>
    </w:p>
    <w:p w:rsidR="00ED5159" w:rsidP="00ED5159">
      <w:pPr>
        <w:pStyle w:val="ProductList-Offering1SubSection"/>
      </w:pPr>
      <w:r>
        <w:t>Cloud Add-ons to SA</w:t>
      </w:r>
    </w:p>
    <w:p>
      <w:pPr>
        <w:pStyle w:val="NormalWeb"/>
      </w:pPr>
      <w: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1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1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1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0"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0"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0"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Intune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5"/>
        <w:gridCol w:w="50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for EDU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Microsoft Learning</w:t>
      </w:r>
      <w:r>
        <w:fldChar w:fldCharType="begin"/>
      </w:r>
      <w:r>
        <w:instrText xml:space="preserve"> TC </w:instrText>
      </w:r>
      <w:bookmarkStart w:id="69" w:name="_Toc256000056"/>
      <w:r>
        <w:instrText>"</w:instrText>
      </w:r>
      <w:r>
        <w:instrText>Microsoft Learning</w:instrText>
      </w:r>
      <w:r>
        <w:instrText>"</w:instrText>
      </w:r>
      <w:bookmarkEnd w:id="6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Learning MOS/MTA/MCE Certification 500 Exam Site License (Services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Learning MCP 30 Exam Vouchers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Learning MOS/MCE Certification 125 Exam Site License (Services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Learning MCP 1 Exam Vouchers (Services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Learning MTA/MCA Certification 125 Exam Site License (Services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437"/>
        <w:gridCol w:w="289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0"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Vouchers</w:t>
      </w:r>
    </w:p>
    <w:p>
      <w:pPr>
        <w:pStyle w:val="NormalWeb"/>
        <w:spacing w:after="150"/>
      </w:pPr>
      <w:r>
        <w:t>Vouchers are provided upon purchase and expire 12 months from date of purchase.</w:t>
      </w:r>
    </w:p>
    <w:p>
      <w:pPr>
        <w:pStyle w:val="Heading3"/>
        <w:spacing w:before="150" w:beforeAutospacing="0"/>
        <w:rPr>
          <w:rFonts w:eastAsia="Times New Roman"/>
          <w:color w:val="0078D4"/>
          <w:sz w:val="26"/>
          <w:szCs w:val="26"/>
        </w:rPr>
      </w:pPr>
      <w:r>
        <w:rPr>
          <w:rFonts w:eastAsia="Times New Roman"/>
          <w:color w:val="0078D4"/>
          <w:sz w:val="26"/>
          <w:szCs w:val="26"/>
        </w:rPr>
        <w:t>Microsoft Office Specialist (MOS) Microsoft Technology Associate (MTA) and Microsoft Certification Educator (MCE) Exam Site License</w:t>
      </w:r>
    </w:p>
    <w:p>
      <w:pPr>
        <w:pStyle w:val="NormalWeb"/>
        <w:spacing w:after="150"/>
      </w:pPr>
      <w:r>
        <w:t xml:space="preserve">Customer must be a Certiport/Pearson VUE test center authorized to deliver MOS or MTA exams under a site </w:t>
      </w:r>
      <w:hyperlink w:anchor="_Toc20" w:tooltip="License means the right to download, install, access and use a Product." w:history="1">
        <w:r>
          <w:rPr>
            <w:rStyle w:val="Hyperlink"/>
            <w:color w:val="505050"/>
          </w:rPr>
          <w:t>License</w:t>
        </w:r>
      </w:hyperlink>
      <w:r>
        <w:t xml:space="preserve">. The site </w:t>
      </w:r>
      <w:hyperlink w:anchor="_Toc20" w:tooltip="License means the right to download, install, access and use a Product." w:history="1">
        <w:r>
          <w:rPr>
            <w:rStyle w:val="Hyperlink"/>
            <w:color w:val="505050"/>
          </w:rPr>
          <w:t>License</w:t>
        </w:r>
      </w:hyperlink>
      <w:r>
        <w:t xml:space="preserve"> will expire 12 months from the date of purchase. Any undelivered exams at the end of the term are forfeited. Academic Customers may only deliver site license exams to their faculty members and registered students.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Learning E-Reference Library</w:t>
      </w:r>
    </w:p>
    <w:p>
      <w:pPr>
        <w:pStyle w:val="NormalWeb"/>
        <w:spacing w:after="150"/>
      </w:pPr>
      <w:r>
        <w:t>Any person that has valid access to Customer's computer or internal network may copy and use the documentation for Customer's internal reference purposes. Documentation does not include electronic books.</w:t>
      </w:r>
    </w:p>
    <w:p w:rsidR="00ED5159" w:rsidP="00ED5159">
      <w:pPr>
        <w:pStyle w:val="ProductList-Offering2Heading"/>
        <w:outlineLvl w:val="2"/>
      </w:pPr>
      <w:r>
        <w:t>Microsoft Search in Bing</w:t>
      </w:r>
      <w:r>
        <w:fldChar w:fldCharType="begin"/>
      </w:r>
      <w:r>
        <w:instrText xml:space="preserve"> TC </w:instrText>
      </w:r>
      <w:bookmarkStart w:id="70" w:name="_Toc256000057"/>
      <w:r>
        <w:instrText>"</w:instrText>
      </w:r>
      <w:r>
        <w:instrText>Microsoft Search in Bing</w:instrText>
      </w:r>
      <w:r>
        <w:instrText>"</w:instrText>
      </w:r>
      <w:bookmarkEnd w:id="70"/>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w:t>
      </w:r>
    </w:p>
    <w:p>
      <w:pPr>
        <w:pStyle w:val="NormalWeb"/>
        <w:spacing w:after="150"/>
      </w:pPr>
      <w:r>
        <w:t>"Microsoft Search in Bing" means the service that displays enterprise search results from internal resources (e.g. intranet, files, people information) to Customer users who are logged into the service via their work or school account.</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 Privacy</w:t>
      </w:r>
    </w:p>
    <w:p>
      <w:pPr>
        <w:pStyle w:val="NormalWeb"/>
        <w:spacing w:after="150"/>
      </w:pPr>
      <w:r>
        <w:t xml:space="preserve">When a user enters a search query in Microsoft Search in Bing, two simultaneous search requests occur: (1) a search of Customer's internal resources, for which the query and results returned are Customer Data for purposes of these Product Terms, and (2) a separate search of public results from Bing.com, for which the query and results returned are not Customer Data. These Product Terms and the DPA apply only to Microsoft Search in Bing. The Microsoft Privacy Statement located at </w:t>
      </w:r>
      <w:hyperlink r:id="rId183" w:history="1">
        <w:r>
          <w:rPr>
            <w:rStyle w:val="Hyperlink"/>
            <w:color w:val="505050"/>
          </w:rPr>
          <w:t>https://go.microsoft.com/fwlink/?LinkId=521839</w:t>
        </w:r>
      </w:hyperlink>
      <w:r>
        <w:t xml:space="preserve"> applies to public search on Bing.com.</w:t>
      </w:r>
    </w:p>
    <w:p w:rsidR="00ED5159" w:rsidP="00ED5159">
      <w:pPr>
        <w:pStyle w:val="ProductList-Offering2Heading"/>
        <w:outlineLvl w:val="2"/>
      </w:pPr>
      <w:r>
        <w:t>Office 365 Developer</w:t>
      </w:r>
      <w:r>
        <w:fldChar w:fldCharType="begin"/>
      </w:r>
      <w:r>
        <w:instrText xml:space="preserve"> TC </w:instrText>
      </w:r>
      <w:bookmarkStart w:id="71" w:name="_Toc256000058"/>
      <w:r>
        <w:instrText>"</w:instrText>
      </w:r>
      <w:r>
        <w:instrText>Office 365 Developer</w:instrText>
      </w:r>
      <w:r>
        <w:instrText>"</w:instrText>
      </w:r>
      <w:bookmarkEnd w:id="71"/>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 Production Use of Office 365 Developer</w:t>
      </w:r>
    </w:p>
    <w:p>
      <w:pPr>
        <w:pStyle w:val="NormalWeb"/>
        <w:spacing w:after="150"/>
      </w:pPr>
      <w:r>
        <w:t>Each user to whom Customer assigns a User SL may use the Online Service to design, develop, and test Customer’s applications to make them available for Customer’s Office 365 Online Services, on-premises deployments or for the Microsoft Office Store. The Online Service is not licensed for production use.</w:t>
      </w:r>
    </w:p>
    <w:p>
      <w:pPr>
        <w:pStyle w:val="Heading3"/>
        <w:spacing w:before="150" w:beforeAutospacing="0"/>
        <w:rPr>
          <w:rFonts w:eastAsia="Times New Roman"/>
          <w:color w:val="0078D4"/>
          <w:sz w:val="26"/>
          <w:szCs w:val="26"/>
        </w:rPr>
      </w:pPr>
      <w:r>
        <w:rPr>
          <w:rFonts w:eastAsia="Times New Roman"/>
          <w:color w:val="0078D4"/>
          <w:sz w:val="26"/>
          <w:szCs w:val="26"/>
        </w:rPr>
        <w:t>Office 365 Developer End Users</w:t>
      </w:r>
    </w:p>
    <w:p>
      <w:pPr>
        <w:pStyle w:val="NormalWeb"/>
        <w:spacing w:after="150"/>
      </w:pPr>
      <w:r>
        <w:t>Customer’s end users do not need a SL to access Office 365 Developer to perform acceptance tests or provide feedback on Customer programs.</w:t>
      </w:r>
    </w:p>
    <w:p w:rsidR="00ED5159" w:rsidP="00ED5159">
      <w:pPr>
        <w:pStyle w:val="ProductList-Offering2Heading"/>
        <w:outlineLvl w:val="2"/>
      </w:pPr>
      <w:r>
        <w:t>Windows Autopatch</w:t>
      </w:r>
      <w:r>
        <w:fldChar w:fldCharType="begin"/>
      </w:r>
      <w:r>
        <w:instrText xml:space="preserve"> TC </w:instrText>
      </w:r>
      <w:bookmarkStart w:id="72" w:name="_Toc256000059"/>
      <w:r>
        <w:instrText>"</w:instrText>
      </w:r>
      <w:r>
        <w:instrText>Windows Autopatch</w:instrText>
      </w:r>
      <w:r>
        <w:instrText>"</w:instrText>
      </w:r>
      <w:bookmarkEnd w:id="72"/>
      <w:r>
        <w:instrText xml:space="preserve"> \l 2</w:instrText>
      </w:r>
      <w:r>
        <w:fldChar w:fldCharType="end"/>
      </w:r>
    </w:p>
    <w:p>
      <w:pPr>
        <w:pStyle w:val="NormalWeb"/>
      </w:pPr>
      <w:r>
        <w:t>Windows Autopatch is available with Windows 10/11 Enterprise E3 subscription (or higher).</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Managed Service</w:t>
      </w:r>
    </w:p>
    <w:p>
      <w:pPr>
        <w:pStyle w:val="NormalWeb"/>
        <w:spacing w:after="150"/>
      </w:pPr>
      <w:r>
        <w:t xml:space="preserve">Windows Autopatch includes an Online Service component and Professional Service Component which is subject to the Professional Services terms (refer to </w:t>
      </w:r>
      <w:hyperlink r:id="rId48"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Handling</w:t>
      </w:r>
    </w:p>
    <w:p>
      <w:pPr>
        <w:pStyle w:val="NormalWeb"/>
        <w:spacing w:after="150"/>
      </w:pPr>
      <w:r>
        <w:t xml:space="preserve">Windows Autopatch integrates data (including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Office, and other Online Services as configured by Customer, if any (collectively for purposes of this provision the "Autopatch Integrated Services").  Once data is transferred within the Autopatch Integrated Services, that data is governed by the Product Terms applicable to the Product in which it resides.</w:t>
      </w:r>
    </w:p>
    <w:p w:rsidR="00ED5159" w:rsidP="00ED5159">
      <w:pPr>
        <w:pStyle w:val="ProductList-OfferingGroupHeading"/>
        <w:outlineLvl w:val="1"/>
      </w:pPr>
      <w:r>
        <w:t>Glossary</w:t>
      </w:r>
      <w:r>
        <w:fldChar w:fldCharType="begin"/>
      </w:r>
      <w:r>
        <w:instrText xml:space="preserve"> TC </w:instrText>
      </w:r>
      <w:bookmarkStart w:id="73" w:name="_Toc256000060"/>
      <w:r>
        <w:instrText>"</w:instrText>
      </w:r>
      <w:r>
        <w:instrText>Glossary</w:instrText>
      </w:r>
      <w:r>
        <w:instrText>"</w:instrText>
      </w:r>
      <w:bookmarkEnd w:id="73"/>
      <w:r>
        <w:instrText xml:space="preserve"> \l 2</w:instrText>
      </w:r>
      <w:r>
        <w:fldChar w:fldCharType="end"/>
      </w:r>
    </w:p>
    <w:p>
      <w:pPr>
        <w:pStyle w:val="NormalWeb"/>
      </w:pPr>
      <w:r>
        <w:t>Terms defined in this Glossary apply unless otherwise defined in product specific terms. </w:t>
      </w:r>
    </w:p>
    <w:p>
      <w:pPr>
        <w:pStyle w:val="Heading3"/>
        <w:spacing w:before="150" w:beforeAutospacing="0"/>
        <w:rPr>
          <w:rFonts w:eastAsia="Times New Roman"/>
          <w:color w:val="0078D4"/>
          <w:sz w:val="26"/>
          <w:szCs w:val="26"/>
        </w:rPr>
      </w:pPr>
      <w:r>
        <w:rPr>
          <w:rFonts w:eastAsia="Times New Roman"/>
          <w:color w:val="0078D4"/>
          <w:sz w:val="26"/>
          <w:szCs w:val="26"/>
        </w:rPr>
        <w:t>Definitions </w:t>
      </w:r>
    </w:p>
    <w:p>
      <w:pPr>
        <w:pStyle w:val="NormalWeb"/>
        <w:spacing w:after="150"/>
      </w:pPr>
      <w:r>
        <w:rPr>
          <w:rStyle w:val="Strong"/>
        </w:rPr>
        <w:t>Academic Program</w:t>
      </w:r>
      <w:r>
        <w:t xml:space="preserve"> means Academic Purchasing Account on MPSA, Academic Select License, Select Plus for Academic, Campus and School Agreement, or Open Value Subscription - Education Solutions.</w:t>
      </w:r>
    </w:p>
    <w:p>
      <w:pPr>
        <w:pStyle w:val="NormalWeb"/>
        <w:spacing w:before="150"/>
      </w:pPr>
      <w:r>
        <w:rPr>
          <w:rStyle w:val="Strong"/>
        </w:rPr>
        <w:t xml:space="preserve">Additive CAL </w:t>
      </w:r>
      <w:r>
        <w:t>means a CAL that must be used on conjunction with a base CAL.</w:t>
      </w:r>
    </w:p>
    <w:p>
      <w:pPr>
        <w:pStyle w:val="NormalWeb"/>
        <w:spacing w:before="150"/>
      </w:pPr>
      <w:r>
        <w:rPr>
          <w:rStyle w:val="Strong"/>
        </w:rPr>
        <w:t>Additive External Connector License</w:t>
      </w:r>
      <w:r>
        <w:t xml:space="preserve"> means an External Connector License that must be used in conjunction with a base External Connector License.</w:t>
      </w:r>
    </w:p>
    <w:p>
      <w:pPr>
        <w:pStyle w:val="NormalWeb"/>
        <w:spacing w:before="150"/>
      </w:pPr>
      <w:r>
        <w:rPr>
          <w:rStyle w:val="Strong"/>
        </w:rPr>
        <w:t>Allocated Annual prepayment</w:t>
      </w:r>
      <w:r>
        <w:t xml:space="preserve"> means, if Customer elects annual invoicing, the portion of the Azure prepayment allocated annually through the Enrollment term.</w:t>
      </w:r>
    </w:p>
    <w:p>
      <w:pPr>
        <w:pStyle w:val="NormalWeb"/>
        <w:spacing w:before="150"/>
      </w:pPr>
      <w:r>
        <w:rPr>
          <w:rStyle w:val="Strong"/>
        </w:rPr>
        <w:t xml:space="preserve">Authorized Outsourcer </w:t>
      </w:r>
      <w:r>
        <w:t>means any third party service provider that is not a Listed Provider and is not using Listed Provider as a Data Center Provider as part of the outsourcing service.</w:t>
      </w:r>
    </w:p>
    <w:p>
      <w:pPr>
        <w:pStyle w:val="NormalWeb"/>
        <w:spacing w:before="150"/>
      </w:pPr>
      <w:r>
        <w:rPr>
          <w:rStyle w:val="Strong"/>
        </w:rPr>
        <w:t>Azure compute savings plan</w:t>
      </w:r>
      <w:r>
        <w:t xml:space="preserve"> means a commitment to spend a specified monetary amount each hour on eligible Microsoft Azure Services for a specified term.</w:t>
      </w:r>
    </w:p>
    <w:p>
      <w:pPr>
        <w:pStyle w:val="NormalWeb"/>
        <w:spacing w:before="150"/>
      </w:pPr>
      <w:r>
        <w:rPr>
          <w:rStyle w:val="Strong"/>
        </w:rPr>
        <w:t>Azure Direct Model</w:t>
      </w:r>
      <w:r>
        <w:t xml:space="preserve"> means an AI model designated and deployed as an Azure Direct Model in Microsoft Foundry.</w:t>
      </w:r>
    </w:p>
    <w:p>
      <w:pPr>
        <w:pStyle w:val="NormalWeb"/>
        <w:spacing w:before="150"/>
      </w:pPr>
      <w:r>
        <w:rPr>
          <w:rStyle w:val="Strong"/>
        </w:rPr>
        <w:t>Azure Facial Recognition Services</w:t>
      </w:r>
      <w:r>
        <w:t xml:space="preserve"> means facial recognition features or functionality included in Azure Services, such as Face; or the facial recognition functionality in Azure Video Analyzer for Media.</w:t>
      </w:r>
    </w:p>
    <w:p>
      <w:pPr>
        <w:pStyle w:val="NormalWeb"/>
        <w:spacing w:before="150"/>
      </w:pPr>
      <w:r>
        <w:rPr>
          <w:rStyle w:val="Strong"/>
        </w:rPr>
        <w:t>Azure Government Services</w:t>
      </w:r>
      <w:r>
        <w:t xml:space="preserve"> means one or more of the services or features Microsoft makes available to Customer as Government Community Cloud Services in the "US Gov" regions identified at </w:t>
      </w:r>
      <w:hyperlink r:id="rId187" w:anchor="services" w:tgtFrame="_blank" w:history="1">
        <w:r>
          <w:rPr>
            <w:rStyle w:val="Hyperlink"/>
            <w:color w:val="505050"/>
          </w:rPr>
          <w:t>http://azure.microsoft.com/en-us/regions/#services</w:t>
        </w:r>
      </w:hyperlink>
      <w:r>
        <w:t>.</w:t>
      </w:r>
    </w:p>
    <w:p>
      <w:pPr>
        <w:pStyle w:val="NormalWeb"/>
        <w:spacing w:before="150"/>
      </w:pPr>
      <w:r>
        <w:rPr>
          <w:rStyle w:val="Strong"/>
        </w:rPr>
        <w:t>Azure Prepayment</w:t>
      </w:r>
      <w:r>
        <w:t xml:space="preserve"> means the total monetary amount a customer commits to pay during the term of the subscription for its use of eligible Microsoft Azure Services.</w:t>
      </w:r>
    </w:p>
    <w:p>
      <w:pPr>
        <w:pStyle w:val="NormalWeb"/>
        <w:spacing w:before="150"/>
      </w:pPr>
      <w:r>
        <w:rPr>
          <w:rStyle w:val="Strong"/>
        </w:rPr>
        <w:t>Azure Private MEC Solution</w:t>
      </w:r>
      <w:r>
        <w:t xml:space="preserve"> means a combined software and hardware private multi-access edge compute offering which includes Azure Network Function Manager.</w:t>
      </w:r>
    </w:p>
    <w:p>
      <w:pPr>
        <w:pStyle w:val="NormalWeb"/>
        <w:spacing w:before="150"/>
      </w:pPr>
      <w:r>
        <w:rPr>
          <w:rStyle w:val="Strong"/>
        </w:rPr>
        <w:t>Azure reservations</w:t>
      </w:r>
      <w:r>
        <w:t xml:space="preserve"> means an advanced purchase of eligible Microsoft Azure Services for a specified term and region (e.g. Reserved VM Instances, reserved capacity, etc.).</w:t>
      </w:r>
    </w:p>
    <w:p>
      <w:pPr>
        <w:pStyle w:val="NormalWeb"/>
        <w:spacing w:before="150"/>
      </w:pPr>
      <w:r>
        <w:rPr>
          <w:rStyle w:val="Strong"/>
        </w:rPr>
        <w:t>Bing Search Services</w:t>
      </w:r>
      <w:r>
        <w:t xml:space="preserve"> means the Bing Custom Search, Bing Local Business Search, Entity Search, Image Search, News Search, Video Search, Visual Search, Web Search, Spell Check, and Autosuggest APIs, and any other APIs identified at </w:t>
      </w:r>
      <w:hyperlink r:id="rId188" w:tgtFrame="_blank" w:history="1">
        <w:r>
          <w:rPr>
            <w:rStyle w:val="Hyperlink"/>
            <w:color w:val="505050"/>
          </w:rPr>
          <w:t>https://aka.ms/r1j7jq</w:t>
        </w:r>
      </w:hyperlink>
      <w:r>
        <w:t>.</w:t>
      </w:r>
    </w:p>
    <w:p>
      <w:pPr>
        <w:pStyle w:val="NormalWeb"/>
        <w:spacing w:before="150"/>
      </w:pPr>
      <w:r>
        <w:rPr>
          <w:rStyle w:val="Strong"/>
        </w:rPr>
        <w:t>Bing Search Services Data</w:t>
      </w:r>
      <w:r>
        <w:t xml:space="preserve"> means Customer Data that are provided to Microsoft by, or on behalf of, Customer through use of the Bing Search Services.</w:t>
      </w:r>
    </w:p>
    <w:p>
      <w:pPr>
        <w:pStyle w:val="NormalWeb"/>
        <w:spacing w:before="150"/>
      </w:pPr>
      <w:r>
        <w:rPr>
          <w:rStyle w:val="Strong"/>
        </w:rPr>
        <w:t>CAL</w:t>
      </w:r>
      <w:r>
        <w:t xml:space="preserve"> means client access license, which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NormalWeb"/>
        <w:spacing w:before="150"/>
      </w:pPr>
      <w:r>
        <w:rPr>
          <w:rStyle w:val="Strong"/>
        </w:rPr>
        <w:t>CAL Equivalent License</w:t>
      </w:r>
      <w:r>
        <w:t xml:space="preserve"> means a User SL or External Connector License identified in a Product's "Server Software Access" table, or a CAL suite or SL, as identified in </w:t>
      </w:r>
      <w:hyperlink r:id="rId189" w:history="1">
        <w:r>
          <w:rPr>
            <w:rStyle w:val="Hyperlink"/>
            <w:color w:val="505050"/>
          </w:rPr>
          <w:t>CAL and ML Equivalency Licenses</w:t>
        </w:r>
      </w:hyperlink>
      <w:r>
        <w:t>, as applicable. A CAL suite is a CAL Equivalent License only if Customer purchased the License after the Server Product's Date Available or if Customer had active SA coverage as of the Date Available.</w:t>
      </w:r>
    </w:p>
    <w:p>
      <w:pPr>
        <w:pStyle w:val="NormalWeb"/>
        <w:spacing w:before="150"/>
      </w:pPr>
      <w:r>
        <w:rPr>
          <w:rStyle w:val="Strong"/>
        </w:rPr>
        <w:t>Client OSE</w:t>
      </w:r>
      <w:r>
        <w:t xml:space="preserve"> means an OSE running a client operating system.</w:t>
      </w:r>
    </w:p>
    <w:p>
      <w:pPr>
        <w:pStyle w:val="NormalWeb"/>
        <w:spacing w:before="150"/>
      </w:pPr>
      <w:r>
        <w:rPr>
          <w:rStyle w:val="Strong"/>
        </w:rPr>
        <w:t xml:space="preserve">Cloud Add-on to SA </w:t>
      </w:r>
      <w:r>
        <w:t>means a User SL that is purchased in addition to (and associated with) a previously acquired Qualifying License (or set of Qualifying Licenses) with Active Software Assurance (SA). A Cloud Add-on to SA User SL is assigned to a single Qualified User (as defined in Customer's Enrollment). For any Cloud Add-on to SA User SL not appearing individually, the license terms applicable to a full User SL for the same service apply.</w:t>
      </w:r>
    </w:p>
    <w:p>
      <w:pPr>
        <w:pStyle w:val="NormalWeb"/>
        <w:spacing w:before="150"/>
      </w:pPr>
      <w:r>
        <w:rPr>
          <w:rStyle w:val="Strong"/>
        </w:rPr>
        <w:t>Clustered HPC Application</w:t>
      </w:r>
      <w:r>
        <w:t xml:space="preserve"> means a high performance computing applications that solves, in parallel, complex computational problems, or a set of closely related computational problems. Clustered HPC Applications divide a computationally complex problem into a set of jobs and tasks which are coordinated by a job scheduler, such as provided by Microsoft HPC Pack, or similar HPC middleware, which distributes these in parallel across one or more computers operating within an HPC cluster.</w:t>
      </w:r>
    </w:p>
    <w:p>
      <w:pPr>
        <w:pStyle w:val="NormalWeb"/>
        <w:spacing w:before="150"/>
      </w:pPr>
      <w:r>
        <w:rPr>
          <w:rStyle w:val="Strong"/>
        </w:rPr>
        <w:t>Cluster Node</w:t>
      </w:r>
      <w:r>
        <w:t xml:space="preserve"> means a device that is dedicated to running Clustered HPC Applications or providing job scheduling services for Clustered HPC Applications.</w:t>
      </w:r>
    </w:p>
    <w:p>
      <w:pPr>
        <w:pStyle w:val="NormalWeb"/>
        <w:spacing w:before="150"/>
      </w:pPr>
      <w:r>
        <w:rPr>
          <w:rStyle w:val="Strong"/>
        </w:rPr>
        <w:t>Consumption Rates</w:t>
      </w:r>
      <w:r>
        <w:t xml:space="preserve"> means the prices for Microsoft Azure Services or, for certain Microsoft Azure Service Plans, any usage in excess of a specified quantity. Consumption Rates may also be referred to as "Overage Rates" or "Overage" in other Microsoft or Microsoft Azure documents.</w:t>
      </w:r>
    </w:p>
    <w:p>
      <w:pPr>
        <w:pStyle w:val="NormalWeb"/>
        <w:spacing w:before="150"/>
      </w:pPr>
      <w:r>
        <w:rPr>
          <w:rStyle w:val="Strong"/>
        </w:rPr>
        <w:t xml:space="preserve">Copilot </w:t>
      </w:r>
      <w:r>
        <w:t>means a Microsoft Generative AI Service that is identified as a ‘Copilot.'</w:t>
      </w:r>
    </w:p>
    <w:p>
      <w:pPr>
        <w:pStyle w:val="NormalWeb"/>
        <w:spacing w:before="150"/>
      </w:pPr>
      <w:r>
        <w:rPr>
          <w:rStyle w:val="Strong"/>
        </w:rPr>
        <w:t>Core Factor</w:t>
      </w:r>
      <w:r>
        <w:t xml:space="preserve"> means a numerical value associated with a specific Physical Processor for purposes of determining the number of Licenses required to license all of the Physical Cores on a Server.</w:t>
      </w:r>
    </w:p>
    <w:p>
      <w:pPr>
        <w:pStyle w:val="NormalWeb"/>
        <w:spacing w:before="150"/>
      </w:pPr>
      <w:r>
        <w:rPr>
          <w:rStyle w:val="Strong"/>
        </w:rPr>
        <w:t>Core Online Services</w:t>
      </w:r>
      <w:r>
        <w:t xml:space="preserve"> means those Online Services listed as Core Online Services in the </w:t>
      </w:r>
      <w:hyperlink r:id="rId190" w:history="1">
        <w:r>
          <w:rPr>
            <w:rStyle w:val="Hyperlink"/>
            <w:color w:val="505050"/>
          </w:rPr>
          <w:t>Privacy &amp; Security Terms</w:t>
        </w:r>
      </w:hyperlink>
      <w:r>
        <w:t xml:space="preserve"> section.</w:t>
      </w:r>
    </w:p>
    <w:p>
      <w:pPr>
        <w:pStyle w:val="NormalWeb"/>
        <w:spacing w:before="150"/>
      </w:pPr>
      <w:r>
        <w:rPr>
          <w:rStyle w:val="Strong"/>
        </w:rPr>
        <w:t xml:space="preserve">Covered Product </w:t>
      </w:r>
      <w:r>
        <w:t>means any Azure OpenAI model in Microsoft Foundry Models or Copilot (excluding free Previews), in either case, that is available for a fee through Microsoft volume licensing or used with a paid subscription to an Online Service.</w:t>
      </w:r>
    </w:p>
    <w:p>
      <w:pPr>
        <w:pStyle w:val="NormalWeb"/>
        <w:spacing w:before="150"/>
      </w:pPr>
      <w:r>
        <w:rPr>
          <w:rStyle w:val="Strong"/>
        </w:rPr>
        <w:t>Covered Suites</w:t>
      </w:r>
      <w:r>
        <w:t xml:space="preserve"> are Microsoft 365 Business Basic, Microsoft 365 Business Standard, Microsoft 365 Business Premium, Office 365 E1, Office 365 E3, Office 365 E5, Microsoft 365 E3, and Microsoft 365 E5, and any successor or substantially equivalent versions of these suites targeted at knowledge workers in business, enterprise, and public sector organizations. </w:t>
      </w:r>
    </w:p>
    <w:p>
      <w:pPr>
        <w:pStyle w:val="NormalWeb"/>
        <w:spacing w:before="150"/>
      </w:pPr>
      <w:r>
        <w:rPr>
          <w:rStyle w:val="Strong"/>
        </w:rPr>
        <w:t>Customer Data</w:t>
      </w:r>
      <w:r>
        <w:t xml:space="preserve"> means all data, including all text, sound, video, or image files, and software, that are provided to Microsoft by, or on behalf of, Customer through use of the Online Service. Customer Data does not include Professional Services Data.</w:t>
      </w:r>
    </w:p>
    <w:p>
      <w:pPr>
        <w:pStyle w:val="NormalWeb"/>
        <w:spacing w:before="150"/>
      </w:pPr>
      <w:r>
        <w:rPr>
          <w:rStyle w:val="Strong"/>
        </w:rPr>
        <w:t>Customer Health Bot Application</w:t>
      </w:r>
      <w:r>
        <w:t xml:space="preserve"> means an application or any set of applications that adds primary and significant functionality to the Azure Health Bot Service and that is not primarily a substitute for the Azure Health Bot Service.</w:t>
      </w:r>
    </w:p>
    <w:p>
      <w:pPr>
        <w:pStyle w:val="NormalWeb"/>
        <w:spacing w:before="150"/>
      </w:pPr>
      <w:r>
        <w:rPr>
          <w:rStyle w:val="Strong"/>
        </w:rPr>
        <w:t>Customer Solution</w:t>
      </w:r>
      <w:r>
        <w:t xml:space="preserve"> means any application that the Customer makes available to its end users consisting of Customer's applications and the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whereby Customer's application adds primary and significant functionality and is not primarily a substitute to the </w:t>
      </w:r>
      <w:hyperlink w:anchor="_Toc20"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Customer applications that only provide billing, license management, and/or infrastructure services (e.g., virtual machines, containers, storage, or management for such infrastructure services) do not constitute "primary and significant functionality."</w:t>
      </w:r>
    </w:p>
    <w:p>
      <w:pPr>
        <w:pStyle w:val="NormalWeb"/>
        <w:spacing w:before="150"/>
      </w:pPr>
      <w:r>
        <w:rPr>
          <w:rStyle w:val="Strong"/>
        </w:rPr>
        <w:t>Customize</w:t>
      </w:r>
      <w:r>
        <w:t xml:space="preserve"> when used in connection with large language or multi-modal models, means to expose a model to Customer Data and instruct the model to use that Customer Data so that the model produces tailored Output Content that is more relevant to a specific customer.  When used in connection with Copilots, this is sometimes called "grounding" and the Customer Data used to Customize a model may include information referred to as "grounding data."</w:t>
      </w:r>
    </w:p>
    <w:p>
      <w:pPr>
        <w:pStyle w:val="NormalWeb"/>
        <w:spacing w:before="150"/>
      </w:pPr>
      <w:r>
        <w:rPr>
          <w:rStyle w:val="Strong"/>
        </w:rPr>
        <w:t>Cycle Harvesting Node</w:t>
      </w:r>
      <w:r>
        <w:t xml:space="preserve"> means a device that is not dedicated to running Clustered HPC Applications or job scheduling services for Clustered HPC Applications.</w:t>
      </w:r>
    </w:p>
    <w:p>
      <w:pPr>
        <w:pStyle w:val="NormalWeb"/>
        <w:spacing w:before="150"/>
      </w:pPr>
      <w:r>
        <w:rPr>
          <w:rStyle w:val="Strong"/>
        </w:rPr>
        <w:t>Data Center Provider</w:t>
      </w:r>
      <w:r>
        <w:t xml:space="preserve"> means an entity that provides infrastructure or software services, directly or indirectly, to another service provider. Microsoft may also serve as a Data Center Provider through Microsoft Azure.</w:t>
      </w:r>
    </w:p>
    <w:p>
      <w:pPr>
        <w:pStyle w:val="NormalWeb"/>
        <w:spacing w:before="150"/>
      </w:pPr>
      <w:r>
        <w:rPr>
          <w:rStyle w:val="Strong"/>
        </w:rPr>
        <w:t>Data Protection Addendum (DPA)</w:t>
      </w:r>
      <w:r>
        <w:t xml:space="preserve"> means the Microsoft Products and Services Data Protection Addendum published at </w:t>
      </w:r>
      <w:hyperlink r:id="rId73" w:tgtFrame="_blank" w:history="1">
        <w:r>
          <w:rPr>
            <w:rStyle w:val="Hyperlink"/>
            <w:color w:val="505050"/>
          </w:rPr>
          <w:t>https://aka.ms/DPA</w:t>
        </w:r>
      </w:hyperlink>
      <w:r>
        <w:t>.</w:t>
      </w:r>
    </w:p>
    <w:p>
      <w:pPr>
        <w:pStyle w:val="NormalWeb"/>
        <w:spacing w:before="150"/>
      </w:pPr>
      <w:r>
        <w:rPr>
          <w:rStyle w:val="Strong"/>
        </w:rPr>
        <w:t>Education Qualified User</w:t>
      </w:r>
      <w:r>
        <w:t xml:space="preserve"> means an employee or contractor (except Students) who accesses or uses an Education Platform Product for the benefit of the Institution.</w:t>
      </w:r>
    </w:p>
    <w:p>
      <w:pPr>
        <w:pStyle w:val="NormalWeb"/>
        <w:spacing w:before="150"/>
      </w:pPr>
      <w:r>
        <w:rPr>
          <w:rStyle w:val="Strong"/>
        </w:rPr>
        <w:t>EHR</w:t>
      </w:r>
      <w:r>
        <w:t xml:space="preserve"> means Electronic Health Record.</w:t>
      </w:r>
    </w:p>
    <w:p>
      <w:pPr>
        <w:pStyle w:val="NormalWeb"/>
        <w:spacing w:before="150"/>
      </w:pPr>
      <w:r>
        <w:rPr>
          <w:rStyle w:val="Strong"/>
        </w:rPr>
        <w:t>Embedded Unified Solution</w:t>
      </w:r>
      <w:r>
        <w:t xml:space="preserve"> means a business application developed by Customer's Reseller that the Reseller licenses to Customer that adds significant and primary functionality to an Embedded SL Product.</w:t>
      </w:r>
    </w:p>
    <w:p>
      <w:pPr>
        <w:pStyle w:val="NormalWeb"/>
        <w:spacing w:before="150"/>
      </w:pPr>
      <w:r>
        <w:rPr>
          <w:rStyle w:val="Strong"/>
        </w:rPr>
        <w:t>Encounter Documentation</w:t>
      </w:r>
      <w:r>
        <w:t xml:space="preserve"> means any draft clinical note or other documentation suitable for inclusion in a supported </w:t>
      </w:r>
      <w:hyperlink w:anchor="_Toc20" w:tooltip="EHR means Electronic Health Record." w:history="1">
        <w:r>
          <w:rPr>
            <w:rStyle w:val="Hyperlink"/>
            <w:color w:val="505050"/>
          </w:rPr>
          <w:t>EHR</w:t>
        </w:r>
      </w:hyperlink>
      <w:r>
        <w:t xml:space="preserve"> records system and generated as a result from the </w:t>
      </w:r>
      <w:hyperlink w:anchor="_Toc20"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NormalWeb"/>
        <w:spacing w:before="150"/>
      </w:pPr>
      <w:r>
        <w:rPr>
          <w:rStyle w:val="Strong"/>
        </w:rPr>
        <w:t>External Connector License</w:t>
      </w:r>
      <w:r>
        <w:t xml:space="preserve"> means a License assigned to a Server that permits access to the corresponding version of the server software or earlier versions of the server software by External Users.</w:t>
      </w:r>
    </w:p>
    <w:p>
      <w:pPr>
        <w:pStyle w:val="NormalWeb"/>
        <w:spacing w:before="150"/>
      </w:pPr>
      <w:r>
        <w:rPr>
          <w:rStyle w:val="Strong"/>
        </w:rPr>
        <w:t>External Users</w:t>
      </w:r>
      <w:r>
        <w:t xml:space="preserve"> means users that are not (a) employees of Customer or its Affiliates, (b) contractors or agents that typically work for Customer or its Affiliates for more than 30 hours on average per week, or (c) contractors or agents that typically work onsite for Customer or its Affiliates on each working day.</w:t>
      </w:r>
    </w:p>
    <w:p>
      <w:pPr>
        <w:pStyle w:val="NormalWeb"/>
        <w:spacing w:before="150"/>
      </w:pPr>
      <w:r>
        <w:rPr>
          <w:rStyle w:val="Strong"/>
        </w:rPr>
        <w:t>Fail-over OSE</w:t>
      </w:r>
      <w:r>
        <w:t xml:space="preserve"> means an OSE (or an Azure service) in which passive Instances of the server software are running in anticipation of a fail-over event.</w:t>
      </w:r>
    </w:p>
    <w:p>
      <w:pPr>
        <w:pStyle w:val="NormalWeb"/>
        <w:spacing w:before="150"/>
      </w:pPr>
      <w:r>
        <w:rPr>
          <w:rStyle w:val="Strong"/>
        </w:rPr>
        <w:t>First-Party Consumption Services</w:t>
      </w:r>
      <w:r>
        <w:t xml:space="preserve"> are Microsoft Online Services that are available as Azure meters. These Microsoft services include, but are not limited to, certain Power Platform, Dynamics 365, Microsoft 365 Copilot Chat, Dragon Copilot, and GitHub meters.</w:t>
      </w:r>
    </w:p>
    <w:p>
      <w:pPr>
        <w:pStyle w:val="NormalWeb"/>
        <w:spacing w:before="150"/>
      </w:pPr>
      <w:r>
        <w:rPr>
          <w:rStyle w:val="Strong"/>
        </w:rPr>
        <w:t>Frontline Worker License</w:t>
      </w:r>
      <w:r>
        <w:t xml:space="preserve"> means a license for a Microsoft Product designated with an "F", "FLW", or "Frontline" as identified in the Product Conditions table of product specific terms, which are subject to the Eligibility to Assign Frontline Worker Licenses terms in the Universal License Terms for all Online Services.</w:t>
      </w:r>
    </w:p>
    <w:p>
      <w:pPr>
        <w:pStyle w:val="NormalWeb"/>
        <w:spacing w:before="150"/>
      </w:pPr>
      <w:r>
        <w:rPr>
          <w:rStyle w:val="Strong"/>
        </w:rPr>
        <w:t>GitHub Core Online Services</w:t>
      </w:r>
      <w:r>
        <w:t xml:space="preserve"> means those Online Services listed as GitHub Core Online Services in the GitHub Offerings section.</w:t>
      </w:r>
    </w:p>
    <w:p>
      <w:pPr>
        <w:pStyle w:val="NormalWeb"/>
        <w:spacing w:before="150"/>
      </w:pPr>
      <w:r>
        <w:rPr>
          <w:rStyle w:val="Strong"/>
        </w:rPr>
        <w:t xml:space="preserve">Government Community Cloud (U.S. only) </w:t>
      </w:r>
      <w:r>
        <w:t>means Online Services that are available exclusively to the Community. Use Rights for government community cloud services are equivalent to those of their standard multitenant equivalents unless otherwise noted. Qualifying Online Services are offered as government community cloud services and non-government community cloud services. Customers may be provisioned as one or the other but not a mix of both. Online Services designated as government community cloud may not be deployed in the same domain with specific non-government community cloud services.</w:t>
      </w:r>
    </w:p>
    <w:p>
      <w:pPr>
        <w:pStyle w:val="NormalWeb"/>
        <w:spacing w:before="150"/>
      </w:pPr>
      <w:r>
        <w:rPr>
          <w:rStyle w:val="Strong"/>
        </w:rPr>
        <w:t>Graduate</w:t>
      </w:r>
      <w:r>
        <w:t xml:space="preserve"> means a Student who has (1) completed a grade or a level in a school or an educational institution in the Organization that qualifies the Student for enrollment into college or university or (2) earned a diploma or degree from a college or university in the Organization.</w:t>
      </w:r>
    </w:p>
    <w:p>
      <w:pPr>
        <w:pStyle w:val="NormalWeb"/>
        <w:spacing w:before="150"/>
      </w:pPr>
      <w:r>
        <w:rPr>
          <w:rStyle w:val="Strong"/>
        </w:rPr>
        <w:t>Hardware Thread</w:t>
      </w:r>
      <w:r>
        <w:t xml:space="preserve"> means either a Physical Core or a hyper-thread in a Physical Processor.</w:t>
      </w:r>
    </w:p>
    <w:p>
      <w:pPr>
        <w:pStyle w:val="NormalWeb"/>
        <w:spacing w:before="150"/>
      </w:pPr>
      <w:r>
        <w:rPr>
          <w:rStyle w:val="Strong"/>
        </w:rPr>
        <w:t xml:space="preserve">Healthcare Intended Uses means </w:t>
      </w:r>
      <w:r>
        <w:t xml:space="preserve">use of Dragon Copilot in connection with healthcare encounters (as further described in </w:t>
      </w:r>
      <w:hyperlink r:id="rId191" w:tgtFrame="_blank" w:history="1">
        <w:r>
          <w:rPr>
            <w:rStyle w:val="Hyperlink"/>
            <w:color w:val="505050"/>
          </w:rPr>
          <w:t>https://aka.ms/DragonIntendedUse</w:t>
        </w:r>
      </w:hyperlink>
      <w:r>
        <w:t>).</w:t>
      </w:r>
    </w:p>
    <w:p>
      <w:pPr>
        <w:pStyle w:val="NormalWeb"/>
        <w:spacing w:before="150"/>
      </w:pPr>
      <w:r>
        <w:rPr>
          <w:rStyle w:val="Strong"/>
        </w:rPr>
        <w:t xml:space="preserve">Healthcare Recording </w:t>
      </w:r>
      <w:r>
        <w:t>means all audio recorded or created during, or in connection with, a healthcare encounter captured by Dragon Copilot.</w:t>
      </w:r>
    </w:p>
    <w:p>
      <w:pPr>
        <w:pStyle w:val="NormalWeb"/>
        <w:spacing w:before="150"/>
      </w:pPr>
      <w:r>
        <w:rPr>
          <w:rStyle w:val="Strong"/>
        </w:rPr>
        <w:t>Healthcare Required Authorization</w:t>
      </w:r>
      <w:r>
        <w:t xml:space="preserve"> means any consent required under applicable laws (which may include laws and regulations pertaining to privacy or security of patients or other personal or medical information of individuals or laws pertaining to wiretaps or consents to make recordings) to:  1) collect, capture, make and/or store </w:t>
      </w:r>
      <w:hyperlink w:anchor="_Toc20" w:tooltip="Healthcare Recording means all audio recorded or created during, or in connection with, a healthcare encounter captured by Dragon Copilot." w:history="1">
        <w:r>
          <w:rPr>
            <w:rStyle w:val="Hyperlink"/>
            <w:color w:val="505050"/>
          </w:rPr>
          <w:t>Healthcare Recordings</w:t>
        </w:r>
      </w:hyperlink>
      <w:r>
        <w:t xml:space="preserve">; and 2) use or disclose a </w:t>
      </w:r>
      <w:hyperlink w:anchor="_Toc20" w:tooltip="Healthcare Recording means all audio recorded or created during, or in connection with, a healthcare encounter captured by Dragon Copilot." w:history="1">
        <w:r>
          <w:rPr>
            <w:rStyle w:val="Hyperlink"/>
            <w:color w:val="505050"/>
          </w:rPr>
          <w:t>Healthcare Recording</w:t>
        </w:r>
      </w:hyperlink>
      <w:r>
        <w:t xml:space="preserve"> or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or </w:t>
      </w:r>
      <w:hyperlink w:anchor="_Toc20" w:tooltip="Personal Data means any information relating to an identified or identifiable natural person." w:history="1">
        <w:r>
          <w:rPr>
            <w:rStyle w:val="Hyperlink"/>
            <w:color w:val="505050"/>
          </w:rPr>
          <w:t>Personal Data</w:t>
        </w:r>
      </w:hyperlink>
      <w:r>
        <w:t xml:space="preserve"> as permitted under Customer's volume licensing agreement.</w:t>
      </w:r>
    </w:p>
    <w:p>
      <w:pPr>
        <w:pStyle w:val="NormalWeb"/>
        <w:spacing w:before="150"/>
      </w:pPr>
      <w:r>
        <w:rPr>
          <w:rStyle w:val="Strong"/>
        </w:rPr>
        <w:t>High Performance Computing (HPC) Workload</w:t>
      </w:r>
      <w:r>
        <w:t xml:space="preserve"> means a workload where the server software is used to run a Cluster Node and is used in conjunction with other software as necessary to permit security, storage, performance enhancement and systems management on a Cluster Node for the purpose of supporting the Clustered HPC Applications.</w:t>
      </w:r>
    </w:p>
    <w:p>
      <w:pPr>
        <w:pStyle w:val="NormalWeb"/>
        <w:spacing w:before="150"/>
      </w:pPr>
      <w:r>
        <w:rPr>
          <w:rStyle w:val="Strong"/>
        </w:rPr>
        <w:t xml:space="preserve">Input </w:t>
      </w:r>
      <w:r>
        <w:t>means all Customer Data that Customer provides, designates, selects, or inputs for use by a generative artificial intelligence technology to generate or Customize an output.</w:t>
      </w:r>
    </w:p>
    <w:p>
      <w:pPr>
        <w:pStyle w:val="NormalWeb"/>
        <w:spacing w:before="150"/>
      </w:pPr>
      <w:r>
        <w:rPr>
          <w:rStyle w:val="Strong"/>
        </w:rPr>
        <w:t xml:space="preserve">Instance </w:t>
      </w:r>
      <w:r>
        <w:t>means an image of software that is created by executing the software's setup or install procedure or by duplicating an existing Instance.</w:t>
      </w:r>
    </w:p>
    <w:p>
      <w:pPr>
        <w:pStyle w:val="NormalWeb"/>
        <w:spacing w:before="150"/>
      </w:pPr>
      <w:r>
        <w:rPr>
          <w:rStyle w:val="Strong"/>
        </w:rPr>
        <w:t>IoT Device</w:t>
      </w:r>
      <w:r>
        <w:t xml:space="preserve"> means a computing device that (i) is designed or configured for use primarily with an industry- or task-specific software program that provides the primary functionality of the computing device ("IoT Program"), (ii) uses equal to or less than 16 physical cores, and (iii) is not designed to be marketed or primarily used as a multi-functional Server, or a commercially viable substitute for a multi-functional Server.</w:t>
      </w:r>
    </w:p>
    <w:p>
      <w:pPr>
        <w:pStyle w:val="NormalWeb"/>
        <w:spacing w:before="150"/>
      </w:pPr>
      <w:r>
        <w:rPr>
          <w:rStyle w:val="Strong"/>
        </w:rPr>
        <w:t xml:space="preserve">Knowledge Worker </w:t>
      </w:r>
      <w:r>
        <w:t>means  any employee (including a Student employee), contractor, or volunteer of or for the Institution who uses a Product or Qualified Device for the benefit of the institution or within the user's relationship with the Institution.  This definition does not include users of any listed software product or online service as excluded from the definition of Knowledge Worker.</w:t>
      </w:r>
    </w:p>
    <w:p>
      <w:pPr>
        <w:pStyle w:val="NormalWeb"/>
        <w:spacing w:before="150"/>
      </w:pPr>
      <w:r>
        <w:rPr>
          <w:rStyle w:val="Strong"/>
        </w:rPr>
        <w:t xml:space="preserve">License </w:t>
      </w:r>
      <w:r>
        <w:t>means the right to download, install, access and use a Product.</w:t>
      </w:r>
    </w:p>
    <w:p>
      <w:pPr>
        <w:pStyle w:val="NormalWeb"/>
        <w:spacing w:before="150"/>
      </w:pPr>
      <w:r>
        <w:rPr>
          <w:rStyle w:val="Strong"/>
        </w:rPr>
        <w:t>Licensed Device</w:t>
      </w:r>
      <w:r>
        <w:t xml:space="preserve"> means a single physical hardware system to which a License is assigned. Devices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device.</w:t>
      </w:r>
    </w:p>
    <w:p>
      <w:pPr>
        <w:pStyle w:val="NormalWeb"/>
        <w:spacing w:before="150"/>
      </w:pPr>
      <w:r>
        <w:rPr>
          <w:rStyle w:val="Strong"/>
        </w:rPr>
        <w:t xml:space="preserve">Licensed Server </w:t>
      </w:r>
      <w:r>
        <w:t xml:space="preserve">means a single Server to which a License is assigned. Servers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Server.</w:t>
      </w:r>
    </w:p>
    <w:p>
      <w:pPr>
        <w:pStyle w:val="NormalWeb"/>
        <w:spacing w:before="150"/>
      </w:pPr>
      <w:r>
        <w:rPr>
          <w:rStyle w:val="Strong"/>
        </w:rPr>
        <w:t>Licensed User</w:t>
      </w:r>
      <w:r>
        <w:t xml:space="preserve"> means the single person to whom a License is assigned.</w:t>
      </w:r>
    </w:p>
    <w:p>
      <w:pPr>
        <w:pStyle w:val="NormalWeb"/>
        <w:spacing w:before="150"/>
      </w:pPr>
      <w:r>
        <w:rPr>
          <w:rStyle w:val="Strong"/>
        </w:rPr>
        <w:t xml:space="preserve">License Mobility through Software Assurance Partner </w:t>
      </w:r>
      <w:r>
        <w:t xml:space="preserve">means an entity identified at </w:t>
      </w:r>
      <w:hyperlink r:id="rId192" w:tgtFrame="_blank" w:history="1">
        <w:r>
          <w:rPr>
            <w:rStyle w:val="Hyperlink"/>
            <w:color w:val="505050"/>
          </w:rPr>
          <w:t>https://www.microsoft.com/en-us/licensing/licensing-programs/software-assurance-license-mobility</w:t>
        </w:r>
      </w:hyperlink>
      <w:r>
        <w:t xml:space="preserve"> and authorized by Microsoft to host customers' software on shared servers.</w:t>
      </w:r>
    </w:p>
    <w:p>
      <w:pPr>
        <w:pStyle w:val="NormalWeb"/>
        <w:spacing w:before="150"/>
      </w:pPr>
      <w:r>
        <w:rPr>
          <w:rStyle w:val="Strong"/>
        </w:rPr>
        <w:t>Licensing Site</w:t>
      </w:r>
      <w:r>
        <w:t xml:space="preserve"> means </w:t>
      </w:r>
      <w:hyperlink r:id="rId193" w:tgtFrame="_blank" w:history="1">
        <w:r>
          <w:rPr>
            <w:rStyle w:val="Hyperlink"/>
            <w:color w:val="505050"/>
          </w:rPr>
          <w:t>http://www.microsoft.com/licensing/contracts</w:t>
        </w:r>
      </w:hyperlink>
      <w:r>
        <w:t xml:space="preserve"> or a successor site.</w:t>
      </w:r>
    </w:p>
    <w:p>
      <w:pPr>
        <w:pStyle w:val="NormalWeb"/>
        <w:spacing w:before="150"/>
      </w:pPr>
      <w:r>
        <w:rPr>
          <w:rStyle w:val="Strong"/>
        </w:rPr>
        <w:t>Listed Providers</w:t>
      </w:r>
      <w:r>
        <w:t xml:space="preserve"> include entities identified by Microsoft at </w:t>
      </w:r>
      <w:hyperlink r:id="rId194" w:tgtFrame="_blank" w:history="1">
        <w:r>
          <w:rPr>
            <w:rStyle w:val="Hyperlink"/>
            <w:color w:val="505050"/>
          </w:rPr>
          <w:t>http://aka.ms/listedproviders</w:t>
        </w:r>
      </w:hyperlink>
      <w:r>
        <w:t xml:space="preserve">. Microsoft may identify additional Listed Providers at </w:t>
      </w:r>
      <w:hyperlink r:id="rId194" w:tgtFrame="_blank" w:history="1">
        <w:r>
          <w:rPr>
            <w:rStyle w:val="Hyperlink"/>
            <w:color w:val="505050"/>
          </w:rPr>
          <w:t>http://aka.ms/listedproviders</w:t>
        </w:r>
      </w:hyperlink>
      <w:r>
        <w:t xml:space="preserve"> from time to time; however, if Customer is using an outsourcer at the time its Authorized Outsourcer status is terminated, then Customer may temporarily continue to use the same entity in its former Authorized Outsourcer capacity for one year from the date of that change in status.</w:t>
      </w:r>
    </w:p>
    <w:p>
      <w:pPr>
        <w:pStyle w:val="NormalWeb"/>
        <w:spacing w:before="150"/>
      </w:pPr>
      <w:r>
        <w:rPr>
          <w:rStyle w:val="Strong"/>
        </w:rPr>
        <w:t>Management License (ML)</w:t>
      </w:r>
      <w:r>
        <w:t xml:space="preserve"> means a License that permits management of one or more OSEs by the corresponding version of the server software or any earlier version of the server software. There are two categories of Management Licenses: Server Management License and Client Management License. There are three types of Client Management Licenses: User, OSE and device. A User Management License permits management of any OSE accessed by one user; an OSE Management License permits management of one OSE accessed by any user; a device Management License (Core CAL or Enterprise CAL Suite) permits management of any OSE on one device.</w:t>
      </w:r>
    </w:p>
    <w:p>
      <w:pPr>
        <w:pStyle w:val="NormalWeb"/>
        <w:spacing w:before="150"/>
      </w:pPr>
      <w:r>
        <w:rPr>
          <w:rStyle w:val="Strong"/>
        </w:rPr>
        <w:t>Management License Equivalent License</w:t>
      </w:r>
      <w:r>
        <w:t xml:space="preserve"> means a User SL identified in a Product's "Management License" table, or a CAL suite or SL, as identified in </w:t>
      </w:r>
      <w:hyperlink r:id="rId109" w:history="1">
        <w:r>
          <w:rPr>
            <w:rStyle w:val="Hyperlink"/>
            <w:color w:val="505050"/>
          </w:rPr>
          <w:t>CAL and ML Equivalency Licenses</w:t>
        </w:r>
      </w:hyperlink>
      <w:r>
        <w:t>, as applicable. A CAL suite is a Management License Equivalent License only if Customer purchased the license after the Server Products' Date Available or if Customer had active SA coverage as the Date Available.</w:t>
      </w:r>
    </w:p>
    <w:p>
      <w:pPr>
        <w:pStyle w:val="NormalWeb"/>
        <w:spacing w:before="150"/>
      </w:pPr>
      <w:r>
        <w:rPr>
          <w:rStyle w:val="Strong"/>
        </w:rPr>
        <w:t xml:space="preserve">Managing an OSE </w:t>
      </w:r>
      <w:r>
        <w:t>means to solicit or receive data about, configure, or give instructions to the hardware or software that is directly or indirectly associated with the OSE. It does not include discovering the presence of a device or OSE.</w:t>
      </w:r>
    </w:p>
    <w:p>
      <w:pPr>
        <w:pStyle w:val="NormalWeb"/>
        <w:spacing w:before="150"/>
      </w:pPr>
      <w:r>
        <w:rPr>
          <w:rStyle w:val="Strong"/>
        </w:rPr>
        <w:t>Metaprompts</w:t>
      </w:r>
      <w:r>
        <w:t xml:space="preserve"> means instructions coded into a Microsoft Generative AI Service that provide directions to the service for generating Output Content.</w:t>
      </w:r>
    </w:p>
    <w:p>
      <w:pPr>
        <w:pStyle w:val="NormalWeb"/>
        <w:spacing w:before="150"/>
      </w:pPr>
      <w:r>
        <w:rPr>
          <w:rStyle w:val="Strong"/>
        </w:rPr>
        <w:t>Microsoft AI Service</w:t>
      </w:r>
      <w:r>
        <w:t xml:space="preserve"> means an Online Service or feature thereof that uses artificial intelligence technologies, including any Microsoft Generative AI Service.</w:t>
      </w:r>
    </w:p>
    <w:p>
      <w:pPr>
        <w:pStyle w:val="NormalWeb"/>
        <w:spacing w:before="150"/>
      </w:pPr>
      <w:r>
        <w:rPr>
          <w:rStyle w:val="Strong"/>
        </w:rPr>
        <w:t>Microsoft Azure Services</w:t>
      </w:r>
      <w:r>
        <w:t xml:space="preserve"> means the Microsoft services and features identified at </w:t>
      </w:r>
      <w:hyperlink r:id="rId195" w:tgtFrame="_blank" w:history="1">
        <w:r>
          <w:rPr>
            <w:rStyle w:val="Hyperlink"/>
            <w:color w:val="505050"/>
          </w:rPr>
          <w:t>http://azure.microsoft.com/services/</w:t>
        </w:r>
      </w:hyperlink>
      <w:r>
        <w:t>, except those identified in the Product Terms as Microsoft Azure User Plans, or Microsoft Azure Support Plans. "Microsoft Azure Services" includes any open source components incorporated by Microsoft in those services and features.</w:t>
      </w:r>
    </w:p>
    <w:p>
      <w:pPr>
        <w:pStyle w:val="NormalWeb"/>
        <w:spacing w:before="150"/>
      </w:pPr>
      <w:r>
        <w:rPr>
          <w:rStyle w:val="Strong"/>
        </w:rPr>
        <w:t>Microsoft Azure Services Plan</w:t>
      </w:r>
      <w:r>
        <w:t xml:space="preserve"> means a subscription to one of the individual Microsoft Azure Services identified in the Product Terms as Microsoft Azure User Plans, or Microsoft Azure Support Plans.</w:t>
      </w:r>
    </w:p>
    <w:p>
      <w:pPr>
        <w:pStyle w:val="NormalWeb"/>
        <w:spacing w:before="150"/>
      </w:pPr>
      <w:r>
        <w:rPr>
          <w:rStyle w:val="Strong"/>
        </w:rPr>
        <w:t xml:space="preserve">Microsoft Generative AI Service </w:t>
      </w:r>
      <w:r>
        <w:t>means an Online Service or feature thereof that uses generative artificial intelligence technologies to generate outputs.</w:t>
      </w:r>
    </w:p>
    <w:p>
      <w:pPr>
        <w:pStyle w:val="NormalWeb"/>
        <w:spacing w:before="150"/>
      </w:pPr>
      <w:r>
        <w:rPr>
          <w:rStyle w:val="Strong"/>
        </w:rPr>
        <w:t>Microsoft Translator</w:t>
      </w:r>
      <w:r>
        <w:t xml:space="preserve"> means Translator Text API and/or Translator Speech API offered by Microsoft as a cloud based machine translation service.</w:t>
      </w:r>
    </w:p>
    <w:p>
      <w:pPr>
        <w:pStyle w:val="NormalWeb"/>
        <w:spacing w:before="150"/>
      </w:pPr>
      <w:r>
        <w:rPr>
          <w:rStyle w:val="Strong"/>
        </w:rPr>
        <w:t>(no Teams) Suites</w:t>
      </w:r>
      <w:r>
        <w:t xml:space="preserve"> are the functionality corresponding suites to Covered Suites that exclude Microsoft Teams.</w:t>
      </w:r>
    </w:p>
    <w:p>
      <w:pPr>
        <w:pStyle w:val="NormalWeb"/>
        <w:spacing w:before="150"/>
      </w:pPr>
      <w:r>
        <w:rPr>
          <w:rStyle w:val="Strong"/>
        </w:rPr>
        <w:t>Network Server</w:t>
      </w:r>
      <w:r>
        <w:t xml:space="preserve"> means a physical hardware server that provides resource assistant to computers in a network. Any Server that is under the management or control of an entity other than Customer or one of its Affiliates is subject to the Outsourcing Software Management clause in the Universal License Terms.</w:t>
      </w:r>
    </w:p>
    <w:p>
      <w:pPr>
        <w:pStyle w:val="NormalWeb"/>
        <w:spacing w:before="150"/>
      </w:pPr>
      <w:r>
        <w:rPr>
          <w:rStyle w:val="Strong"/>
        </w:rPr>
        <w:t xml:space="preserve">Nuance Speech Data means </w:t>
      </w:r>
      <w:r>
        <w:t xml:space="preserve">Customer's speech data and any associated </w:t>
      </w:r>
      <w:hyperlink w:anchor="_Toc20" w:tooltip="Personal Data means any information relating to an identified or identifiable natural person." w:history="1">
        <w:r>
          <w:rPr>
            <w:rStyle w:val="Hyperlink"/>
            <w:color w:val="505050"/>
          </w:rPr>
          <w:t>Personal Data</w:t>
        </w:r>
      </w:hyperlink>
      <w:r>
        <w:t xml:space="preserve"> processed by Nuance in connection with Customer's use of Dragon Medical One and/or DAX Copilot.</w:t>
      </w:r>
    </w:p>
    <w:p>
      <w:pPr>
        <w:pStyle w:val="NormalWeb"/>
        <w:spacing w:before="150"/>
      </w:pPr>
      <w:r>
        <w:rPr>
          <w:rStyle w:val="Strong"/>
        </w:rPr>
        <w:t>Non-Microsoft</w:t>
      </w:r>
      <w:r>
        <w:t xml:space="preserve"> </w:t>
      </w:r>
      <w:r>
        <w:rPr>
          <w:rStyle w:val="Strong"/>
        </w:rPr>
        <w:t>Product</w:t>
      </w:r>
      <w:r>
        <w:t xml:space="preserve"> means any third-party-branded software, data, service, website or product, unless incorporated by Microsoft in an Online Service.</w:t>
      </w:r>
    </w:p>
    <w:p>
      <w:pPr>
        <w:pStyle w:val="NormalWeb"/>
        <w:spacing w:before="150"/>
      </w:pPr>
      <w:r>
        <w:rPr>
          <w:rStyle w:val="Strong"/>
        </w:rPr>
        <w:t>Online Service</w:t>
      </w:r>
      <w:r>
        <w:t xml:space="preserve"> means a Microsoft-hosted service to which Customer subscribes under a Microsoft volume licensing agreement, including any service identified in the Online Services section of the Product Terms. It does not include software and services provided under separate license terms (such as via gallery, marketplace, console, or dialog). </w:t>
      </w:r>
    </w:p>
    <w:p>
      <w:pPr>
        <w:pStyle w:val="NormalWeb"/>
        <w:spacing w:before="150"/>
      </w:pPr>
      <w:r>
        <w:rPr>
          <w:rStyle w:val="Strong"/>
        </w:rPr>
        <w:t>Operating System Environment (OSE)</w:t>
      </w:r>
      <w:r>
        <w:t xml:space="preserve"> means all or part of an operating system Instance, or all or part of a virtual (or otherwise emulated) operating system Instance which enables separate machine identity (primary computer name or similar unique identifier) or separate administrative rights, and instances of applications, if any, configured to run on the operating system Instance or parts identified above. A physical hardware system can have one Physical OSE and/or one or more Virtual OSEs.</w:t>
      </w:r>
    </w:p>
    <w:p>
      <w:pPr>
        <w:pStyle w:val="NormalWeb"/>
        <w:spacing w:before="150"/>
      </w:pPr>
      <w:r>
        <w:rPr>
          <w:rStyle w:val="Strong"/>
        </w:rPr>
        <w:t xml:space="preserve">Output Content </w:t>
      </w:r>
      <w:r>
        <w:t xml:space="preserve">means any data, text, sound, video, image, code, or other content generated by a </w:t>
      </w:r>
      <w:hyperlink w:anchor="_Toc20"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in response to </w:t>
      </w:r>
      <w:hyperlink w:anchor="_Toc20" w:tooltip="Input means all Customer Data that Customer provides, designates, selects, or inputs for use by a generative artificial intelligence technology to generate or Customize an output." w:history="1">
        <w:r>
          <w:rPr>
            <w:rStyle w:val="Hyperlink"/>
            <w:color w:val="505050"/>
          </w:rPr>
          <w:t>Input</w:t>
        </w:r>
      </w:hyperlink>
      <w:r>
        <w:t>.</w:t>
      </w:r>
    </w:p>
    <w:p>
      <w:pPr>
        <w:pStyle w:val="NormalWeb"/>
        <w:spacing w:before="150"/>
      </w:pPr>
      <w:r>
        <w:rPr>
          <w:rStyle w:val="Strong"/>
        </w:rPr>
        <w:t>Personal Data</w:t>
      </w:r>
      <w:r>
        <w:t xml:space="preserve"> means any information relating to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pStyle w:val="NormalWeb"/>
        <w:spacing w:before="150"/>
      </w:pPr>
      <w:r>
        <w:rPr>
          <w:rStyle w:val="Strong"/>
        </w:rPr>
        <w:t>Physical Core</w:t>
      </w:r>
      <w:r>
        <w:t xml:space="preserve"> means a core in a Physical Processor.</w:t>
      </w:r>
    </w:p>
    <w:p>
      <w:pPr>
        <w:pStyle w:val="NormalWeb"/>
        <w:spacing w:before="150"/>
      </w:pPr>
      <w:r>
        <w:rPr>
          <w:rStyle w:val="Strong"/>
        </w:rPr>
        <w:t>Physical OSE</w:t>
      </w:r>
      <w:r>
        <w:t xml:space="preserve"> means an OSE that is configured to run directly on a physical hardware system. The operating system Instance used to run hardware virtualization software or to provide hardware virtualization services is considered part of the Physical OSE.</w:t>
      </w:r>
    </w:p>
    <w:p>
      <w:pPr>
        <w:pStyle w:val="NormalWeb"/>
        <w:spacing w:before="150"/>
      </w:pPr>
      <w:r>
        <w:rPr>
          <w:rStyle w:val="Strong"/>
        </w:rPr>
        <w:t xml:space="preserve">Physical Processor </w:t>
      </w:r>
      <w:r>
        <w:t>means a processor in a physical hardware system.</w:t>
      </w:r>
    </w:p>
    <w:p>
      <w:pPr>
        <w:pStyle w:val="NormalWeb"/>
        <w:spacing w:before="150"/>
      </w:pPr>
      <w:r>
        <w:rPr>
          <w:rStyle w:val="Strong"/>
        </w:rPr>
        <w:t>Previews</w:t>
      </w:r>
      <w:r>
        <w:t xml:space="preserve"> means a preview, beta or pre-release feature, service, software (including supplemental software), or data center location offered by Microsoft for evaluation.</w:t>
      </w:r>
    </w:p>
    <w:p>
      <w:pPr>
        <w:pStyle w:val="NormalWeb"/>
        <w:spacing w:before="150"/>
      </w:pPr>
      <w:r>
        <w:rPr>
          <w:rStyle w:val="Strong"/>
        </w:rPr>
        <w:t>Primary User</w:t>
      </w:r>
      <w:r>
        <w:t xml:space="preserve"> means the user who uses a Licensed Device more than 50% of the time in any 90 day period.</w:t>
      </w:r>
    </w:p>
    <w:p>
      <w:pPr>
        <w:pStyle w:val="NormalWeb"/>
        <w:spacing w:before="150"/>
      </w:pPr>
      <w:r>
        <w:rPr>
          <w:rStyle w:val="Strong"/>
        </w:rPr>
        <w:t>Primary Workload</w:t>
      </w:r>
      <w:r>
        <w:t xml:space="preserve"> means either an OSE in which Instances of the server software are running under the "Use Rights" section of a product entry or an Azure service.</w:t>
      </w:r>
    </w:p>
    <w:p>
      <w:pPr>
        <w:pStyle w:val="NormalWeb"/>
        <w:spacing w:before="150"/>
      </w:pPr>
      <w:r>
        <w:rPr>
          <w:rStyle w:val="Strong"/>
        </w:rPr>
        <w:t>Production Environment</w:t>
      </w:r>
      <w:r>
        <w:t xml:space="preserve"> means any Physical or Virtual OSE running a production workload or accessing production data, or Physical OSE hosting one or more Virtual OSEs running production workloads or accessing production data.</w:t>
      </w:r>
    </w:p>
    <w:p>
      <w:pPr>
        <w:pStyle w:val="NormalWeb"/>
        <w:spacing w:before="150"/>
      </w:pPr>
      <w:r>
        <w:rPr>
          <w:rStyle w:val="Strong"/>
        </w:rPr>
        <w:t>Professional Services</w:t>
      </w:r>
      <w:r>
        <w:t xml:space="preserve"> means Microsoft technical support services and Microsoft consulting services (e.g., for data migration) provided to Customer. "Professional Services" does not include Products.</w:t>
      </w:r>
    </w:p>
    <w:p>
      <w:pPr>
        <w:pStyle w:val="NormalWeb"/>
        <w:spacing w:before="150"/>
      </w:pPr>
      <w:r>
        <w:rPr>
          <w:rStyle w:val="Strong"/>
        </w:rPr>
        <w:t>Professional Services Data</w:t>
      </w:r>
      <w:r>
        <w:t xml:space="preserve"> means all data, including all text, sound, video, image files or software, that are provided to Microsoft, by or on behalf of a Customer (or that Customer authorizes Microsoft to obtain from a Product) or otherwise obtained or processed by or on behalf of Microsoft through an engagement with Microsoft to obtain Professional Services.</w:t>
      </w:r>
    </w:p>
    <w:p>
      <w:pPr>
        <w:pStyle w:val="NormalWeb"/>
        <w:spacing w:before="150"/>
      </w:pPr>
      <w:r>
        <w:rPr>
          <w:rStyle w:val="Strong"/>
        </w:rPr>
        <w:t>Qualifying Third Party Device</w:t>
      </w:r>
      <w:r>
        <w:t xml:space="preserve"> means a device that is not controlled, directly or indirectly, by Customer or its Affiliates (e.g., a third party's public kiosk).</w:t>
      </w:r>
    </w:p>
    <w:p>
      <w:pPr>
        <w:pStyle w:val="NormalWeb"/>
        <w:spacing w:before="150"/>
      </w:pPr>
      <w:r>
        <w:rPr>
          <w:rStyle w:val="Strong"/>
        </w:rPr>
        <w:t>Running Instance</w:t>
      </w:r>
      <w:r>
        <w:t xml:space="preserve"> means an Instance of software that is loaded into memory and for which one or more instructions have been executed. (Customer "Runs an Instance" of software by loading it into memory and executing one or more of its instructions.) Once running, an Instance is considered to be running (whether or not its instructions continue to execute) until it is removed from memory.</w:t>
      </w:r>
    </w:p>
    <w:p>
      <w:pPr>
        <w:pStyle w:val="NormalWeb"/>
        <w:spacing w:before="150"/>
      </w:pPr>
      <w:r>
        <w:rPr>
          <w:rStyle w:val="Strong"/>
        </w:rPr>
        <w:t>Services Deliverables</w:t>
      </w:r>
      <w:r>
        <w:t xml:space="preserve"> means any computer code or materials (including without limitation proofs of concept, documentation and design recommendations, sample code, software libraries, algorithms and machine learning models) other than Products or Fixes that Microsoft leaves with Customer at the conclusion of Microsoft's performance of Professional Services.</w:t>
      </w:r>
    </w:p>
    <w:p>
      <w:pPr>
        <w:pStyle w:val="NormalWeb"/>
        <w:spacing w:before="150"/>
      </w:pPr>
      <w:r>
        <w:rPr>
          <w:rStyle w:val="Strong"/>
        </w:rPr>
        <w:t>SL</w:t>
      </w:r>
      <w:r>
        <w:t xml:space="preserve"> means subscription License that allows access to software or a hosted service for a defined period of time.</w:t>
      </w:r>
    </w:p>
    <w:p>
      <w:pPr>
        <w:pStyle w:val="NormalWeb"/>
        <w:spacing w:before="150"/>
      </w:pPr>
      <w:r>
        <w:rPr>
          <w:rStyle w:val="Strong"/>
        </w:rPr>
        <w:t>Server</w:t>
      </w:r>
      <w:r>
        <w:t xml:space="preserve"> means a physical hardware system capable of running server software.</w:t>
      </w:r>
    </w:p>
    <w:p>
      <w:pPr>
        <w:pStyle w:val="NormalWeb"/>
        <w:spacing w:before="150"/>
      </w:pPr>
      <w:r>
        <w:rPr>
          <w:rStyle w:val="Strong"/>
        </w:rPr>
        <w:t>Server Farm</w:t>
      </w:r>
      <w:r>
        <w:t xml:space="preserve"> means a single data center or two data centers each physically located either in time zones not more than four hours apart, or within the EU or EFTA. A data center can be moved from one Server Farm to another, but not on a short-term basis. (EU is European Union; EFTA is European Free Trade Association).</w:t>
      </w:r>
    </w:p>
    <w:p>
      <w:pPr>
        <w:pStyle w:val="NormalWeb"/>
        <w:spacing w:before="150"/>
      </w:pPr>
      <w:r>
        <w:rPr>
          <w:rStyle w:val="Strong"/>
        </w:rPr>
        <w:t>Standard</w:t>
      </w:r>
      <w:r>
        <w:t xml:space="preserve"> means any technology specification created by an organization, consortium, trade association, special interest group, or similar entity whose activities include producing or promoting technology specifications meant for widespread adoption.  Standards include, but are not limited to: any version of MPEG-2, MPEG-4 Visual/MPEG-4 Part 2, VC-1, MPEG-4 Part 10/H.264, MPEG-H Part 2/H.265, MPEG-I Part 3/H.266, AAC, HDCP, HDMI, DisplayPort, DivX, JPEG, MJPEG, AC-3/Dolby Digital, AC-4/Dolby Digital Plus, DTS, Dolby TrueHD, DTS-HD, VP8, VP9, AV1, AMR-NB, AMR-WB, EVS, IEEE 802.11[x] (aka WiFi), IEEE 802.16 (aka Wi-MAX), UMTS, EDGE, GPRS, GSM, CDMA, TD-SCDMA, WCDMA, HSxPA, LTE, 2G, 3G, 4G, 5G, Bluetooth (aka IEEE 802.15.1) and their predecessors and successors.</w:t>
      </w:r>
    </w:p>
    <w:p>
      <w:pPr>
        <w:pStyle w:val="NormalWeb"/>
        <w:spacing w:before="150"/>
      </w:pPr>
      <w:r>
        <w:rPr>
          <w:rStyle w:val="Strong"/>
        </w:rPr>
        <w:t>Step-up</w:t>
      </w:r>
      <w:r>
        <w:t xml:space="preserve"> means a license purchased in addition to (and associated with) a previously acquired base license. For any Step-up User SL not appearing individually in the Product Terms, the license terms applicable to the equivalent full User SL apply.</w:t>
      </w:r>
    </w:p>
    <w:p>
      <w:pPr>
        <w:pStyle w:val="NormalWeb"/>
        <w:spacing w:before="150"/>
      </w:pPr>
      <w:r>
        <w:rPr>
          <w:rStyle w:val="Strong"/>
        </w:rPr>
        <w:t>Student</w:t>
      </w:r>
      <w:r>
        <w:t xml:space="preserve"> means any individual enrolled in any educational institution that is part of Institution's Organization whether on a full-time or part-time basis.</w:t>
      </w:r>
    </w:p>
    <w:p>
      <w:pPr>
        <w:pStyle w:val="NormalWeb"/>
        <w:spacing w:before="150"/>
      </w:pPr>
      <w:r>
        <w:rPr>
          <w:rStyle w:val="Strong"/>
        </w:rPr>
        <w:t>Student Qualified Device</w:t>
      </w:r>
      <w:r>
        <w:t xml:space="preserve"> means a Qualified Device owned, leased, or controlled by a Student or owned, leased, or controlled by the Organization and assigned for individual, dedicated use by a Student.</w:t>
      </w:r>
    </w:p>
    <w:p>
      <w:pPr>
        <w:pStyle w:val="NormalWeb"/>
        <w:spacing w:before="150"/>
      </w:pPr>
      <w:r>
        <w:rPr>
          <w:rStyle w:val="Strong"/>
        </w:rPr>
        <w:t>Subprocessor</w:t>
      </w:r>
      <w:r>
        <w:t xml:space="preserve"> means other processors used by Microsoft to process data.</w:t>
      </w:r>
    </w:p>
    <w:p>
      <w:pPr>
        <w:pStyle w:val="NormalWeb"/>
        <w:spacing w:before="150"/>
      </w:pPr>
      <w:r>
        <w:rPr>
          <w:rStyle w:val="Strong"/>
        </w:rPr>
        <w:t>Telecommunication Service Providers</w:t>
      </w:r>
      <w:r>
        <w:t xml:space="preserve"> are entities that provide communications services, telephony services, voice or data transmission services, and wireless prepaid services.</w:t>
      </w:r>
    </w:p>
    <w:p>
      <w:pPr>
        <w:pStyle w:val="NormalWeb"/>
        <w:spacing w:before="150"/>
      </w:pPr>
      <w:r>
        <w:rPr>
          <w:rStyle w:val="Strong"/>
        </w:rPr>
        <w:t>Unique Committer</w:t>
      </w:r>
      <w:r>
        <w:t xml:space="preserve"> is a Licensed User of GitHub Enterprise/Azure DevOps or an offering that includes GitHub Enterprise/Azure DevOps who has made a commit in the last 90 days to any repository with any GitHub Advanced Security functionality activated.</w:t>
      </w:r>
    </w:p>
    <w:p>
      <w:pPr>
        <w:pStyle w:val="NormalWeb"/>
        <w:spacing w:before="150"/>
      </w:pPr>
      <w:r>
        <w:rPr>
          <w:rStyle w:val="Strong"/>
        </w:rPr>
        <w:t>Virtual Core</w:t>
      </w:r>
      <w:r>
        <w:t xml:space="preserve"> means the unit of processing power in a virtual hardware system. A Virtual Core is the virtual representation of one or more hardware threads.</w:t>
      </w:r>
    </w:p>
    <w:p>
      <w:pPr>
        <w:pStyle w:val="NormalWeb"/>
        <w:spacing w:before="150"/>
      </w:pPr>
      <w:r>
        <w:rPr>
          <w:rStyle w:val="Strong"/>
        </w:rPr>
        <w:t>Virtual OSE</w:t>
      </w:r>
      <w:r>
        <w:t xml:space="preserve"> means an OSE that is configured to run on a virtual hardware system.</w:t>
      </w:r>
    </w:p>
    <w:p>
      <w:pPr>
        <w:pStyle w:val="NormalWeb"/>
        <w:spacing w:before="150"/>
      </w:pPr>
      <w:r>
        <w:rPr>
          <w:rStyle w:val="Strong"/>
        </w:rPr>
        <w:t>Web Workload</w:t>
      </w:r>
      <w:r>
        <w:t xml:space="preserve"> (also referred to as "Internet Web Solutions") are publicly available web pages, websites, web applications, web services, and/or POP3 mail serving. For clarity, access to content, information, and applications served by the software within an Internet Web Solution is not limited to Customer's or its affiliates' employees.  Software in Internet Web Solutions is used to run:</w:t>
      </w:r>
    </w:p>
    <w:p>
      <w:pPr>
        <w:numPr>
          <w:ilvl w:val="0"/>
          <w:numId w:val="11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web server software (for example, Microsoft Internet Information Services), and management or security agents (for example, the System Center Operations Manager agent);</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engine software (for example, Microsoft SQL Server) solely to support Internet Web Solutions; or</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Domain Name System (DNS) service to provide resolution of Internet names to IP addresses as long as that is not the sole function of that instance of the software.</w:t>
      </w:r>
    </w:p>
    <w:p>
      <w:pPr>
        <w:pStyle w:val="NormalWeb"/>
        <w:spacing w:before="150"/>
      </w:pPr>
      <w:r>
        <w:rPr>
          <w:rStyle w:val="Strong"/>
        </w:rPr>
        <w:t xml:space="preserve">Windows Server Container with Hyper-V isolation </w:t>
      </w:r>
      <w:r>
        <w:t>(formerly known as, Hyper-V Container) is a container technology in Windows Server which utilizes a virtual operating system environment to host one or more Windows Server Container(s). Each Hyper-V isolation instance used to host one or more Windows Server Container is considered one Virtual OSE.</w:t>
      </w:r>
    </w:p>
    <w:p>
      <w:pPr>
        <w:pStyle w:val="NormalWeb"/>
        <w:spacing w:before="150"/>
      </w:pPr>
      <w:r>
        <w:rPr>
          <w:rStyle w:val="Strong"/>
        </w:rPr>
        <w:t xml:space="preserve">Windows Server Container without Hyper-V isolation </w:t>
      </w:r>
      <w:r>
        <w:t>(formerly known as, Windows Server Container) is a feature of Windows Server software.</w:t>
      </w:r>
    </w:p>
    <w:p>
      <w:pPr>
        <w:pStyle w:val="NormalWeb"/>
        <w:spacing w:before="150"/>
      </w:pPr>
      <w:r>
        <w:rPr>
          <w:rStyle w:val="Strong"/>
        </w:rPr>
        <w:t>Windows Software Components</w:t>
      </w:r>
      <w:r>
        <w:t xml:space="preserve"> means components of Windows software included in a Product. Microsoft .NET Framework, Microsoft Data Access Components, PowerShell software and certain .dlls related to Microsoft Build, Windows Identity Foundation, Windows Library for JAVAScript, Debghelp.dll, and Web Deploy technologies are all Windows Software Components.</w:t>
      </w:r>
    </w:p>
    <w:p>
      <w:pPr>
        <w:pStyle w:val="Heading3"/>
        <w:spacing w:before="150" w:beforeAutospacing="0"/>
        <w:rPr>
          <w:rFonts w:eastAsia="Times New Roman"/>
          <w:color w:val="0078D4"/>
          <w:sz w:val="26"/>
          <w:szCs w:val="26"/>
        </w:rPr>
      </w:pPr>
      <w:r>
        <w:rPr>
          <w:rFonts w:eastAsia="Times New Roman"/>
          <w:color w:val="0078D4"/>
          <w:sz w:val="26"/>
          <w:szCs w:val="26"/>
        </w:rPr>
        <w:t>Attributes</w:t>
      </w:r>
    </w:p>
    <w:p>
      <w:pPr>
        <w:pStyle w:val="NormalWeb"/>
        <w:spacing w:after="150"/>
      </w:pPr>
      <w:r>
        <w:t>Attributes are identified in the tables in each Product Entry, and indicate rights or conditions applicable to the Products.</w:t>
      </w:r>
    </w:p>
    <w:p>
      <w:pPr>
        <w:pStyle w:val="NormalWeb"/>
        <w:spacing w:before="150"/>
      </w:pPr>
      <w:r>
        <w:rPr>
          <w:rStyle w:val="Strong"/>
        </w:rPr>
        <w:t>Additional Software</w:t>
      </w:r>
      <w:r>
        <w:t>: Software identified in the Use Rights for Server Products that Customer is permitted to use on any device in conjunction with its use of server software.</w:t>
      </w:r>
    </w:p>
    <w:p>
      <w:pPr>
        <w:pStyle w:val="NormalWeb"/>
        <w:spacing w:before="150"/>
      </w:pPr>
      <w:r>
        <w:rPr>
          <w:rStyle w:val="Strong"/>
        </w:rPr>
        <w:t>Add-ons and From SA</w:t>
      </w:r>
      <w:r>
        <w:t>: Indicates the Product is available as an Add-on, and/or From SA.  For details, refer to the Add-ons and From SA sections for each respective product and online service.</w:t>
      </w:r>
    </w:p>
    <w:p>
      <w:pPr>
        <w:pStyle w:val="NormalWeb"/>
        <w:spacing w:before="150"/>
      </w:pPr>
      <w:r>
        <w:rPr>
          <w:rStyle w:val="Strong"/>
        </w:rPr>
        <w:t>Client Access Requirement</w:t>
      </w:r>
      <w:r>
        <w:t>: Indicates whether or not a Server Product requires CALs for access by users and devices.</w:t>
      </w:r>
    </w:p>
    <w:p>
      <w:pPr>
        <w:pStyle w:val="NormalWeb"/>
        <w:spacing w:before="150"/>
      </w:pPr>
      <w:r>
        <w:rPr>
          <w:rStyle w:val="Strong"/>
        </w:rPr>
        <w:t>Disaster Recovery</w:t>
      </w:r>
      <w:r>
        <w:t xml:space="preserve">: Rights available to SA customers to use software for conditional disaster recovery purposes; refer to Servers - Disaster Recovery Rights section of </w:t>
      </w:r>
      <w:hyperlink r:id="rId104" w:history="1">
        <w:r>
          <w:rPr>
            <w:rStyle w:val="Hyperlink"/>
            <w:color w:val="505050"/>
          </w:rPr>
          <w:t>Software Assurance Benefits</w:t>
        </w:r>
      </w:hyperlink>
      <w:r>
        <w:t>.</w:t>
      </w:r>
    </w:p>
    <w:p>
      <w:pPr>
        <w:pStyle w:val="NormalWeb"/>
        <w:spacing w:before="150"/>
      </w:pPr>
      <w:r>
        <w:rPr>
          <w:rStyle w:val="Strong"/>
        </w:rPr>
        <w:t>Down Editions</w:t>
      </w:r>
      <w:r>
        <w:t>: Permitted lower editions corresponding to specified higher editions. Customer may use the permitted lower edition in place of a licensed higher-level edition, as permitted in the Universal License Terms.</w:t>
      </w:r>
    </w:p>
    <w:p>
      <w:pPr>
        <w:pStyle w:val="NormalWeb"/>
        <w:spacing w:before="150"/>
      </w:pPr>
      <w:r>
        <w:rPr>
          <w:rStyle w:val="Strong"/>
        </w:rPr>
        <w:t>Extended Term Eligible</w:t>
      </w:r>
      <w:r>
        <w:t>:  Online services that are eligible for an extended term as described in the Enterprise and Enterprise Subscription licensing agreement.</w:t>
      </w:r>
    </w:p>
    <w:p>
      <w:pPr>
        <w:pStyle w:val="NormalWeb"/>
        <w:spacing w:before="150"/>
      </w:pPr>
      <w:r>
        <w:rPr>
          <w:rStyle w:val="Strong"/>
        </w:rPr>
        <w:t>External User Access Requirement</w:t>
      </w:r>
      <w:r>
        <w:t>:  Indicates specific license requirements or options for access by External Users.</w:t>
      </w:r>
    </w:p>
    <w:p>
      <w:pPr>
        <w:pStyle w:val="NormalWeb"/>
        <w:spacing w:before="150"/>
      </w:pPr>
      <w:r>
        <w:rPr>
          <w:rStyle w:val="Strong"/>
        </w:rPr>
        <w:t>Fail-Over Rights</w:t>
      </w:r>
      <w:r>
        <w:t>:  An SA benefit that allows Customer to run passive fail-over Instances as described in the Product entry.</w:t>
      </w:r>
    </w:p>
    <w:p>
      <w:pPr>
        <w:pStyle w:val="NormalWeb"/>
        <w:spacing w:before="150"/>
      </w:pPr>
      <w:r>
        <w:rPr>
          <w:rStyle w:val="Strong"/>
        </w:rPr>
        <w:t>Included Technologies</w:t>
      </w:r>
      <w:r>
        <w:t>:  Indicates other Microsoft components included in a Product; refer to the Included Technologies section of Universal License Terms for details.</w:t>
      </w:r>
    </w:p>
    <w:p>
      <w:pPr>
        <w:pStyle w:val="NormalWeb"/>
        <w:spacing w:before="150"/>
      </w:pPr>
      <w:r>
        <w:rPr>
          <w:rStyle w:val="Strong"/>
        </w:rPr>
        <w:t>License Mobility</w:t>
      </w:r>
      <w:r>
        <w:t xml:space="preserve">: Rights available to SA customers either to reassign licenses outside the standard timelines or to use Products on multitenant servers outside their own datacenters; refer to License Mobility section of </w:t>
      </w:r>
      <w:hyperlink r:id="rId104" w:history="1">
        <w:r>
          <w:rPr>
            <w:rStyle w:val="Hyperlink"/>
            <w:color w:val="505050"/>
          </w:rPr>
          <w:t>Software Assurance Benefits</w:t>
        </w:r>
      </w:hyperlink>
      <w:r>
        <w:t>.</w:t>
      </w:r>
    </w:p>
    <w:p>
      <w:pPr>
        <w:pStyle w:val="NormalWeb"/>
        <w:spacing w:before="150"/>
      </w:pPr>
      <w:r>
        <w:rPr>
          <w:rStyle w:val="Strong"/>
        </w:rPr>
        <w:t>License Terms</w:t>
      </w:r>
      <w:r>
        <w:t>:  Terms and conditions governing deployment and use of a Product.</w:t>
      </w:r>
    </w:p>
    <w:p>
      <w:pPr>
        <w:pStyle w:val="NormalWeb"/>
        <w:spacing w:before="150"/>
      </w:pPr>
      <w:r>
        <w:rPr>
          <w:rStyle w:val="Strong"/>
        </w:rPr>
        <w:t>Migration Rights</w:t>
      </w:r>
      <w:r>
        <w:t>:  Customer may be able to upgrade from prior versions of the software or other Products under special terms published in the Product Entry or Product List as indicated. Customer may also have non-standard downgrade rights to use prior versions of the same or other Products in place of the licensed version.</w:t>
      </w:r>
    </w:p>
    <w:p>
      <w:pPr>
        <w:pStyle w:val="NormalWeb"/>
        <w:spacing w:before="150"/>
      </w:pPr>
      <w:r>
        <w:rPr>
          <w:rStyle w:val="Strong"/>
        </w:rPr>
        <w:t>Notices</w:t>
      </w:r>
      <w:r>
        <w:t>:  Identifies the notices applicable for a Product; refer to the Notices section for details.</w:t>
      </w:r>
    </w:p>
    <w:p>
      <w:pPr>
        <w:pStyle w:val="NormalWeb"/>
        <w:spacing w:before="150"/>
      </w:pPr>
      <w:r>
        <w:rPr>
          <w:rStyle w:val="Strong"/>
        </w:rPr>
        <w:t>Online Subscription Program (OSP)</w:t>
      </w:r>
      <w:r>
        <w:t>:  The Product is available in an Online Subscription program.</w:t>
      </w:r>
    </w:p>
    <w:p>
      <w:pPr>
        <w:pStyle w:val="NormalWeb"/>
        <w:spacing w:before="150"/>
      </w:pPr>
      <w:r>
        <w:rPr>
          <w:rStyle w:val="Strong"/>
        </w:rPr>
        <w:t>Prerequisite</w:t>
      </w:r>
      <w:r>
        <w:t>:  Indicates that certain additional conditions must be met in order to purchase Licenses for the Product.</w:t>
      </w:r>
    </w:p>
    <w:p>
      <w:pPr>
        <w:pStyle w:val="NormalWeb"/>
        <w:spacing w:before="150"/>
      </w:pPr>
      <w:r>
        <w:rPr>
          <w:rStyle w:val="Strong"/>
        </w:rPr>
        <w:t>Prerequisite (SA)</w:t>
      </w:r>
      <w:r>
        <w:t>:Indicates that certain additional conditions must be met in order to purchase SA coverage for the Product.</w:t>
      </w:r>
    </w:p>
    <w:p>
      <w:pPr>
        <w:pStyle w:val="NormalWeb"/>
        <w:spacing w:before="150"/>
      </w:pPr>
      <w:r>
        <w:rPr>
          <w:rStyle w:val="Strong"/>
        </w:rPr>
        <w:t>Prior Version</w:t>
      </w:r>
      <w:r>
        <w:t>:  Earlier versions of Product and their Date Available.</w:t>
      </w:r>
    </w:p>
    <w:p>
      <w:pPr>
        <w:pStyle w:val="NormalWeb"/>
        <w:spacing w:before="150"/>
      </w:pPr>
      <w:r>
        <w:rPr>
          <w:rStyle w:val="Strong"/>
        </w:rPr>
        <w:t>Product Pool</w:t>
      </w:r>
      <w:r>
        <w:t>:  Indicates the grouping of Products that the Product belongs to for the purposes of determining pricing discounts. There are three Product pool categories; Application, Server and System.</w:t>
      </w:r>
    </w:p>
    <w:p>
      <w:pPr>
        <w:pStyle w:val="NormalWeb"/>
        <w:spacing w:before="150"/>
      </w:pPr>
      <w:r>
        <w:rPr>
          <w:rStyle w:val="Strong"/>
        </w:rPr>
        <w:t>Product-Specific License Terms,</w:t>
      </w:r>
      <w:r>
        <w:t xml:space="preserve"> or </w:t>
      </w:r>
      <w:r>
        <w:rPr>
          <w:rStyle w:val="Strong"/>
        </w:rPr>
        <w:t>Product-Specific Terms</w:t>
      </w:r>
      <w:r>
        <w:t>:  Indicates the Product-specific terms and conditions governing deployment and use of the Product in the Product Terms, including those in the product specific sections of the Product Terms.</w:t>
      </w:r>
    </w:p>
    <w:p>
      <w:pPr>
        <w:pStyle w:val="NormalWeb"/>
        <w:spacing w:before="150"/>
      </w:pPr>
      <w:r>
        <w:rPr>
          <w:rStyle w:val="Strong"/>
        </w:rPr>
        <w:t>Promotions</w:t>
      </w:r>
      <w:r>
        <w:t xml:space="preserve">:  Indicates that limited time offers apply to the Product as described in </w:t>
      </w:r>
      <w:hyperlink r:id="rId196" w:history="1">
        <w:r>
          <w:rPr>
            <w:rStyle w:val="Hyperlink"/>
            <w:color w:val="505050"/>
          </w:rPr>
          <w:t>Promotions</w:t>
        </w:r>
      </w:hyperlink>
      <w:r>
        <w:t>.</w:t>
      </w:r>
    </w:p>
    <w:p>
      <w:pPr>
        <w:pStyle w:val="NormalWeb"/>
        <w:spacing w:before="150"/>
      </w:pPr>
      <w:r>
        <w:rPr>
          <w:rStyle w:val="Strong"/>
        </w:rPr>
        <w:t>Qualified User Exemption</w:t>
      </w:r>
      <w:r>
        <w:t>:  Exemption applicable to users who access Products solely under one of these licenses. These users are exempt from being counted as a Qualified User under Customer's volume licensing agreement, notwithstanding anything to the contrary in that agreement.</w:t>
      </w:r>
    </w:p>
    <w:p>
      <w:pPr>
        <w:pStyle w:val="NormalWeb"/>
        <w:spacing w:before="150"/>
      </w:pPr>
      <w:r>
        <w:rPr>
          <w:rStyle w:val="Strong"/>
        </w:rPr>
        <w:t>Reduction Eligible</w:t>
      </w:r>
      <w:r>
        <w:t>:  An Online Service for which a customer that has an Enterprise Enrollment or Enrollment for Education Solutions can report a reduction in licenses or Allocated Annual prepayment. Enterprise Subscription Enrollment customers may report reductions in accordance with the terms of that Enrollment.</w:t>
      </w:r>
    </w:p>
    <w:p>
      <w:pPr>
        <w:pStyle w:val="NormalWeb"/>
        <w:spacing w:before="150"/>
      </w:pPr>
      <w:r>
        <w:rPr>
          <w:rStyle w:val="Strong"/>
        </w:rPr>
        <w:t>Reduction Eligible (SCE)</w:t>
      </w:r>
      <w:r>
        <w:t>:  Products for which a Server &amp; Cloud Enrollment customer can report a reduction in subscription licenses or future Allocated Annual prepayment after 12 continuous months.</w:t>
      </w:r>
    </w:p>
    <w:p>
      <w:pPr>
        <w:pStyle w:val="NormalWeb"/>
        <w:spacing w:before="150"/>
      </w:pPr>
      <w:r>
        <w:rPr>
          <w:rStyle w:val="Strong"/>
        </w:rPr>
        <w:t>Roaming Rights</w:t>
      </w:r>
      <w:r>
        <w:t>:  An SA benefit that permits the Primary User of a Licensed Device certain access and use rights. The Primary User may use a Qualifying Third Party Device to (i) remotely access and use permitted Instances or copies of the software running on Servers (subject to the Outsourcing Software Management clause in the Universal License Terms for all Software), or (ii) locally use a permitted Instance or copy in a Virtual OSE. No other user may use the software under the same License at the same time. Despite anything to the contrary in Customer's volume licensing agreement, Qualified Desktops and Devices do not include any Qualifying Third Party Devices from which Customer's users access and use the software and any (other) enterprise product solely under Roaming Rights.</w:t>
      </w:r>
    </w:p>
    <w:p>
      <w:pPr>
        <w:pStyle w:val="NormalWeb"/>
        <w:spacing w:before="150"/>
      </w:pPr>
      <w:r>
        <w:rPr>
          <w:rStyle w:val="Strong"/>
        </w:rPr>
        <w:t>SA Benefits Pool</w:t>
      </w:r>
      <w:r>
        <w:t xml:space="preserve">:  Indicates the category of the Product for purposes of determining SA Benefits broadly applicable to that Product Pool, as listed in </w:t>
      </w:r>
      <w:hyperlink r:id="rId104" w:history="1">
        <w:r>
          <w:rPr>
            <w:rStyle w:val="Hyperlink"/>
            <w:color w:val="505050"/>
          </w:rPr>
          <w:t>Software Assurance Benefits</w:t>
        </w:r>
      </w:hyperlink>
      <w:r>
        <w:t>.</w:t>
      </w:r>
    </w:p>
    <w:p>
      <w:pPr>
        <w:pStyle w:val="NormalWeb"/>
        <w:spacing w:before="150"/>
      </w:pPr>
      <w:r>
        <w:rPr>
          <w:rStyle w:val="Strong"/>
        </w:rPr>
        <w:t>SA Equivalent Rights</w:t>
      </w:r>
      <w:r>
        <w:t>:  Software SLs acquired under a Server and Cloud Enrollment or Microsoft Products and Services Agreement provide the same SA rights and benefits during the term of the Subscription as Licenses with SA coverage.</w:t>
      </w:r>
    </w:p>
    <w:p>
      <w:pPr>
        <w:pStyle w:val="NormalWeb"/>
        <w:spacing w:before="150"/>
      </w:pPr>
      <w:r>
        <w:rPr>
          <w:rStyle w:val="Strong"/>
        </w:rPr>
        <w:t>Self Hosting</w:t>
      </w:r>
      <w:r>
        <w:t xml:space="preserve">:  An SA benefit that permits use of Products for conditional hosting purposes; refer to the Servers - Self Hosted Applications section of </w:t>
      </w:r>
      <w:hyperlink r:id="rId104" w:history="1">
        <w:r>
          <w:rPr>
            <w:rStyle w:val="Hyperlink"/>
            <w:color w:val="505050"/>
          </w:rPr>
          <w:t>Software Assurance Benefits</w:t>
        </w:r>
      </w:hyperlink>
      <w:r>
        <w:t>.</w:t>
      </w:r>
    </w:p>
    <w:p>
      <w:pPr>
        <w:pStyle w:val="NormalWeb"/>
        <w:spacing w:before="150"/>
      </w:pPr>
      <w:r>
        <w:rPr>
          <w:rStyle w:val="Strong"/>
        </w:rPr>
        <w:t>Student Use Benefit</w:t>
      </w:r>
      <w:r>
        <w:t xml:space="preserve">: The option for Institutions that license a qualifying Product for their Organization-wide count to license a Product for use by their Students at a ratio of 1:15 or 1:40 Students per Education Qualified User or Knowledge Worker (or staff/faculty user) at no additional cost. The qualifying Products and the Products eligible for the Student use, and the applicable ratios are identified in </w:t>
      </w:r>
      <w:hyperlink r:id="rId106" w:history="1">
        <w:r>
          <w:rPr>
            <w:rStyle w:val="Hyperlink"/>
            <w:color w:val="505050"/>
          </w:rPr>
          <w:t>Student Use Benefits and Academic Programs</w:t>
        </w:r>
      </w:hyperlink>
      <w:r>
        <w:t>. Such Student Licenses may not be counted toward minimum order requirements. The License Terms for the Products licensed under the Student Use Benefit govern Students' use. Rights to use Products under the Student Use Benefit expire when Student is no longer affiliated with the Institution.</w:t>
      </w:r>
    </w:p>
    <w:p>
      <w:pPr>
        <w:pStyle w:val="NormalWeb"/>
        <w:spacing w:before="150"/>
      </w:pPr>
      <w:r>
        <w:rPr>
          <w:rStyle w:val="Strong"/>
        </w:rPr>
        <w:t>Suite</w:t>
      </w:r>
      <w:r>
        <w:t>:  A Product that is comprised of components that are also licensed separately. A suite is licensed under a single License that is assigned to a single user or device, and allows use of all of its components on the single device or by a single user to which it is assigned. The components of the Suite may not be separated and used on separate devices or by separate users.</w:t>
      </w:r>
    </w:p>
    <w:p>
      <w:pPr>
        <w:pStyle w:val="NormalWeb"/>
        <w:spacing w:before="150"/>
      </w:pPr>
      <w:r>
        <w:rPr>
          <w:rStyle w:val="Strong"/>
        </w:rPr>
        <w:t>True-Up Eligible</w:t>
      </w:r>
      <w:r>
        <w:t>:  An Online Service subscription License that an Enterprise or Enterprise Subscription customer can order via the true-up or annual order process rather than monthly.</w:t>
      </w:r>
    </w:p>
    <w:p>
      <w:pPr>
        <w:pStyle w:val="NormalWeb"/>
        <w:spacing w:before="150"/>
      </w:pPr>
      <w:r>
        <w:rPr>
          <w:rStyle w:val="Strong"/>
        </w:rPr>
        <w:t>UTD Discount</w:t>
      </w:r>
      <w:r>
        <w:t>:  An Up to Date Discount is a discount available to Open Value Subscription customers ordering licenses for Product during the first year of their agreement if they have a License for the corresponding qualifying Product.</w:t>
      </w:r>
    </w:p>
    <w:p>
      <w:pPr>
        <w:pStyle w:val="Heading3"/>
        <w:spacing w:before="150" w:beforeAutospacing="0"/>
        <w:rPr>
          <w:rFonts w:eastAsia="Times New Roman"/>
          <w:color w:val="0078D4"/>
          <w:sz w:val="26"/>
          <w:szCs w:val="26"/>
        </w:rPr>
      </w:pPr>
      <w:r>
        <w:rPr>
          <w:rFonts w:eastAsia="Times New Roman"/>
          <w:color w:val="0078D4"/>
          <w:sz w:val="26"/>
          <w:szCs w:val="26"/>
        </w:rPr>
        <w:t>Cell Values</w:t>
      </w:r>
    </w:p>
    <w:p>
      <w:pPr>
        <w:pStyle w:val="NormalWeb"/>
        <w:spacing w:after="150"/>
      </w:pPr>
      <w:r>
        <w:t>Cell Values are used in the Program Availability table in each of each Product Entry to identify how the Product is offered in each program. The volume licensing program agreements define these offering types.</w:t>
      </w:r>
    </w:p>
    <w:p>
      <w:pPr>
        <w:pStyle w:val="NormalWeb"/>
        <w:spacing w:before="150"/>
      </w:pPr>
      <w:r>
        <w:rPr>
          <w:rStyle w:val="Strong"/>
        </w:rPr>
        <w:t xml:space="preserve">A </w:t>
      </w:r>
      <w:r>
        <w:t>= Additional Product:  The Product is offered as an Additional Product.</w:t>
      </w:r>
    </w:p>
    <w:p>
      <w:pPr>
        <w:pStyle w:val="NormalWeb"/>
        <w:spacing w:before="150"/>
      </w:pPr>
      <w:r>
        <w:rPr>
          <w:rStyle w:val="Strong"/>
        </w:rPr>
        <w:t xml:space="preserve">AF </w:t>
      </w:r>
      <w:r>
        <w:t>= Additional Product Faculty:  The Product is offered as an Additional Product for the School program and must be licensed on an Organization-wide basis covering all Faculty and Staff.</w:t>
      </w:r>
    </w:p>
    <w:p>
      <w:pPr>
        <w:pStyle w:val="NormalWeb"/>
        <w:spacing w:before="150"/>
      </w:pPr>
      <w:r>
        <w:rPr>
          <w:rStyle w:val="Strong"/>
        </w:rPr>
        <w:t xml:space="preserve">AO </w:t>
      </w:r>
      <w:r>
        <w:t>= Additional Product Organization Wide:  The Product is offered as an Additional Product and must be ordered organization-wide.</w:t>
      </w:r>
    </w:p>
    <w:p>
      <w:pPr>
        <w:pStyle w:val="NormalWeb"/>
        <w:spacing w:before="150"/>
      </w:pPr>
      <w:r>
        <w:rPr>
          <w:rStyle w:val="Strong"/>
        </w:rPr>
        <w:t xml:space="preserve">AP </w:t>
      </w:r>
      <w:r>
        <w:t>= Additional Product in EES 2017:  The Product is offered as an Additional Product for the Enrollment for Education Solutions (with a publication date on or after October 2017).</w:t>
      </w:r>
    </w:p>
    <w:p>
      <w:pPr>
        <w:pStyle w:val="NormalWeb"/>
        <w:spacing w:before="150"/>
      </w:pPr>
      <w:r>
        <w:rPr>
          <w:rStyle w:val="Strong"/>
        </w:rPr>
        <w:t xml:space="preserve">AS </w:t>
      </w:r>
      <w:r>
        <w:t>= Additional Product School:  The Product is offered as an Additional Product for the School program only. </w:t>
      </w:r>
    </w:p>
    <w:p>
      <w:pPr>
        <w:pStyle w:val="NormalWeb"/>
        <w:spacing w:before="150"/>
      </w:pPr>
      <w:r>
        <w:rPr>
          <w:rStyle w:val="Strong"/>
        </w:rPr>
        <w:t>E</w:t>
      </w:r>
      <w:r>
        <w:t xml:space="preserve"> = Enterprise Product:  The Product is offered as an Enterprise Product, but not a desktop.</w:t>
      </w:r>
    </w:p>
    <w:p>
      <w:pPr>
        <w:pStyle w:val="NormalWeb"/>
        <w:spacing w:before="150"/>
      </w:pPr>
      <w:r>
        <w:rPr>
          <w:rStyle w:val="Strong"/>
        </w:rPr>
        <w:t>ED</w:t>
      </w:r>
      <w:r>
        <w:t xml:space="preserve"> = Education Desktop:  The Product is offered as an education desktop platform product with either Enterprise CAL Suite or Core CAL Suite under Enrollment for Education Solutions (with a publication date prior to October 2017) and Open Value Subscription - Education Solutions and must be licensed on an Organization-wide basis covering all Faculty and Staff.  </w:t>
      </w:r>
    </w:p>
    <w:p>
      <w:pPr>
        <w:pStyle w:val="NormalWeb"/>
        <w:spacing w:before="150"/>
      </w:pPr>
      <w:r>
        <w:rPr>
          <w:rStyle w:val="Strong"/>
        </w:rPr>
        <w:t>EO</w:t>
      </w:r>
      <w:r>
        <w:t xml:space="preserve"> = Enterprise Online Service:  The Online Service is offered as an enterprise Online Service or platform Online Service and satisfies the Enterprise Product requirements. EO for Core CAL and Enterprise CAL Suite require the corresponding CAL Suite Bridge.</w:t>
      </w:r>
    </w:p>
    <w:p>
      <w:pPr>
        <w:pStyle w:val="NormalWeb"/>
        <w:spacing w:before="150"/>
      </w:pPr>
      <w:r>
        <w:rPr>
          <w:rStyle w:val="Strong"/>
        </w:rPr>
        <w:t>EP</w:t>
      </w:r>
      <w:r>
        <w:t xml:space="preserve"> = Education Platform Product:  The Product is offered as an Education Platform Product under the Enrollment for Education Solutions (with a publication date on or after October 2017) and must be licensed on an Organization-wide basis covering all Education Qualified Users or Knowledge Workers or for the full Student Count.</w:t>
      </w:r>
    </w:p>
    <w:p>
      <w:pPr>
        <w:pStyle w:val="NormalWeb"/>
        <w:spacing w:before="150"/>
      </w:pPr>
      <w:r>
        <w:rPr>
          <w:rStyle w:val="Strong"/>
        </w:rPr>
        <w:t>OM</w:t>
      </w:r>
      <w:r>
        <w:t xml:space="preserve"> = Open Minimum:  Each License counts solely as 5 Licenses for purposes of the initial order minimum in Open License and Open Value.</w:t>
      </w:r>
    </w:p>
    <w:p>
      <w:pPr>
        <w:pStyle w:val="NormalWeb"/>
        <w:spacing w:before="150"/>
      </w:pPr>
      <w:r>
        <w:rPr>
          <w:rStyle w:val="Strong"/>
        </w:rPr>
        <w:t>OW</w:t>
      </w:r>
      <w:r>
        <w:t xml:space="preserve"> = Organization-wide:  Available under the Organization-wide option.</w:t>
      </w:r>
    </w:p>
    <w:p>
      <w:pPr>
        <w:pStyle w:val="NormalWeb"/>
        <w:spacing w:before="150"/>
      </w:pPr>
      <w:r>
        <w:rPr>
          <w:rStyle w:val="Strong"/>
        </w:rPr>
        <w:t>P</w:t>
      </w:r>
      <w:r>
        <w:t xml:space="preserve"> = Non-Organization Wide in Open Value:  The Product is offered on a non-Organization Wide basis in Open Value.</w:t>
      </w:r>
    </w:p>
    <w:p>
      <w:pPr>
        <w:pStyle w:val="NormalWeb"/>
        <w:spacing w:before="150"/>
      </w:pPr>
      <w:r>
        <w:rPr>
          <w:rStyle w:val="Strong"/>
        </w:rPr>
        <w:t>S</w:t>
      </w:r>
      <w:r>
        <w:t xml:space="preserve"> = Student Offering School Only:  The Product is offered as a Student Offering under School Program only and must be ordered for the full Student Count.</w:t>
      </w:r>
    </w:p>
    <w:p>
      <w:pPr>
        <w:pStyle w:val="NormalWeb"/>
        <w:spacing w:before="150"/>
      </w:pPr>
      <w:r>
        <w:rPr>
          <w:rStyle w:val="Strong"/>
        </w:rPr>
        <w:t xml:space="preserve">SD </w:t>
      </w:r>
      <w:r>
        <w:t>= School Desktop Platform Product:  The Product is offered as a school desktop platform product with either Enterprise CAL Suite or Core CAL Suite under School Program. An SD is counted as three units.</w:t>
      </w:r>
    </w:p>
    <w:p>
      <w:pPr>
        <w:pStyle w:val="NormalWeb"/>
        <w:spacing w:before="150"/>
      </w:pPr>
      <w:r>
        <w:rPr>
          <w:rStyle w:val="Strong"/>
        </w:rPr>
        <w:t>ST</w:t>
      </w:r>
      <w:r>
        <w:t xml:space="preserve"> = Student Offering:  The Product is offered as a Student Offering and must be ordered for the full Student Count.</w:t>
      </w:r>
    </w:p>
    <w:p>
      <w:pPr>
        <w:pStyle w:val="NormalWeb"/>
        <w:spacing w:before="150"/>
      </w:pPr>
      <w:r>
        <w:rPr>
          <w:rStyle w:val="Strong"/>
        </w:rPr>
        <w:t>SP</w:t>
      </w:r>
      <w:r>
        <w:t xml:space="preserve"> = Server and Tools Product:  The Product is a server and tools product offered under the Server and Cloud Enrollment.</w:t>
      </w:r>
    </w:p>
    <w:p>
      <w:pPr>
        <w:pStyle w:val="NormalWeb"/>
        <w:spacing w:before="150"/>
      </w:pPr>
      <w:r>
        <w:rPr>
          <w:rStyle w:val="Strong"/>
        </w:rPr>
        <w:t>UC</w:t>
      </w:r>
      <w:r>
        <w:t xml:space="preserve"> = United States Government Community Cloud Service: The Online Service is offered as a Government Community Cloud (U.S. only) Service. For UC availability for Online Service suites, refer to the Program Availability table for each of the suite's components.</w:t>
      </w:r>
    </w:p>
    <w:p w:rsidR="00ED5159" w:rsidP="00ED5159">
      <w:pPr>
        <w:pStyle w:val="ProductList-OfferingGroupHeading"/>
        <w:outlineLvl w:val="1"/>
      </w:pPr>
      <w:r>
        <w:t>Other Legal Terms</w:t>
      </w:r>
      <w:r>
        <w:fldChar w:fldCharType="begin"/>
      </w:r>
      <w:r>
        <w:instrText xml:space="preserve"> TC </w:instrText>
      </w:r>
      <w:bookmarkStart w:id="74" w:name="_Toc256000061"/>
      <w:r>
        <w:instrText>"</w:instrText>
      </w:r>
      <w:bookmarkStart w:id="75" w:name="_Toc21"/>
      <w:r>
        <w:instrText>Other Legal Terms</w:instrText>
      </w:r>
      <w:bookmarkEnd w:id="75"/>
      <w:r>
        <w:instrText>"</w:instrText>
      </w:r>
      <w:bookmarkEnd w:id="74"/>
      <w:r>
        <w:instrText xml:space="preserve"> \l 2</w:instrText>
      </w:r>
      <w:r>
        <w:fldChar w:fldCharType="end"/>
      </w:r>
    </w:p>
    <w:p w:rsidR="00ED5159" w:rsidP="00ED5159">
      <w:pPr>
        <w:pStyle w:val="ProductList-Offering2Heading"/>
        <w:outlineLvl w:val="2"/>
      </w:pPr>
      <w:r>
        <w:t>CAL and ML Equivalency Licenses</w:t>
      </w:r>
      <w:r>
        <w:fldChar w:fldCharType="begin"/>
      </w:r>
      <w:r>
        <w:instrText xml:space="preserve"> TC </w:instrText>
      </w:r>
      <w:bookmarkStart w:id="76" w:name="_Toc256000062"/>
      <w:r>
        <w:instrText>"</w:instrText>
      </w:r>
      <w:r>
        <w:instrText>CAL and ML Equivalency Licenses</w:instrText>
      </w:r>
      <w:r>
        <w:instrText>"</w:instrText>
      </w:r>
      <w:bookmarkEnd w:id="76"/>
      <w:r>
        <w:instrText xml:space="preserve"> \l 2</w:instrText>
      </w:r>
      <w:r>
        <w:fldChar w:fldCharType="end"/>
      </w:r>
    </w:p>
    <w:p>
      <w:pPr>
        <w:pStyle w:val="NormalWeb"/>
      </w:pPr>
      <w:r>
        <w:t xml:space="preserve">Rights to access server software running on Customer’s </w:t>
      </w:r>
      <w:hyperlink w:anchor="_Toc20" w:tooltip="Licensed Server means a single Server to which a License is assigned.  See Glossary for full definition." w:history="1">
        <w:r>
          <w:rPr>
            <w:rStyle w:val="Hyperlink"/>
            <w:color w:val="505050"/>
          </w:rPr>
          <w:t>Licensed Servers</w:t>
        </w:r>
      </w:hyperlink>
      <w:r>
        <w:t xml:space="preserve"> or to </w:t>
      </w:r>
      <w:hyperlink w:anchor="_Toc20" w:tooltip="Manage OSEs means to solicit or receive data about, configure, or give instructions to the hardware or software that is directly or indirectly associated with the OSE. It does not include discovering the presence of a device or OSE." w:history="1">
        <w:r>
          <w:rPr>
            <w:rStyle w:val="Hyperlink"/>
            <w:color w:val="505050"/>
          </w:rPr>
          <w:t>Manage OSEs</w:t>
        </w:r>
      </w:hyperlink>
      <w:r>
        <w:t xml:space="preserve"> are available under </w:t>
      </w:r>
      <w:hyperlink w:anchor="_Toc20" w:tooltip="CAL means client access license, which may be assigned by user or device, as appropriate. Refer to glossary for full definition." w:history="1">
        <w:r>
          <w:rPr>
            <w:rStyle w:val="Hyperlink"/>
            <w:color w:val="505050"/>
          </w:rPr>
          <w:t>CAL</w:t>
        </w:r>
      </w:hyperlink>
      <w:r>
        <w:t xml:space="preserve"> suites and Online Services </w:t>
      </w:r>
      <w:hyperlink w:anchor="_Toc20" w:tooltip="SL means subscription License that allows access to software or a hosted service for a defined period of time." w:history="1">
        <w:r>
          <w:rPr>
            <w:rStyle w:val="Hyperlink"/>
            <w:color w:val="505050"/>
          </w:rPr>
          <w:t>SLs</w:t>
        </w:r>
      </w:hyperlink>
      <w:r>
        <w:t xml:space="preserve">. The tables below show the applicable </w:t>
      </w:r>
      <w:hyperlink w:anchor="_Toc20" w:tooltip="CAL means client access license, which may be assigned by user or device, as appropriate. Refer to glossary for full definition." w:history="1">
        <w:r>
          <w:rPr>
            <w:rStyle w:val="Hyperlink"/>
            <w:color w:val="505050"/>
          </w:rPr>
          <w:t>CAL</w:t>
        </w:r>
      </w:hyperlink>
      <w:r>
        <w:t xml:space="preserve"> suite or </w:t>
      </w:r>
      <w:hyperlink w:anchor="_Toc20" w:tooltip="SL means subscription License that allows access to software or a hosted service for a defined period of time." w:history="1">
        <w:r>
          <w:rPr>
            <w:rStyle w:val="Hyperlink"/>
            <w:color w:val="505050"/>
          </w:rPr>
          <w:t>SL</w:t>
        </w:r>
      </w:hyperlink>
      <w:r>
        <w:t xml:space="preserve"> that satisfies the </w:t>
      </w:r>
      <w:hyperlink w:anchor="_Toc20" w:tooltip="License means the right to download, install, access and use a Product." w:history="1">
        <w:r>
          <w:rPr>
            <w:rStyle w:val="Hyperlink"/>
            <w:color w:val="505050"/>
          </w:rPr>
          <w:t>License</w:t>
        </w:r>
      </w:hyperlink>
      <w:r>
        <w:t xml:space="preserve"> requirement for access to (or management of) the respective Server Product’s base or additive functions. </w:t>
      </w:r>
      <w:hyperlink w:anchor="_Toc20" w:tooltip="CAL means client access license, which may be assigned by user or device, as appropriate. Refer to glossary for full definition." w:history="1">
        <w:r>
          <w:rPr>
            <w:rStyle w:val="Hyperlink"/>
            <w:color w:val="505050"/>
          </w:rPr>
          <w:t>CAL</w:t>
        </w:r>
      </w:hyperlink>
      <w:r>
        <w:t xml:space="preserve"> suites must be purchased after the Product’s Date Available or have active SA coverage on such date to satisfy access requirements for the current version of the </w:t>
      </w:r>
      <w:hyperlink w:anchor="_Toc20" w:tooltip="Server means a physical hardware system capable of running server software." w:history="1">
        <w:r>
          <w:rPr>
            <w:rStyle w:val="Hyperlink"/>
            <w:color w:val="505050"/>
          </w:rPr>
          <w:t>Server</w:t>
        </w:r>
      </w:hyperlink>
      <w:r>
        <w:t xml:space="preserve"> Product.</w:t>
      </w:r>
    </w:p>
    <w:p>
      <w:pPr>
        <w:pStyle w:val="Heading3"/>
        <w:spacing w:before="150" w:beforeAutospacing="0"/>
        <w:rPr>
          <w:rFonts w:eastAsia="Times New Roman"/>
          <w:color w:val="0078D4"/>
          <w:sz w:val="26"/>
          <w:szCs w:val="26"/>
        </w:rPr>
      </w:pPr>
      <w:r>
        <w:rPr>
          <w:rFonts w:eastAsia="Times New Roman"/>
          <w:color w:val="0078D4"/>
          <w:sz w:val="26"/>
          <w:szCs w:val="26"/>
        </w:rPr>
        <w:t>Core CAL</w:t>
      </w:r>
    </w:p>
    <w:p>
      <w:pPr>
        <w:pStyle w:val="NormalWeb"/>
        <w:spacing w:after="150"/>
      </w:pPr>
      <w:r>
        <w:t>The Core Client Access License Suites (Core CAL) generally provides rights to the Base CAL and/or Management License (ML) functionality for the servers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08"/>
        <w:gridCol w:w="727"/>
        <w:gridCol w:w="1608"/>
        <w:gridCol w:w="1404"/>
        <w:gridCol w:w="1661"/>
        <w:gridCol w:w="13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Office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O365+Intune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(Academic only)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Enterprise CAL</w:t>
      </w:r>
    </w:p>
    <w:p>
      <w:pPr>
        <w:pStyle w:val="NormalWeb"/>
        <w:spacing w:after="150"/>
      </w:pPr>
      <w:r>
        <w:t>The Enterprise Client Access License Suites (ECAL) generally provides rights to both the Base and Additive CAL and/or Management License (ML) functionality.</w:t>
      </w:r>
    </w:p>
    <w:p>
      <w:pPr>
        <w:pStyle w:val="NormalWeb"/>
        <w:spacing w:before="150"/>
      </w:pPr>
      <w:r>
        <w:rPr>
          <w:rStyle w:val="Strong"/>
          <w:i/>
          <w:iCs/>
        </w:rPr>
        <w:t>Note:</w:t>
      </w:r>
      <w:r>
        <w:rPr>
          <w:i/>
          <w:iCs/>
        </w:rPr>
        <w:t xml:space="preserve"> A license for the Enterprise CAL Suite with active SA coverage provides rights equivalent to Data Loss Prevention and Exchange Online Protection.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22"/>
        <w:gridCol w:w="1187"/>
        <w:gridCol w:w="1182"/>
        <w:gridCol w:w="1227"/>
        <w:gridCol w:w="1665"/>
        <w:gridCol w:w="11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CAL (ECAL)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O365+Intune 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rPr>
          <w:trHeight w:val="720"/>
        </w:trPr>
        <w:tc>
          <w:tcPr>
            <w:tcBorders>
              <w:top w:val="single" w:sz="8" w:space="0" w:color="BFBFBF"/>
              <w:left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Enterprise Mobility + Security</w:t>
      </w:r>
    </w:p>
    <w:p>
      <w:pPr>
        <w:pStyle w:val="NormalWeb"/>
        <w:spacing w:after="150"/>
      </w:pPr>
      <w:r>
        <w:rPr>
          <w:rStyle w:val="Strong"/>
          <w:i/>
          <w:iCs/>
        </w:rPr>
        <w:t>Note:</w:t>
      </w:r>
      <w:r>
        <w:rPr>
          <w:i/>
          <w:iCs/>
        </w:rPr>
        <w:t xml:space="preserve"> With the exception of Advanced Threat Analytics 2016 and Microsoft Endpoint Configuration Manager, users licensed through Student Use Benefits do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186"/>
        <w:gridCol w:w="1072"/>
        <w:gridCol w:w="10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Office 365 Education</w:t>
      </w:r>
    </w:p>
    <w:p>
      <w:pPr>
        <w:pStyle w:val="NormalWeb"/>
        <w:spacing w:after="150"/>
      </w:pPr>
      <w:r>
        <w:rPr>
          <w:rStyle w:val="Strong"/>
          <w:i/>
          <w:iCs/>
        </w:rPr>
        <w:t>Note:</w:t>
      </w:r>
      <w:r>
        <w:rPr>
          <w:i/>
          <w:iCs/>
        </w:rPr>
        <w:t xml:space="preserve"> Office 365 A1 does not satisfy the License requirement for access to (or management of) the Products in this table. Users licensed through Student Use Benefits do not satisfy the License requirement for access to (or management of) the Products in this table.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90"/>
        <w:gridCol w:w="2070"/>
        <w:gridCol w:w="20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Education A3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Education 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0"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Microsoft 365 Education</w:t>
      </w:r>
    </w:p>
    <w:p>
      <w:pPr>
        <w:pStyle w:val="NormalWeb"/>
        <w:spacing w:after="150"/>
      </w:pPr>
      <w:r>
        <w:rPr>
          <w:rStyle w:val="Strong"/>
          <w:i/>
          <w:iCs/>
        </w:rPr>
        <w:t>Note</w:t>
      </w:r>
      <w:r>
        <w:rPr>
          <w:i/>
          <w:iCs/>
        </w:rPr>
        <w:t>: Microsoft 365 A1 does not satisfy the License requirement for access to (or management of) the Products in this table. With the exception of Advanced Threat Analytics 2016 and Microsoft Endpoint Configuration Manager, users licensed through Student Use Benefits do not satisfy the License requirement for access to (or management of) the Products in this table.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74"/>
        <w:gridCol w:w="2076"/>
        <w:gridCol w:w="990"/>
        <w:gridCol w:w="9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A3 with Core CAL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A3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0"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0"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2016 Premium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20"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rsidR="00ED5159" w:rsidP="00ED5159">
      <w:pPr>
        <w:pStyle w:val="ProductList-Offering2Heading"/>
        <w:outlineLvl w:val="2"/>
      </w:pPr>
      <w:r>
        <w:t>Notices</w:t>
      </w:r>
      <w:r>
        <w:fldChar w:fldCharType="begin"/>
      </w:r>
      <w:r>
        <w:instrText xml:space="preserve"> TC </w:instrText>
      </w:r>
      <w:bookmarkStart w:id="77" w:name="_Toc256000063"/>
      <w:r>
        <w:instrText>"</w:instrText>
      </w:r>
      <w:r>
        <w:instrText>Notices</w:instrText>
      </w:r>
      <w:r>
        <w:instrText>"</w:instrText>
      </w:r>
      <w:bookmarkEnd w:id="77"/>
      <w:r>
        <w:instrText xml:space="preserve"> \l 2</w:instrText>
      </w:r>
      <w:r>
        <w:fldChar w:fldCharType="end"/>
      </w:r>
    </w:p>
    <w:p>
      <w:pPr>
        <w:pStyle w:val="NormalWeb"/>
      </w:pPr>
      <w:r>
        <w:t>Where indicated in the Use Rights or Service Specific Terms section of each Product entry, the following notices apply:</w:t>
      </w:r>
    </w:p>
    <w:p>
      <w:pPr>
        <w:pStyle w:val="Heading3"/>
        <w:spacing w:before="150" w:beforeAutospacing="0"/>
        <w:rPr>
          <w:rFonts w:eastAsia="Times New Roman"/>
          <w:color w:val="0078D4"/>
          <w:sz w:val="26"/>
          <w:szCs w:val="26"/>
        </w:rPr>
      </w:pPr>
      <w:r>
        <w:rPr>
          <w:rFonts w:eastAsia="Times New Roman"/>
          <w:color w:val="0078D4"/>
          <w:sz w:val="26"/>
          <w:szCs w:val="26"/>
        </w:rPr>
        <w:t>Notice about 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xml:space="preserve">). Unless stated otherwise, Microsoft is a controller of </w:t>
      </w:r>
      <w:hyperlink w:anchor="_Toc72" w:history="1">
        <w:r>
          <w:rPr>
            <w:rStyle w:val="Hyperlink"/>
            <w:color w:val="505050"/>
          </w:rPr>
          <w:t>Personal Data</w:t>
        </w:r>
      </w:hyperlink>
      <w:r>
        <w:t xml:space="preserve"> processed in connection with Customer's use of Internet-based features in software Products.  When Microsoft is a controller for Internet-based features, Microsoft will handle the </w:t>
      </w:r>
      <w:hyperlink w:anchor="_Toc72" w:history="1">
        <w:r>
          <w:rPr>
            <w:rStyle w:val="Hyperlink"/>
            <w:color w:val="505050"/>
          </w:rPr>
          <w:t>Personal Data</w:t>
        </w:r>
      </w:hyperlink>
      <w:r>
        <w:t xml:space="preserve"> in accordance with the Microsoft Privacy Statement (</w:t>
      </w:r>
      <w:hyperlink r:id="rId72" w:tgtFrame="_blank" w:history="1">
        <w:r>
          <w:rPr>
            <w:rStyle w:val="Hyperlink"/>
            <w:color w:val="505050"/>
          </w:rPr>
          <w:t>aka.ms/privacy</w:t>
        </w:r>
      </w:hyperlink>
      <w:r>
        <w:t xml:space="preserve">), and the </w:t>
      </w:r>
      <w:hyperlink w:anchor="_Toc72" w:history="1">
        <w:r>
          <w:rPr>
            <w:rStyle w:val="Hyperlink"/>
            <w:color w:val="505050"/>
          </w:rPr>
          <w:t>Data Protection Addendum</w:t>
        </w:r>
      </w:hyperlink>
      <w:r>
        <w:t xml:space="preserve"> terms do not apply.</w:t>
      </w:r>
    </w:p>
    <w:p>
      <w:pPr>
        <w:pStyle w:val="Heading3"/>
        <w:spacing w:before="150" w:beforeAutospacing="0"/>
        <w:rPr>
          <w:rFonts w:eastAsia="Times New Roman"/>
          <w:color w:val="0078D4"/>
          <w:sz w:val="26"/>
          <w:szCs w:val="26"/>
        </w:rPr>
      </w:pPr>
      <w:r>
        <w:rPr>
          <w:rFonts w:eastAsia="Times New Roman"/>
          <w:color w:val="0078D4"/>
          <w:sz w:val="26"/>
          <w:szCs w:val="26"/>
        </w:rPr>
        <w:t>Notice about Malware protection</w:t>
      </w:r>
    </w:p>
    <w:p>
      <w:pPr>
        <w:pStyle w:val="NormalWeb"/>
        <w:spacing w:after="150"/>
      </w:pPr>
      <w:r>
        <w:t>Microsoft cares about protecting customers' devices from malware. The software will turn on malware protection if other protection is not installed or has expired. To do so, other antimalware software will be disabled or may have to be removed.</w:t>
      </w:r>
    </w:p>
    <w:p>
      <w:pPr>
        <w:pStyle w:val="Heading3"/>
        <w:spacing w:before="150" w:beforeAutospacing="0"/>
        <w:rPr>
          <w:rFonts w:eastAsia="Times New Roman"/>
          <w:color w:val="0078D4"/>
          <w:sz w:val="26"/>
          <w:szCs w:val="26"/>
        </w:rPr>
      </w:pPr>
      <w:r>
        <w:rPr>
          <w:rFonts w:eastAsia="Times New Roman"/>
          <w:color w:val="0078D4"/>
          <w:sz w:val="26"/>
          <w:szCs w:val="26"/>
        </w:rPr>
        <w:t>Notice about H.265/HEVC Video Standard</w:t>
      </w:r>
    </w:p>
    <w:p>
      <w:pPr>
        <w:pStyle w:val="NormalWeb"/>
        <w:spacing w:after="150"/>
      </w:pPr>
      <w:r>
        <w:t>The software may include H.265/HEVC coding technology.  Access Advance LLC requires this notice:</w:t>
      </w:r>
    </w:p>
    <w:p>
      <w:pPr>
        <w:pStyle w:val="NormalWeb"/>
        <w:spacing w:before="150"/>
      </w:pPr>
      <w:r>
        <w:t>IF INCLUDED, THE H.265/HEVC TECHNOLOGY IN THIS SOFTWARE IS COVERED BY ONE OR MORE CLAIMS OF THE HEVC PATENTS LISTED AT: PATENTLIST.ACCESSADVANCE.COM.  DEPENDING ON HOW YOU OBTAINED THE SOFTWARE, THIS PRODUCT MAY BE LICENSED UNDER THE HEVC ADVANCE PATENT PORTFOLIO.   </w:t>
      </w:r>
    </w:p>
    <w:p>
      <w:pPr>
        <w:pStyle w:val="NormalWeb"/>
        <w:spacing w:before="150"/>
      </w:pPr>
      <w:r>
        <w:t xml:space="preserve">If this software is installed on a Microsoft device, additional licensing information can be found at: </w:t>
      </w:r>
      <w:hyperlink r:id="rId197" w:tgtFrame="_blank" w:history="1">
        <w:r>
          <w:rPr>
            <w:rStyle w:val="Hyperlink"/>
            <w:color w:val="505050"/>
          </w:rPr>
          <w:t>https://www.aka.ms/HEVCVirtualPatentMarking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Notice - Availability of Microsoft (no Teams) Suites in the EEA</w:t>
      </w:r>
    </w:p>
    <w:p>
      <w:pPr>
        <w:pStyle w:val="NormalWeb"/>
        <w:spacing w:after="150"/>
      </w:pPr>
      <w:r>
        <w:t>This Notice applies to customers in the European Economic Area (EEA) who purchase through Microsoft's commercial licensing programs with a billing account that is in the EEA. </w:t>
      </w:r>
    </w:p>
    <w:p>
      <w:pPr>
        <w:pStyle w:val="NormalWeb"/>
        <w:spacing w:before="150"/>
      </w:pPr>
      <w:r>
        <w:t xml:space="preserve">Such customers have the right to purchase </w:t>
      </w:r>
      <w:hyperlink w:anchor="_Toc20" w:tooltip="(no Teams) Suites are the functionality corresponding suites to Covered Suites that exclude Microsoft Teams." w:history="1">
        <w:r>
          <w:rPr>
            <w:rStyle w:val="Hyperlink"/>
            <w:color w:val="505050"/>
          </w:rPr>
          <w:t>(no Teams) Suites</w:t>
        </w:r>
      </w:hyperlink>
      <w:r>
        <w:t xml:space="preserve"> (and those in multi-year agreements may switch to </w:t>
      </w:r>
      <w:hyperlink w:anchor="_Toc20" w:tooltip="(no Teams) Suites are the functionality corresponding suites to Covered Suites that exclude Microsoft Teams." w:history="1">
        <w:r>
          <w:rPr>
            <w:rStyle w:val="Hyperlink"/>
            <w:color w:val="505050"/>
          </w:rPr>
          <w:t>(no Teams) Suites</w:t>
        </w:r>
      </w:hyperlink>
      <w:r>
        <w:t xml:space="preserve"> at their next annual order) at a price below the price of the corresponding </w:t>
      </w:r>
      <w:hyperlink w:anchor="_Toc20"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Customers are also eligible to receive the same percentage discount (whether negotiated or offered as a promotion and whether implemented as a price reduction or as a rebate) on the </w:t>
      </w:r>
      <w:hyperlink w:anchor="_Toc20" w:tooltip="(no Teams) Suites are the functionality corresponding suites to Covered Suites that exclude Microsoft Teams." w:history="1">
        <w:r>
          <w:rPr>
            <w:rStyle w:val="Hyperlink"/>
            <w:color w:val="505050"/>
          </w:rPr>
          <w:t>(no Teams) Suites</w:t>
        </w:r>
      </w:hyperlink>
      <w:r>
        <w:t xml:space="preserve"> that is offered on the corresponding </w:t>
      </w:r>
      <w:hyperlink w:anchor="_Toc20"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These </w:t>
      </w:r>
      <w:hyperlink w:anchor="_Toc20" w:tooltip="(no Teams) Suites are the functionality corresponding suites to Covered Suites that exclude Microsoft Teams." w:history="1">
        <w:r>
          <w:rPr>
            <w:rStyle w:val="Hyperlink"/>
            <w:color w:val="505050"/>
          </w:rPr>
          <w:t>(no Teams) Suites</w:t>
        </w:r>
      </w:hyperlink>
      <w:r>
        <w:t xml:space="preserve"> may be used with competitors to Teams if the customer purchases a competing solution.</w:t>
      </w:r>
    </w:p>
    <w:p>
      <w:pPr>
        <w:pStyle w:val="Heading3"/>
        <w:spacing w:before="150" w:beforeAutospacing="0"/>
        <w:rPr>
          <w:rFonts w:eastAsia="Times New Roman"/>
          <w:color w:val="0078D4"/>
          <w:sz w:val="26"/>
          <w:szCs w:val="26"/>
        </w:rPr>
      </w:pPr>
      <w:r>
        <w:rPr>
          <w:rFonts w:eastAsia="Times New Roman"/>
          <w:color w:val="0078D4"/>
          <w:sz w:val="26"/>
          <w:szCs w:val="26"/>
        </w:rPr>
        <w:t>Notice about Azure Media Services H.265/HEVC Encoding</w:t>
      </w:r>
    </w:p>
    <w:p>
      <w:pPr>
        <w:pStyle w:val="NormalWeb"/>
        <w:spacing w:after="150"/>
      </w:pPr>
      <w:r>
        <w:t>Customer must obtain its own patent license(s) from any third party H.265/HEVC patent pools or rights holders before using Azure Media Services to encode or decode H.265/HEVC media.</w:t>
      </w:r>
    </w:p>
    <w:p>
      <w:pPr>
        <w:pStyle w:val="Heading3"/>
        <w:spacing w:before="150" w:beforeAutospacing="0"/>
        <w:rPr>
          <w:rFonts w:eastAsia="Times New Roman"/>
          <w:color w:val="0078D4"/>
          <w:sz w:val="26"/>
          <w:szCs w:val="26"/>
        </w:rPr>
      </w:pPr>
      <w:r>
        <w:rPr>
          <w:rFonts w:eastAsia="Times New Roman"/>
          <w:color w:val="0078D4"/>
          <w:sz w:val="26"/>
          <w:szCs w:val="26"/>
        </w:rPr>
        <w:t>Notice about 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6"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pPr>
        <w:pStyle w:val="Heading3"/>
        <w:spacing w:before="150" w:beforeAutospacing="0"/>
        <w:rPr>
          <w:rFonts w:eastAsia="Times New Roman"/>
          <w:color w:val="0078D4"/>
          <w:sz w:val="26"/>
          <w:szCs w:val="26"/>
        </w:rPr>
      </w:pPr>
      <w:r>
        <w:rPr>
          <w:rFonts w:eastAsia="Times New Roman"/>
          <w:color w:val="0078D4"/>
          <w:sz w:val="26"/>
          <w:szCs w:val="26"/>
        </w:rPr>
        <w:t>Notice about Communication Services </w:t>
      </w:r>
    </w:p>
    <w:p>
      <w:pPr>
        <w:pStyle w:val="NormalWeb"/>
        <w:spacing w:after="150"/>
      </w:pPr>
      <w:r>
        <w:t>Certain Online Services provide services for voice and text communications ("Communication Services").  These Communication Services are provided by Microsoft through the Microsoft Affiliate or other service provider authorized to administer them. Pricing for Communication Services may include applicable taxes and fees. Communication Services terms may vary from country to country. All included taxes, fees and terms for Communication Services are disclosed in the terms of use available on the Volume Licensing site at </w:t>
      </w:r>
      <w:hyperlink r:id="rId174" w:tgtFrame="_blank" w:history="1">
        <w:r>
          <w:rPr>
            <w:rStyle w:val="Hyperlink"/>
            <w:color w:val="505050"/>
          </w:rPr>
          <w:t>https://aka.ms/CommunicationServicesTerms</w:t>
        </w:r>
      </w:hyperlink>
      <w:r>
        <w:t>. If an Online Service enables you to access voice and text communication features provided by third parties those services are provided under separate terms directly between you and the third party. Microsoft is not the provider of, and does not manage billing or support for, any such third-party communication services.</w:t>
      </w:r>
    </w:p>
    <w:p>
      <w:pPr>
        <w:pStyle w:val="Heading3"/>
        <w:spacing w:before="150" w:beforeAutospacing="0"/>
        <w:rPr>
          <w:rFonts w:eastAsia="Times New Roman"/>
          <w:color w:val="0078D4"/>
          <w:sz w:val="26"/>
          <w:szCs w:val="26"/>
        </w:rPr>
      </w:pPr>
      <w:r>
        <w:rPr>
          <w:rFonts w:eastAsia="Times New Roman"/>
          <w:color w:val="0078D4"/>
          <w:sz w:val="26"/>
          <w:szCs w:val="26"/>
        </w:rPr>
        <w:t>Notice about H.264/AVC Video Standard and VC-1 Video Standard</w:t>
      </w:r>
    </w:p>
    <w:p>
      <w:pPr>
        <w:pStyle w:val="NormalWeb"/>
        <w:spacing w:after="150"/>
      </w:pPr>
      <w:r>
        <w:t>This software may include H.264/AVC and VC-1, compression technology. MPEG LA, L.L.C. requires this notice:</w:t>
      </w:r>
    </w:p>
    <w:p>
      <w:pPr>
        <w:pStyle w:val="NormalWeb"/>
        <w:spacing w:before="150"/>
      </w:pPr>
      <w:r>
        <w:t xml:space="preserve">THIS PRODUCT IS LICENSED UNDER THE H.264/AVC, AND THE VC-1 PATENT PORTFOLIO LICENSES FOR THE PERSONAL AND NON-COMMERCIAL USE OF A CONSUMER TO (i) ENCODE VIDEO IN COMPLIANCE WITH THE ABOVE (VIDEO STANDARDS) AND/OR (ii) DECODE H.264/AVC, VC-1 THAT WAS ENCODED BY A CONSUMER ENGAGED IN A PERSONAL AND NON-COMMERCIAL ACTIVITY AND/OR WAS OBTAINED FROM A VIDEO PROVIDER LICENSED TO PROVIDE SUCH VIDEO. NO LICENSE IS GRANTED OR SHALL BE IMPLIED FOR ANY OTHER USE. ADDITIONAL INFORMATION MAY BE OBTAINED FROM MPEG LA, L.L.C. REFER TO </w:t>
      </w:r>
      <w:hyperlink r:id="rId198" w:tgtFrame="_blank" w:history="1">
        <w:r>
          <w:rPr>
            <w:rStyle w:val="Hyperlink"/>
            <w:color w:val="505050"/>
          </w:rPr>
          <w:t>www.mpegla.com</w:t>
        </w:r>
      </w:hyperlink>
      <w:r>
        <w:t>.</w:t>
      </w:r>
    </w:p>
    <w:p>
      <w:pPr>
        <w:pStyle w:val="NormalWeb"/>
        <w:spacing w:before="150"/>
      </w:pPr>
      <w:r>
        <w:t>For clarification purposes, this notice does not limit or inhibit the use of the software for normal business uses that are personal to that business which do not include (i) redistribution of the software to third parties, or (ii) creation of content compliant with the VIDEO STANDARDS technologies for distribution to third parties.</w:t>
      </w:r>
    </w:p>
    <w:p w:rsidR="00ED5159" w:rsidP="00ED5159">
      <w:pPr>
        <w:pStyle w:val="ProductList-Offering2Heading"/>
        <w:outlineLvl w:val="2"/>
      </w:pPr>
      <w:r>
        <w:t>Professional Services</w:t>
      </w:r>
      <w:r>
        <w:fldChar w:fldCharType="begin"/>
      </w:r>
      <w:r>
        <w:instrText xml:space="preserve"> TC </w:instrText>
      </w:r>
      <w:bookmarkStart w:id="78" w:name="_Toc256000064"/>
      <w:r>
        <w:instrText>"</w:instrText>
      </w:r>
      <w:r>
        <w:instrText>Professional Services</w:instrText>
      </w:r>
      <w:r>
        <w:instrText>"</w:instrText>
      </w:r>
      <w:bookmarkEnd w:id="78"/>
      <w:r>
        <w:instrText xml:space="preserve"> \l 2</w:instrText>
      </w:r>
      <w:r>
        <w:fldChar w:fldCharType="end"/>
      </w:r>
    </w:p>
    <w:p>
      <w:pPr>
        <w:pStyle w:val="NormalWeb"/>
      </w:pPr>
      <w:r>
        <w:t xml:space="preserve">Customer's right to use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subject to these Product Terms. If, however,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provided pursuant to a separate agreement, then the terms of that separate agreement will apply to those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the event of a conflict between these Product Terms and any separate agreement, the most current terms or agreement governing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control. If Customer's volume licensing agreement is a Microsoft Business Agreement version dated prior to September 2007 or otherwise does not include terms for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Customer has not signed any other master-level Microsoft Services agreement, these Product Terms will apply to any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purchased and used by Customer.</w:t>
      </w:r>
    </w:p>
    <w:p>
      <w:pPr>
        <w:pStyle w:val="NormalWeb"/>
        <w:spacing w:before="150"/>
      </w:pPr>
      <w:r>
        <w:t xml:space="preserve">Data protection and security terms for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are in the </w:t>
      </w:r>
      <w:hyperlink w:anchor="_Toc20" w:tooltip="Data Protection Addendum (DPA) means the Microsoft Products and Services Data Protection Addendum published at https://aka.ms/DPA." w:history="1">
        <w:r>
          <w:rPr>
            <w:rStyle w:val="Hyperlink"/>
            <w:color w:val="505050"/>
          </w:rPr>
          <w:t>DPA</w:t>
        </w:r>
      </w:hyperlink>
      <w:r>
        <w:t>. When used in the sections listed below, the defined term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includes Supplemental Professional Services, and the defined term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includes data obtained for Supplemental Professional Services.</w:t>
      </w:r>
    </w:p>
    <w:p>
      <w:pPr>
        <w:pStyle w:val="Heading3"/>
        <w:spacing w:before="150" w:beforeAutospacing="0"/>
        <w:rPr>
          <w:rFonts w:eastAsia="Times New Roman"/>
          <w:color w:val="0078D4"/>
          <w:sz w:val="26"/>
          <w:szCs w:val="26"/>
        </w:rPr>
      </w:pPr>
      <w:r>
        <w:rPr>
          <w:rFonts w:eastAsia="Times New Roman"/>
          <w:color w:val="0078D4"/>
          <w:sz w:val="26"/>
          <w:szCs w:val="26"/>
        </w:rPr>
        <w:t>Warranties; Obligations of the Parties</w:t>
      </w:r>
    </w:p>
    <w:p>
      <w:pPr>
        <w:pStyle w:val="NormalWeb"/>
        <w:spacing w:after="150"/>
      </w:pPr>
      <w:r>
        <w:t xml:space="preserve">Microsoft warrants that it will perform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with professional care and skill. If Microsoft fails to do so and Customer notifies Microsoft of such performance failure within 90 days of the date of performance, then Microsoft will either re-perform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return the price Customer paid for them. The foregoing is Customer's sole remedy for breach of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warranty. Notwithstanding the foregoing,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that are provided without charge are provided "AS-IS," WITHOUT ANY WARRANTY. Except for the limited warranty above, Microsoft provides no warranties or conditions and disclaims any other express, implied or statutory warranties, including warranties of quality, title, non-infringement, merchantability and fitness for a particular purpose.</w:t>
      </w:r>
    </w:p>
    <w:p>
      <w:pPr>
        <w:pStyle w:val="NormalWeb"/>
        <w:spacing w:before="150"/>
      </w:pPr>
      <w:r>
        <w:t xml:space="preserve">Customer will perform its applicable responsibilities and obligations to support Microsoft's performance of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Customer is solely responsible for testing, deploying, maintaining and supporting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are provided or recommended without charge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 xml:space="preserve">Customer must not (and is not licensed to) use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w:t>
      </w:r>
    </w:p>
    <w:p>
      <w:pPr>
        <w:numPr>
          <w:ilvl w:val="0"/>
          <w:numId w:val="11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11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 or</w:t>
      </w:r>
    </w:p>
    <w:p>
      <w:pPr>
        <w:numPr>
          <w:ilvl w:val="0"/>
          <w:numId w:val="11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 any application or situation where use of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rFonts w:ascii="Segoe UI" w:eastAsia="Times New Roman" w:hAnsi="Segoe UI" w:cs="Segoe UI"/>
            <w:color w:val="505050"/>
            <w:sz w:val="18"/>
            <w:szCs w:val="18"/>
          </w:rPr>
          <w:t>Services Deliverables</w:t>
        </w:r>
      </w:hyperlink>
      <w:r>
        <w:rPr>
          <w:rFonts w:ascii="Segoe UI" w:eastAsia="Times New Roman" w:hAnsi="Segoe UI" w:cs="Segoe UI"/>
          <w:color w:val="505050"/>
          <w:sz w:val="18"/>
          <w:szCs w:val="18"/>
        </w:rPr>
        <w:t xml:space="preserve"> could lead to the death or serious bodily injury of any person, or to severe physical or environmental damage, except in accordance with the High Risk Use section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 Risk Use</w:t>
      </w:r>
    </w:p>
    <w:p>
      <w:pPr>
        <w:pStyle w:val="NormalWeb"/>
        <w:spacing w:after="150"/>
      </w:pPr>
      <w:r>
        <w:t xml:space="preserve">WARNING:   Modern technologies may be used in new and innovative ways, and Customer must consider whether its specific use of these technologies is safe.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not designed or intended to support any use in which a service interruption, defect, error, or other failure of a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could result in the death or serious bodily injury of any person or in physical or environmental damage (collectively, "High Risk Use"). Accordingly, Customer must design and implement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such that, in the event of any interruption, defect, error, or other failure of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the safety of people, property, and the environment are not reduced below a level that is reasonable, appropriate, and legal, whether in general or for a specific industry. Customer's High Risk Use of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is at its own risk. Customer agrees to defend, indemnify and hold Microsoft harmless from and against all damages, costs and attorneys' fees in connection with Customer's High Risk Use. The foregoing indemnification obligation is in addition to any defense obligation set forth in Customer's separate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 of Liability</w:t>
      </w:r>
    </w:p>
    <w:p>
      <w:pPr>
        <w:pStyle w:val="NormalWeb"/>
        <w:spacing w:after="150"/>
      </w:pPr>
      <w:r>
        <w:t xml:space="preserve">To the extent permitted by applicable law, each party's total liability for all claims relating to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be limited to the amounts Customer was required to pay for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the limitation of liability for the Online Service with which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offered, whichever is greater. For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provided free of charge and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Customer is authorized to redistribute to third parties without separate payment to Microsoft, Microsoft's liability is limited to direct damages finally awarded up to US$5,000. </w:t>
      </w:r>
      <w:r>
        <w:rPr>
          <w:rStyle w:val="Strong"/>
        </w:rPr>
        <w:t xml:space="preserve">In no event will either party be liable for indirect, incidental, special, punitive, or consequential damages, including loss of use, loss of profits, or interruption of business, however caused or on any theory of liability in relation to the </w:t>
      </w:r>
      <w:hyperlink w:anchor="_Toc20" w:tooltip="Professional Services means Microsoft technical support services and Microsoft consulting services (e.g., for data migration) provided to Customer. " w:history="1">
        <w:r>
          <w:rPr>
            <w:rStyle w:val="Strong"/>
          </w:rPr>
          <w:t>Professional Services</w:t>
        </w:r>
      </w:hyperlink>
      <w:r>
        <w:rPr>
          <w:rStyle w:val="Strong"/>
        </w:rPr>
        <w:t xml:space="preserve"> or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No limitation or exclusions will apply to liability arising out of either party's (1) confidentiality obligations (except for all liability limited to </w:t>
      </w:r>
      <w:hyperlink w:anchor="_Toc20" w:tooltip="Customer Data means all data, including all text, sound, video, or image files, and software, that are provided to Microsoft by, or on behalf of, Customer through use of the Online Service. Customer Data does not include Professional Services Data." w:history="1">
        <w:r>
          <w:rPr>
            <w:rStyle w:val="Strong"/>
          </w:rPr>
          <w:t>Customer Data</w:t>
        </w:r>
      </w:hyperlink>
      <w:r>
        <w:rPr>
          <w:rStyle w:val="Strong"/>
        </w:rPr>
        <w:t xml:space="preserve"> and </w:t>
      </w:r>
      <w:hyperlink w:anchor="_Toc20" w:tooltip="means all data, including all text, sound, video, image files or software, that are provided to Microsoft, by or on behalf of a Customer through an engagement with Microsoft to obtain Professional Services (see glossary for full definition)." w:history="1">
        <w:r>
          <w:rPr>
            <w:rStyle w:val="Strong"/>
          </w:rPr>
          <w:t>Professional Services Data</w:t>
        </w:r>
      </w:hyperlink>
      <w:r>
        <w:rPr>
          <w:rStyle w:val="Strong"/>
        </w:rPr>
        <w:t>, which remain subject to the limitations and exclusions above); or (2) violation of the other party's intellectual property rights.</w:t>
      </w:r>
    </w:p>
    <w:p>
      <w:pPr>
        <w:pStyle w:val="Heading3"/>
        <w:spacing w:before="150" w:beforeAutospacing="0"/>
        <w:rPr>
          <w:rFonts w:eastAsia="Times New Roman"/>
          <w:color w:val="0078D4"/>
          <w:sz w:val="26"/>
          <w:szCs w:val="26"/>
        </w:rPr>
      </w:pPr>
      <w:r>
        <w:rPr>
          <w:rFonts w:eastAsia="Times New Roman"/>
          <w:color w:val="0078D4"/>
          <w:sz w:val="26"/>
          <w:szCs w:val="26"/>
        </w:rPr>
        <w:t>Use, Ownership, and License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Fixes</w:t>
      </w:r>
    </w:p>
    <w:p>
      <w:pPr>
        <w:pStyle w:val="NormalWeb"/>
        <w:spacing w:after="150"/>
      </w:pPr>
      <w:r>
        <w:t>"Fixes" are Product fixes, modifications or enhancements, or their derivatives, that Microsoft either releases generally (such as service packs) or that Microsoft provides to Customer to address a specific issue. Each Fix is licensed under the same terms as the Product to which it applies. If a Fix is not provided for a specific Product, any use terms Microsoft provides with the Fix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Pre-Existing Work</w:t>
      </w:r>
    </w:p>
    <w:p>
      <w:pPr>
        <w:pStyle w:val="NormalWeb"/>
        <w:spacing w:after="150"/>
      </w:pPr>
      <w:r>
        <w:t xml:space="preserve">"Pre-Existing Work" means any computer code or non-code based written materials developed or otherwise obtained independent of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Customer's volume licensing agreement. All rights in Pre-Existing Work shall remain the sole property of the party providing the Pre-Existing Work. Each party may use, reproduce and modify the other party's Pre-Existing Work only as needed to perform obligations related to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If Customer chooses to disclose its source code to Microsoft during a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engagement, then prior to such disclosure, Customer will remove any third-party source code that Customer is prohibited from disclosing.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Deliverables License</w:t>
      </w:r>
    </w:p>
    <w:p>
      <w:pPr>
        <w:pStyle w:val="NormalWeb"/>
        <w:spacing w:after="150"/>
      </w:pPr>
      <w:r>
        <w:t xml:space="preserve">Upon payment in full for fee based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otherwise upon delivery, Microsoft grants Customer a non-exclusive, non-transferable, perpetual license to reproduce, use, and modify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solely in the form delivered to Customer and solely for Customer's internal business purposes, subject to and in accordance with these Product Terms, the terms and conditions in Customer's volume licensing agreement and any agreed statement of services. Some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and third-party content may be provided under a separate license, such as an open source license. In the event of a conflict between these Product Terms and any separate license, the separate license will prevail with respect to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or third-party content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Retained Rights</w:t>
      </w:r>
    </w:p>
    <w:p>
      <w:pPr>
        <w:pStyle w:val="NormalWeb"/>
        <w:spacing w:after="150"/>
      </w:pPr>
      <w:r>
        <w:t xml:space="preserve">Products, Fixes, and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protected by copyright and other intellectual property rights laws and international treaties. Microsoft reserves all rights not expressly granted in these terms.  No rights will be granted or implied by waiver or estoppel.  Rights to access or use Software on a device do not give Customer any right to implement Microsoft patents or other Microsoft intellectual property in the device itself or in any other software or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not (and is not licensed to) (1) reverse engineer, decompile, disassemble or work around any technical limitations in any Product, Fix, or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except to the extent that applicable law doesn't allow this restriction, (2) install or use non-Microsoft technology in a way that would subject Microsoft's intellectual property or technology to any other license terms, or (3) work around any technical limitations in a Product, Fix, or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or restrictions in Product Documentation. Except as expressly permitted in Customer's separate agreement and any agreed statement of services or separate license, or Product documentation, Customer must not (and is not licensed to) (1) separate and run parts of a Product or Fix on more than one device, upgrade or downgrade parts of a Product or Fix at different times, or transfer parts of a Product or Fix separately, or (2) distribute, sublicense, rent, lease, lend, sell,  offer for sale or otherwise make available any Products, Fixes, or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 whole or in part, or use them to offer hosting services to a third party.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 xml:space="preserve">"Feedback" means expertise and knowledge, including industry knowhow, as well as comments, input and suggestions regarding the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the products, technologies, services, or any components of the foregoing, whether pre-release or commercially released, of either Microsoft or Customer. Neither Microsoft nor Customer are required to provide Feedback to the other in connection with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but if a party in its sole discretion does provide Feedback, both parties agree that the receiving party should be free to use such Feedback without obligation. Accordingly, to the extent that the party providing Feedback owns or controls copyrights or trade secrets covering such Feedback, that party grants to the receiving party and its Affiliates a worldwide, non-exclusive, perpetual, irrevocable and royalty-free license in such intellectual property to: (1) to make, use, modify, distribute, create derivative works and otherwise commercialize the Feedback as part of Microsoft's or Customer's products, technologies, services or any of their components, including without limitation pre-release and commercially released versions of such offerings; and (2) sublicense to third parties the foregoing rights, including the right to grant further sublicenses. Neither party will provide any Feedback subject to any terms that would impose any obligation on or require attribution by the receiving party. Any party receiving Feedback further acknowledges that (1) it has sole and absolute discretion regarding whether it implements such Feedback; (2) it shall base its offerings and marketing plans solely on its own independent research and analysis; and (3) it assumes all risks associated with any implementation of such Feedback.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Technology</w:t>
      </w:r>
    </w:p>
    <w:p>
      <w:pPr>
        <w:pStyle w:val="NormalWeb"/>
        <w:spacing w:after="150"/>
      </w:pPr>
      <w:r>
        <w:t xml:space="preserve">Customer is solely responsible for any non-Microsoft software or technology that it installs or uses with the Online Services, Fixes, or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including without limitation when Customer asks Microsoft to use or modify such third-party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Technical Information from Professional Services</w:t>
      </w:r>
    </w:p>
    <w:p>
      <w:pPr>
        <w:pStyle w:val="NormalWeb"/>
        <w:spacing w:after="150"/>
      </w:pPr>
      <w:r>
        <w:t xml:space="preserve">Microsoft may use any technical information it derives from providing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for problem resolution, troubleshooting, product functionality enhancements, in Fixes, and for Microsoft's knowledge base. Microsoft agrees not to identify Customer or disclose any of Customer's confidential information as part of such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Affiliates' Rights</w:t>
      </w:r>
    </w:p>
    <w:p>
      <w:pPr>
        <w:pStyle w:val="NormalWeb"/>
        <w:spacing w:after="150"/>
      </w:pPr>
      <w:r>
        <w:t xml:space="preserve">Customer may sublicense the rights to use </w:t>
      </w:r>
      <w:hyperlink w:anchor="_Toc20"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to its Affiliates, but Customer's Affiliates may not sublicense these rights. Customer is liable for ensuring its Affiliates' compliance with the terms of these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terms and Customer's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 xml:space="preserve">If Customer is a government entity, then the following terms apply to any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provided at no charge to Customer. Microsoft waives any and all entitlement to compensation from Customer for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compliance with applicable laws and regulations, Microsoft and Customer acknowledge that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for the sole benefit and use of Customer and not provided for the personal use or benefit of any individual government employee.</w:t>
      </w:r>
    </w:p>
    <w:p>
      <w:pPr>
        <w:pStyle w:val="Heading3"/>
        <w:spacing w:before="150" w:beforeAutospacing="0"/>
        <w:rPr>
          <w:rFonts w:eastAsia="Times New Roman"/>
          <w:color w:val="0078D4"/>
          <w:sz w:val="26"/>
          <w:szCs w:val="26"/>
        </w:rPr>
      </w:pPr>
      <w:r>
        <w:rPr>
          <w:rFonts w:eastAsia="Times New Roman"/>
          <w:color w:val="0078D4"/>
          <w:sz w:val="26"/>
          <w:szCs w:val="26"/>
        </w:rPr>
        <w:t>Availability</w:t>
      </w:r>
    </w:p>
    <w:p>
      <w:pPr>
        <w:pStyle w:val="NormalWeb"/>
        <w:spacing w:after="150"/>
      </w:pPr>
      <w:r>
        <w:t xml:space="preserve">Described below are some of the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that are available for purchase through Microsoft Volume Licensing.  Additional </w:t>
      </w:r>
      <w:hyperlink w:anchor="_Toc20" w:tooltip="Professional Services means Microsoft technical support services and Microsoft consulting services (e.g., for data migration) provided to Customer. " w:history="1">
        <w:r>
          <w:rPr>
            <w:rStyle w:val="Hyperlink"/>
            <w:color w:val="505050"/>
          </w:rPr>
          <w:t>Professional Services</w:t>
        </w:r>
      </w:hyperlink>
      <w:r>
        <w:t xml:space="preserve"> may be available and will be described in Customer's Enterprise Services Work Order or other applicable Statement of Services. Contact Microsoft for the purchase of any additional Unified or Premier Support services that are not available for purchase through Microsoft Volume Licensing.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Support Services</w:t>
      </w:r>
    </w:p>
    <w:p>
      <w:pPr>
        <w:pStyle w:val="NormalWeb"/>
        <w:spacing w:after="150"/>
      </w:pPr>
      <w:r>
        <w:t>Microsoft Support Services are a set of comprehensive enterprise support services.  Microsoft Unified or Premier Support, including Enhanced Services and Solutions, are available for purchase through Microsoft Volume Licensing.</w:t>
      </w:r>
    </w:p>
    <w:p>
      <w:pPr>
        <w:pStyle w:val="Heading5"/>
        <w:rPr>
          <w:rFonts w:eastAsia="Times New Roman"/>
        </w:rPr>
      </w:pPr>
      <w:r>
        <w:rPr>
          <w:rFonts w:eastAsia="Times New Roman"/>
        </w:rPr>
        <w:t>Microsoft Unified Support  </w:t>
      </w:r>
    </w:p>
    <w:p>
      <w:pPr>
        <w:pStyle w:val="NormalWeb"/>
      </w:pPr>
      <w:r>
        <w:t>Unified Support services are sold in packages and described in the applicable services description document.  </w:t>
      </w:r>
    </w:p>
    <w:p>
      <w:pPr>
        <w:numPr>
          <w:ilvl w:val="0"/>
          <w:numId w:val="11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Advanced and Performance support services are delivered as described in the Support &amp; Consulting Services Description ("SCSD") located at </w:t>
      </w:r>
      <w:hyperlink r:id="rId199" w:tgtFrame="_blank" w:history="1">
        <w:r>
          <w:rPr>
            <w:rStyle w:val="Hyperlink"/>
            <w:rFonts w:ascii="Segoe UI" w:eastAsia="Times New Roman" w:hAnsi="Segoe UI" w:cs="Segoe UI"/>
            <w:color w:val="505050"/>
            <w:sz w:val="18"/>
            <w:szCs w:val="18"/>
          </w:rPr>
          <w:t>https://www.microsoft.com/en-us/microsoftservices/support-consulting-services-description</w:t>
        </w:r>
      </w:hyperlink>
      <w:r>
        <w:rPr>
          <w:rFonts w:ascii="Segoe UI" w:eastAsia="Times New Roman" w:hAnsi="Segoe UI" w:cs="Segoe UI"/>
          <w:color w:val="505050"/>
          <w:sz w:val="18"/>
          <w:szCs w:val="18"/>
        </w:rPr>
        <w:t>.</w:t>
      </w:r>
    </w:p>
    <w:p>
      <w:pPr>
        <w:numPr>
          <w:ilvl w:val="0"/>
          <w:numId w:val="11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Enterprise support services are delivered as described in the Unified Enterprise Support Services Description ("USSD") located at </w:t>
      </w:r>
      <w:hyperlink r:id="rId200" w:tgtFrame="_blank" w:history="1">
        <w:r>
          <w:rPr>
            <w:rStyle w:val="Hyperlink"/>
            <w:rFonts w:ascii="Segoe UI" w:eastAsia="Times New Roman" w:hAnsi="Segoe UI" w:cs="Segoe UI"/>
            <w:color w:val="505050"/>
            <w:sz w:val="18"/>
            <w:szCs w:val="18"/>
          </w:rPr>
          <w:t>https://www.microsoft.com/unified-support-services-description</w:t>
        </w:r>
      </w:hyperlink>
      <w:r>
        <w:rPr>
          <w:rFonts w:ascii="Segoe UI" w:eastAsia="Times New Roman" w:hAnsi="Segoe UI" w:cs="Segoe UI"/>
          <w:color w:val="505050"/>
          <w:sz w:val="18"/>
          <w:szCs w:val="18"/>
        </w:rPr>
        <w:t>.</w:t>
      </w:r>
    </w:p>
    <w:p>
      <w:pPr>
        <w:pStyle w:val="Heading5"/>
        <w:rPr>
          <w:rFonts w:eastAsia="Times New Roman"/>
        </w:rPr>
      </w:pPr>
      <w:r>
        <w:rPr>
          <w:rFonts w:eastAsia="Times New Roman"/>
        </w:rPr>
        <w:t>Microsoft Premier Support</w:t>
      </w:r>
    </w:p>
    <w:p>
      <w:pPr>
        <w:pStyle w:val="NormalWeb"/>
      </w:pPr>
      <w:r>
        <w:t xml:space="preserve">Premier Support services are sold in packages as described in the Enterprise Services Description of Services ("Description of Services"), located at </w:t>
      </w:r>
      <w:hyperlink r:id="rId201" w:tgtFrame="_blank" w:history="1">
        <w:r>
          <w:rPr>
            <w:rStyle w:val="Hyperlink"/>
            <w:color w:val="505050"/>
          </w:rPr>
          <w:t>https://www.microsoft.com/en-us/microsoftservices/description-of-services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Viva Glint Professional Services Offerings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 Professional Services.</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202" w:tgtFrame="_blank" w:history="1">
        <w:r>
          <w:rPr>
            <w:rStyle w:val="Hyperlink"/>
            <w:color w:val="505050"/>
          </w:rPr>
          <w:t>https://www.linkedin.com/legal/l/lsa</w:t>
        </w:r>
      </w:hyperlink>
      <w:r>
        <w:t>.</w:t>
      </w:r>
    </w:p>
    <w:p>
      <w:pPr>
        <w:pStyle w:val="NormalWeb"/>
        <w:spacing w:before="150"/>
      </w:pPr>
      <w:r>
        <w:rPr>
          <w:rStyle w:val="Strong"/>
        </w:rPr>
        <w:t>Entitlement Term</w:t>
      </w:r>
      <w:r>
        <w:t xml:space="preserve"> means the period from Eligible Customer's purchase of Viva Glint Professional Services until the earliest of 1) expiration of Eligible Customer's Viva Glint Professional Services enrollment; 2) migration of Eligible Customer's data from Legacy Glint Services to Viva Glint; 3) the date that Qualified Customer declines migration of its data from Legacy Glint Services to Viva Glint; or 4) termination of Eligible Customer's Viva Glint enrollment, Viva Glint Professional Services enrollment, or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Purchasing Minimums</w:t>
      </w:r>
    </w:p>
    <w:p>
      <w:pPr>
        <w:pStyle w:val="NormalWeb"/>
        <w:spacing w:after="150"/>
      </w:pPr>
      <w:r>
        <w:t>Viva Glint Professional Services are only available for purchase by Qualified Customers who have purchased the Minimum QTY of Base Licenses set forth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29"/>
        <w:gridCol w:w="1615"/>
        <w:gridCol w:w="40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W w:w="3663" w:type="dxa"/>
            <w:tcBorders>
              <w:top w:val="single" w:sz="8" w:space="0" w:color="A3A3A3"/>
              <w:left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W w:w="1512"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Minimum QTY</w:t>
            </w:r>
          </w:p>
        </w:tc>
        <w:tc>
          <w:tcPr>
            <w:tcW w:w="4175"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Base Licenses</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40,000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1,000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5,000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Reduction Eligibility</w:t>
      </w:r>
    </w:p>
    <w:p>
      <w:pPr>
        <w:pStyle w:val="NormalWeb"/>
        <w:spacing w:after="150"/>
      </w:pPr>
      <w:r>
        <w:t>Customers can report a reduction in licenses for Viva Glint Professional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Legacy Glint Entitlement</w:t>
      </w:r>
    </w:p>
    <w:p>
      <w:pPr>
        <w:pStyle w:val="NormalWeb"/>
        <w:spacing w:after="150"/>
      </w:pPr>
      <w:r>
        <w:t>Purchase of certain Viva Glint Professional Services entitles Qualified Customers to give Eligible Users access to the equivalent Legacy Glint People Science Services (as set forth in the table below) during the Entitlement Term.</w:t>
      </w:r>
    </w:p>
    <w:p>
      <w:pPr>
        <w:pStyle w:val="NormalWeb"/>
        <w:spacing w:before="150"/>
      </w:pPr>
      <w:r>
        <w:t>Customer's access to and use of Legacy Glint Services are governed by the terms set forth in Customer's most recently active LinkedIn Order Form(s) for Legacy Glint Services. No Microsoft terms, including without limitation the Microsoft Product Terms, DPA, or any agreements between Customer and Microsoft shall apply to Legacy Glint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69"/>
        <w:gridCol w:w="55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Legacy Glint People Science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Thought Partnership (C_PS-THGT-PARTNER; Product Id 5069185)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Glint Led (C_PS-GL-LED; Product Id 5069165)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Platinum Admin (C_PS-GL-PLATADMIN; Product Id 5069175)</w:t>
            </w:r>
          </w:p>
        </w:tc>
      </w:tr>
    </w:tbl>
    <w:p/>
    <w:p w:rsidR="00ED5159" w:rsidP="00ED5159">
      <w:pPr>
        <w:pStyle w:val="ProductList-Offering2Heading"/>
        <w:outlineLvl w:val="2"/>
      </w:pPr>
      <w:r>
        <w:t>Program Agreement Supplemental Terms</w:t>
      </w:r>
      <w:r>
        <w:fldChar w:fldCharType="begin"/>
      </w:r>
      <w:r>
        <w:instrText xml:space="preserve"> TC </w:instrText>
      </w:r>
      <w:bookmarkStart w:id="79" w:name="_Toc256000065"/>
      <w:r>
        <w:instrText>"</w:instrText>
      </w:r>
      <w:r>
        <w:instrText>Program Agreement Supplemental Terms</w:instrText>
      </w:r>
      <w:r>
        <w:instrText>"</w:instrText>
      </w:r>
      <w:bookmarkEnd w:id="79"/>
      <w:r>
        <w:instrText xml:space="preserve"> \l 2</w:instrText>
      </w:r>
      <w:r>
        <w:fldChar w:fldCharType="end"/>
      </w:r>
    </w:p>
    <w:p>
      <w:pPr>
        <w:pStyle w:val="NormalWeb"/>
      </w:pPr>
      <w:r>
        <w:t>The terms and conditions below apply to Customer’s volume licensing agreement, as noted.</w:t>
      </w:r>
    </w:p>
    <w:p>
      <w:pPr>
        <w:pStyle w:val="Heading3"/>
        <w:spacing w:before="150" w:beforeAutospacing="0"/>
        <w:rPr>
          <w:rFonts w:eastAsia="Times New Roman"/>
          <w:color w:val="0078D4"/>
          <w:sz w:val="26"/>
          <w:szCs w:val="26"/>
        </w:rPr>
      </w:pPr>
      <w:r>
        <w:rPr>
          <w:rFonts w:eastAsia="Times New Roman"/>
          <w:color w:val="0078D4"/>
          <w:sz w:val="26"/>
          <w:szCs w:val="26"/>
        </w:rPr>
        <w:t>Definition of Management for Qualified Devices</w:t>
      </w:r>
    </w:p>
    <w:p>
      <w:pPr>
        <w:pStyle w:val="NormalWeb"/>
        <w:spacing w:after="150"/>
      </w:pPr>
      <w:r>
        <w:t>If Customer’s volume licensing agreement refers to the Product Terms, the Product List, or the PUR for defining managed Qualified Devices, the following terms apply. Customer “manages” any device on which it directly or indirectly controls one or more operating system environments. For example, Customer manages any device:</w:t>
      </w:r>
    </w:p>
    <w:p>
      <w:pPr>
        <w:numPr>
          <w:ilvl w:val="0"/>
          <w:numId w:val="11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join its domain, or</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authenticates as a requirement to use applications while on its premises, or</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installs agents on (e.g., anti-virus, antimalware or other agents mandated by the Customer’s policy), or</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which it directly or indirectly applies and enforces group policies, or</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 which it solicits or receives data about, and, configures, or gives instructions to hardware or software that is directly or indirectly associated with an operating system environment, or</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access a virtual desktop infrastructure (VDI) outside of Windows SA, Microsoft Intune (Device) or Windows Virtual Desktop Access Roaming Rights.</w:t>
      </w:r>
    </w:p>
    <w:p>
      <w:pPr>
        <w:pStyle w:val="NormalWeb"/>
        <w:spacing w:before="150"/>
      </w:pPr>
      <w:r>
        <w:t>A device that accesses a VDI under Roaming Rights only or utilizes Windows To Go on a Qualifying Third Party Device off the Customer’s premises only, and is not managed for other purposes as described here, is not considered “managed” for purposes of this definition.</w:t>
      </w:r>
    </w:p>
    <w:p>
      <w:pPr>
        <w:pStyle w:val="Heading3"/>
        <w:spacing w:before="150" w:beforeAutospacing="0"/>
        <w:rPr>
          <w:rFonts w:eastAsia="Times New Roman"/>
          <w:color w:val="0078D4"/>
          <w:sz w:val="26"/>
          <w:szCs w:val="26"/>
        </w:rPr>
      </w:pPr>
      <w:r>
        <w:rPr>
          <w:rFonts w:eastAsia="Times New Roman"/>
          <w:color w:val="0078D4"/>
          <w:sz w:val="26"/>
          <w:szCs w:val="26"/>
        </w:rPr>
        <w:t>Online Services in the Open Programs</w:t>
      </w:r>
    </w:p>
    <w:p>
      <w:pPr>
        <w:pStyle w:val="NormalWeb"/>
        <w:spacing w:after="150"/>
      </w:pPr>
      <w:r>
        <w:t>Under the Open License, Open Value, and Open Value Subscription programs, the subscription period for Online Services starts at the time of product key activation and not the time of order. Once the product key is activated, Microsoft will not accept return requests submitted by Microsoft’s partners.</w:t>
      </w:r>
    </w:p>
    <w:p>
      <w:pPr>
        <w:pStyle w:val="NormalWeb"/>
        <w:spacing w:before="150"/>
      </w:pPr>
      <w:r>
        <w:t>Customer qualifies for the Open Value program with a minimum purchase of 5 licenses. Online Services User Subscription Licenses (User SLs) can be counted toward the minimum quantity of 5 licenses. However, 5 User SLs alone does not meet the minimum for Open Value Organization Wide and Open Value Subscription. For OV Organization Wide and OV Subscription the initial order must include a minimum of 5 Desktop Platform or Desktop Component Licenses in addition to any User SLs.</w:t>
      </w:r>
    </w:p>
    <w:p w:rsidR="00ED5159" w:rsidP="00ED5159">
      <w:pPr>
        <w:pStyle w:val="ProductList-Offering2Heading"/>
        <w:outlineLvl w:val="2"/>
      </w:pPr>
      <w:r>
        <w:t>Promotions</w:t>
      </w:r>
      <w:r>
        <w:fldChar w:fldCharType="begin"/>
      </w:r>
      <w:r>
        <w:instrText xml:space="preserve"> TC </w:instrText>
      </w:r>
      <w:bookmarkStart w:id="80" w:name="_Toc256000066"/>
      <w:r>
        <w:instrText>"</w:instrText>
      </w:r>
      <w:r>
        <w:instrText>Promotions</w:instrText>
      </w:r>
      <w:r>
        <w:instrText>"</w:instrText>
      </w:r>
      <w:bookmarkEnd w:id="80"/>
      <w:r>
        <w:instrText xml:space="preserve"> \l 2</w:instrText>
      </w:r>
      <w:r>
        <w:fldChar w:fldCharType="end"/>
      </w:r>
    </w:p>
    <w:p>
      <w:pPr>
        <w:pStyle w:val="NormalWeb"/>
      </w:pPr>
      <w:r>
        <w:t>There are no active Promotions.</w:t>
      </w:r>
    </w:p>
    <w:p w:rsidR="00ED5159" w:rsidP="00ED5159">
      <w:pPr>
        <w:pStyle w:val="ProductList-Offering2Heading"/>
        <w:outlineLvl w:val="2"/>
      </w:pPr>
      <w:r>
        <w:t>Software Assurance Benefits</w:t>
      </w:r>
      <w:r>
        <w:fldChar w:fldCharType="begin"/>
      </w:r>
      <w:r>
        <w:instrText xml:space="preserve"> TC </w:instrText>
      </w:r>
      <w:bookmarkStart w:id="81" w:name="_Toc256000067"/>
      <w:r>
        <w:instrText>"</w:instrText>
      </w:r>
      <w:r>
        <w:instrText>Software Assurance Benefits</w:instrText>
      </w:r>
      <w:r>
        <w:instrText>"</w:instrText>
      </w:r>
      <w:bookmarkEnd w:id="81"/>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&amp; Renewing Software Assurance</w:t>
      </w:r>
    </w:p>
    <w:p>
      <w:pPr>
        <w:pStyle w:val="NormalWeb"/>
        <w:spacing w:after="150"/>
      </w:pPr>
      <w:r>
        <w:t>For information about purchasing and renewing Software Assurance, see "</w:t>
      </w:r>
      <w:hyperlink r:id="rId203" w:tgtFrame="_blank" w:history="1">
        <w:r>
          <w:rPr>
            <w:rStyle w:val="Hyperlink"/>
            <w:color w:val="505050"/>
          </w:rPr>
          <w:t>Purchasing &amp; Renewing Software Assurance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Software Assurance Benefits</w:t>
      </w:r>
    </w:p>
    <w:p>
      <w:pPr>
        <w:pStyle w:val="NormalWeb"/>
        <w:spacing w:after="150"/>
      </w:pPr>
      <w:r>
        <w:t>Most SA Benefits are available across each Product Pool, as described in the table below. Active SA for any qualifying Product qualifies Customer for the benefits shown in the table below. Some benefits are awarded based on Customer's SA spend on a given set of qualifying products within a pool. For these purposes, "SA spend" is not literally Customer's actual dollars spent, but is an approximation of what Customer has spent on SA coverage for those Products under its Select or Enterprise Enrollment, Select Plus registration or Open agreement (For example, SA only purchases and the SA component of L&amp;SA purchases). For customers under subscription programs, it is an approximation of the total dollars Customer has spent licensing those Products under its enrollment or agreement. Software Assurance Membership ("SAM") is required for some benefits. Customer's access and rights to use their SA benefits, generally expires upon expiration of their SA coverage, unless otherwise noted below or in the Product Entries. The benefits are subject to change and may be discontinued at any time without notice. Availability of benefits varies by program, region, fulfillment options and language.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75"/>
        <w:gridCol w:w="1647"/>
        <w:gridCol w:w="1322"/>
        <w:gridCol w:w="11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Benefits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Applications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Systems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New Version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the web, Office Online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Source Licensing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Sideloading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Desktop Optimization Pack (MDOP)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Virtual Desktop Access (VDA)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Workplace Discount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CustomerSource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Step-Up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Disaster Recovery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 Mobility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Self Hosted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SA per User Add-on Purchase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Virtualization Rights for Windows and Windows Embedded Desktops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New Version Rights</w:t>
      </w:r>
    </w:p>
    <w:p>
      <w:pPr>
        <w:pStyle w:val="NormalWeb"/>
        <w:spacing w:after="150"/>
      </w:pPr>
      <w:r>
        <w:t>Customer may upgrade to the latest version of an available Product. If Customer acquires perpetual Licenses through SA, it may deploy new version upgrades for those Licenses after SA coverage has expired, but only to versions released during the active SA coverage. Use of the new version is subject to the License Terms for that version.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for the web services and Office Online Server</w:t>
      </w:r>
    </w:p>
    <w:p>
      <w:pPr>
        <w:pStyle w:val="NormalWeb"/>
        <w:spacing w:after="150"/>
      </w:pPr>
      <w:r>
        <w:t>Users of a device licensed with the qualifying applications may access Office for the web services and Office Online Server for editing documents from the Licensed Device. The Primary User of the Licensed Device may access Office for the web services and Office Online Server for editing documents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491"/>
        <w:gridCol w:w="38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 </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Online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Office for the web</w:t>
            </w:r>
          </w:p>
          <w:p>
            <w:pPr>
              <w:pStyle w:val="NormalWeb"/>
              <w:spacing w:before="150"/>
            </w:pPr>
            <w:r>
              <w:t>Office Online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Mac Standard</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rPr>
          <w:i/>
          <w:iCs/>
        </w:rPr>
        <w:t>Users must also be licensed for SharePoint Online or OneDrive to access Office for the web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Planning Services</w:t>
      </w:r>
    </w:p>
    <w:p>
      <w:pPr>
        <w:pStyle w:val="NormalWeb"/>
        <w:spacing w:after="150"/>
      </w:pPr>
      <w:r>
        <w:t>Planning Services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Enterprise Source Licensing Program</w:t>
      </w:r>
    </w:p>
    <w:p>
      <w:pPr>
        <w:pStyle w:val="NormalWeb"/>
        <w:spacing w:after="150"/>
      </w:pPr>
      <w:r>
        <w:t>Customers with 10,000 or more licensed desktops with SA coverage in the systems pool may be eligible to access to Microsoft Windows source code for internal development and support. Academic programs are eligible for the Microsoft Research Source Licensing Program.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Training Vouchers</w:t>
      </w:r>
    </w:p>
    <w:p>
      <w:pPr>
        <w:pStyle w:val="NormalWeb"/>
        <w:spacing w:after="150"/>
      </w:pPr>
      <w:r>
        <w:t>Training Vouchers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Workplace Discount Program</w:t>
      </w:r>
    </w:p>
    <w:p>
      <w:pPr>
        <w:pStyle w:val="NormalWeb"/>
        <w:spacing w:after="150"/>
      </w:pPr>
      <w:r>
        <w:t>The Microsoft Workplace Discount Program provides Customer's employees the right to acquire Microsoft products or services made available through the Microsoft Workplace Discount Program website(s). Customer's employees may choose to purchase from either the Online Services or Software option.</w:t>
      </w:r>
    </w:p>
    <w:p>
      <w:pPr>
        <w:pStyle w:val="Heading5"/>
        <w:rPr>
          <w:rFonts w:eastAsia="Times New Roman"/>
        </w:rPr>
      </w:pPr>
      <w:r>
        <w:rPr>
          <w:rStyle w:val="Strong"/>
          <w:rFonts w:eastAsia="Times New Roman"/>
        </w:rPr>
        <w:t>Online Services</w:t>
      </w:r>
    </w:p>
    <w:p>
      <w:pPr>
        <w:pStyle w:val="NormalWeb"/>
      </w:pPr>
      <w:r>
        <w:t>The threshold requirement for participation in the Microsoft Workplace Discount Program, for purchase of Online Services, is waived for Customers with SAM coverage for the Application pool. Customer's employees may acquire a single subscription of either Microsoft 365 Family or Microsoft 365 Personal through the Workplace Discount Program website.</w:t>
      </w:r>
    </w:p>
    <w:p>
      <w:pPr>
        <w:pStyle w:val="NormalWeb"/>
        <w:spacing w:before="150"/>
      </w:pPr>
      <w:r>
        <w:t>Microsoft 365 Family or Microsoft 365 Personal subscriptions acquired through the Microsoft Workplace Discount Program website may currently be renewed at the then current Microsoft Workplace Discount Program price regardless of employment or Customer's SAM coverage status.</w:t>
      </w:r>
    </w:p>
    <w:p>
      <w:pPr>
        <w:pStyle w:val="Heading5"/>
        <w:rPr>
          <w:rFonts w:eastAsia="Times New Roman"/>
        </w:rPr>
      </w:pPr>
      <w:r>
        <w:rPr>
          <w:rStyle w:val="Strong"/>
          <w:rFonts w:eastAsia="Times New Roman"/>
        </w:rPr>
        <w:t>Software</w:t>
      </w:r>
    </w:p>
    <w:p>
      <w:pPr>
        <w:pStyle w:val="NormalWeb"/>
      </w:pPr>
      <w:r>
        <w:t>Customer's employees, who are users of the licensed qualifying desktop applications identified in the table below may acquire a single License for the corresponding Workplace Discount Program software, to be installed on one device (either a PC or a Mac, specific to the software that is purchased). Academic Select (without SAM), Academic Select Plus (without SAM), and Academic Open programs are not eligible for this benefit.</w:t>
      </w:r>
    </w:p>
    <w:p>
      <w:pPr>
        <w:pStyle w:val="NormalWeb"/>
        <w:spacing w:before="150"/>
      </w:pPr>
      <w:r>
        <w:t>Workplace Discount Program Licenses expire with termination of employment, termination or expiration of SA coverage for the copy of the corresponding qualifying desktop application that employee uses at work, if the employee is no longer a user of the licensed copy of the qualifying desktop application, or upon the employee's installation and use of any prior or later version of that qualifying desktop application pursuant to a Workplace Discount Program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76"/>
        <w:gridCol w:w="55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Corresponding Workplace Discount Program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The terms of use for products and services acquired through the Workplace Discount Program software are between Microsoft and Customer's employee and are accessed through the Microsoft Workplace Discount Program website(s).</w:t>
      </w:r>
    </w:p>
    <w:p>
      <w:pPr>
        <w:pStyle w:val="NormalWeb"/>
        <w:spacing w:before="150"/>
      </w:pPr>
      <w:r>
        <w:t>Microsoft assumes no responsibility for compliance with any employment-benefit, tax or reporting obligation that either Customer or its employees may have.</w:t>
      </w:r>
    </w:p>
    <w:p>
      <w:pPr>
        <w:pStyle w:val="NormalWeb"/>
        <w:spacing w:before="150"/>
      </w:pPr>
      <w:r>
        <w:t>Microsoft may terminate a customer's participation in the Microsoft Workplace Discount Program, immediately and without notice, in connection with unauthorized access to or licensing through the Microsoft Workplace Discount Program website in connection with that customer's program code.</w:t>
      </w:r>
    </w:p>
    <w:p>
      <w:pPr>
        <w:pStyle w:val="NormalWeb"/>
        <w:spacing w:before="150"/>
      </w:pPr>
      <w:r>
        <w:t xml:space="preserve">For more information on the Microsoft Workplace Discount Program, refer to </w:t>
      </w:r>
      <w:hyperlink r:id="rId204" w:tgtFrame="_blank" w:history="1">
        <w:r>
          <w:rPr>
            <w:rStyle w:val="Hyperlink"/>
            <w:color w:val="505050"/>
          </w:rPr>
          <w:t>http://www.microsoft.com/licensing</w:t>
        </w:r>
      </w:hyperlink>
      <w:r>
        <w:t xml:space="preserve"> or </w:t>
      </w:r>
      <w:hyperlink r:id="rId205" w:tgtFrame="_blank" w:history="1">
        <w:r>
          <w:rPr>
            <w:rStyle w:val="Hyperlink"/>
            <w:color w:val="505050"/>
          </w:rPr>
          <w:t>https://aka.ms/workplacediscountprogram.</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Step-Up License Availability</w:t>
      </w:r>
    </w:p>
    <w:p>
      <w:pPr>
        <w:pStyle w:val="NormalWeb"/>
        <w:spacing w:after="150"/>
      </w:pPr>
      <w:r>
        <w:t>The Step-Up License must be acquired, and is valid only when acquired, under the same volume licensing agreement and enrollment (if any), under which SA coverage for the qualifying product was acquired. Customer’s right to the use of software under a Step-Up License is conditioned on their having and retaining a License for the qualifying product. Customers’ perpetual rights under the Step-Up License supersede and replace the underlying License for the qualifying product. For more details, refer to the Licensing Brief: Microsoft Step-Up Licenses (</w:t>
      </w:r>
      <w:hyperlink r:id="rId206" w:tgtFrame="_blank" w:history="1">
        <w:r>
          <w:rPr>
            <w:rStyle w:val="Hyperlink"/>
            <w:color w:val="505050"/>
          </w:rPr>
          <w:t>https://aka.ms/licensingbrief-stepups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65"/>
        <w:gridCol w:w="466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From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To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Sales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Customer Service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Desktop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Disaster Recovery Rights</w:t>
      </w:r>
    </w:p>
    <w:p>
      <w:pPr>
        <w:pStyle w:val="NormalWeb"/>
        <w:spacing w:after="150"/>
      </w:pPr>
      <w:r>
        <w:t xml:space="preserve">For each Instance of eligible server software Customer runs in a Physical OSE or Virtual OSE on a Licensed Server, it may temporarily run a backup Instance in a Physical OSE or Virtual OSE on either, another one of its Servers dedicated to disaster recovery, or, for Instances of eligible software other than Windows Server, on Microsoft Azure Services, provided the backup Instance is managed by Azure Site Recovery to Azure. The License Terms for the software and the following limitations apply to Customer’s use of the backup Instance. Any dedicated Server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w:t>
      </w:r>
    </w:p>
    <w:p>
      <w:pPr>
        <w:pStyle w:val="Heading5"/>
        <w:rPr>
          <w:rFonts w:eastAsia="Times New Roman"/>
        </w:rPr>
      </w:pPr>
      <w:r>
        <w:rPr>
          <w:rStyle w:val="Strong"/>
          <w:rFonts w:eastAsia="Times New Roman"/>
        </w:rPr>
        <w:t>Permitted Use of Backup Instances</w:t>
      </w:r>
    </w:p>
    <w:p>
      <w:pPr>
        <w:pStyle w:val="NormalWeb"/>
      </w:pPr>
      <w:r>
        <w:t>The backup Instance can run only during the following exception periods:</w:t>
      </w:r>
    </w:p>
    <w:p>
      <w:pPr>
        <w:numPr>
          <w:ilvl w:val="0"/>
          <w:numId w:val="11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brief periods of disaster recovery testing within one week every 90 days;</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During a disaster, while the production Server being recovered is down; and</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Around the time of a disaster, for a brief period, to assist in the transfer between the primary production server and the disaster recovery Server.</w:t>
      </w:r>
    </w:p>
    <w:p>
      <w:pPr>
        <w:pStyle w:val="Heading5"/>
        <w:rPr>
          <w:rFonts w:eastAsia="Times New Roman"/>
        </w:rPr>
      </w:pPr>
      <w:r>
        <w:rPr>
          <w:rStyle w:val="Strong"/>
          <w:rFonts w:eastAsia="Times New Roman"/>
        </w:rPr>
        <w:t>Using the Azure Hybrid Benefit for Disaster Recovery</w:t>
      </w:r>
    </w:p>
    <w:p>
      <w:pPr>
        <w:pStyle w:val="NormalWeb"/>
      </w:pPr>
      <w:r>
        <w:t>Customer optionally may use Windows Server under the Azure Hybrid Benefit for backup Instances run and managed on Microsoft Azure Services using Azure Site Recovery. In this case, notwithstanding anything to the contrary in the Microsoft Azure License Terms governing Azure Hybrid Benefit, Customer will be permitted to concurrently deploy the same Windows Server Standard Licenses on Microsoft Azure Services under Azure Hybrid Benefit for purposes of testing and during recovery (as described in “Permitted Use of Backup Instances” above) and on the Licensed Servers running the corresponding production workloads. Furthermore, Customer may resume running the same production workloads on the Licensed Servers as contemplated in this Disaster Recovery Rights provision, notwithstanding any limitations on License reassignment. </w:t>
      </w:r>
    </w:p>
    <w:p>
      <w:pPr>
        <w:pStyle w:val="Heading5"/>
        <w:rPr>
          <w:rFonts w:eastAsia="Times New Roman"/>
        </w:rPr>
      </w:pPr>
      <w:r>
        <w:rPr>
          <w:rStyle w:val="Strong"/>
          <w:rFonts w:eastAsia="Times New Roman"/>
        </w:rPr>
        <w:t>Requirements for Disaster Recovery Use</w:t>
      </w:r>
    </w:p>
    <w:p>
      <w:pPr>
        <w:pStyle w:val="NormalWeb"/>
      </w:pPr>
      <w:r>
        <w:t>In order to use the software under disaster recovery rights, Customer must comply with the following terms: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must not be running at any other times except as above.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may not be in the same cluster as the production Server.</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of the software backup Instance should comply with the License Terms for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disaster recovery process is complete and the production Server is recovered, the backup Instance must not be running at any other times except those times allowed here.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Maintain SA coverage for all CALs, External Connector licenses and Server Management Licenses under which it accesses the backup instance and manage the OSEs in which that software runs.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Customer’s right to run the backup Instances ends when Customer’s Software Assurance coverage ends.</w:t>
      </w:r>
    </w:p>
    <w:p>
      <w:pPr>
        <w:pStyle w:val="Heading5"/>
        <w:rPr>
          <w:rFonts w:eastAsia="Times New Roman"/>
        </w:rPr>
      </w:pPr>
      <w:r>
        <w:rPr>
          <w:rStyle w:val="Strong"/>
          <w:rFonts w:eastAsia="Times New Roman"/>
        </w:rPr>
        <w:t>Additional Permitted Use of Windows Server</w:t>
      </w:r>
    </w:p>
    <w:p>
      <w:pPr>
        <w:pStyle w:val="NormalWeb"/>
      </w:pPr>
      <w:r>
        <w:t>Other than backup instances run on Microsoft Azure Services, Windows Server License is not required for the disaster recovery Server if the following conditions are met: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Hyper-V role within Windows Server is used to replicate Virtual OSEs from the production Server at a primary site to a disaster recovery Server.</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be used only to:</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such as Hyper-V, provide hardware virtualization services,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software agents to manage the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serve as a destination for replication, receive replicated Virtual OSEs, test failover, await failover of the Virtual OSEs, and</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disaster recovery workloads as described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not be used as a production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Mobility</w:t>
      </w:r>
    </w:p>
    <w:p>
      <w:pPr>
        <w:pStyle w:val="Heading5"/>
        <w:rPr>
          <w:rFonts w:eastAsia="Times New Roman"/>
        </w:rPr>
      </w:pPr>
      <w:r>
        <w:rPr>
          <w:rStyle w:val="Strong"/>
          <w:rFonts w:eastAsia="Times New Roman"/>
        </w:rPr>
        <w:t>License Mobility Across Server Farms</w:t>
      </w:r>
    </w:p>
    <w:p>
      <w:pPr>
        <w:pStyle w:val="NormalWeb"/>
      </w:pPr>
      <w:r>
        <w:t>Under License Mobility Across Server Farms, Customer may reassign any of its Licenses which are designated as having License Mobility and for which it has SA to any of its Licensed Servers located within the same Server Farm as often as needed. Customer may also reassign these Licenses from one Server Farm to another, but not on a short-term basis (i.e., not within 90 days of the last assignment). Products used for Self-Hosting may be used at the same time under License Mobility Across Server Farms rights.</w:t>
      </w:r>
    </w:p>
    <w:p>
      <w:pPr>
        <w:pStyle w:val="Heading5"/>
        <w:rPr>
          <w:rFonts w:eastAsia="Times New Roman"/>
        </w:rPr>
      </w:pPr>
      <w:r>
        <w:rPr>
          <w:rStyle w:val="Strong"/>
          <w:rFonts w:eastAsia="Times New Roman"/>
        </w:rPr>
        <w:t>License Mobility through Software Assurance</w:t>
      </w:r>
    </w:p>
    <w:p>
      <w:pPr>
        <w:pStyle w:val="NormalWeb"/>
      </w:pPr>
      <w:r>
        <w:t>Under License Mobility Through Software Assurance (SA), Customer may move its licensed software to shared servers under any of its Licenses which are designated as having License Mobility for which it has SA, subject to the requirements below. Products used for Self-Hosting may be used at the same time under License Mobility through SA rights, subject to the limitations of the Self-Hosting License Terms.</w:t>
      </w:r>
    </w:p>
    <w:p>
      <w:pPr>
        <w:pStyle w:val="Heading5"/>
        <w:rPr>
          <w:rFonts w:eastAsia="Times New Roman"/>
        </w:rPr>
      </w:pPr>
      <w:r>
        <w:rPr>
          <w:rStyle w:val="Strong"/>
          <w:rFonts w:eastAsia="Times New Roman"/>
        </w:rPr>
        <w:t>Permitted Use:</w:t>
      </w:r>
    </w:p>
    <w:p>
      <w:pPr>
        <w:pStyle w:val="NormalWeb"/>
      </w:pPr>
      <w:r>
        <w:t>With License Mobility through SA, Customer may:</w:t>
      </w:r>
    </w:p>
    <w:p>
      <w:pPr>
        <w:numPr>
          <w:ilvl w:val="0"/>
          <w:numId w:val="11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on shared servers;</w:t>
      </w:r>
    </w:p>
    <w:p>
      <w:pPr>
        <w:numPr>
          <w:ilvl w:val="0"/>
          <w:numId w:val="11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that software under access licenses and for which it has SA, and under its User and Device SLs that permit access to the Products;</w:t>
      </w:r>
    </w:p>
    <w:p>
      <w:pPr>
        <w:numPr>
          <w:ilvl w:val="0"/>
          <w:numId w:val="11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shared servers; and/or</w:t>
      </w:r>
    </w:p>
    <w:p>
      <w:pPr>
        <w:numPr>
          <w:ilvl w:val="0"/>
          <w:numId w:val="11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its servers using software that it runs on shared servers.</w:t>
      </w:r>
    </w:p>
    <w:p>
      <w:pPr>
        <w:pStyle w:val="Heading5"/>
        <w:rPr>
          <w:rFonts w:eastAsia="Times New Roman"/>
        </w:rPr>
      </w:pPr>
      <w:r>
        <w:rPr>
          <w:rStyle w:val="Strong"/>
          <w:rFonts w:eastAsia="Times New Roman"/>
        </w:rPr>
        <w:t>Requirements:</w:t>
      </w:r>
    </w:p>
    <w:p>
      <w:pPr>
        <w:pStyle w:val="NormalWeb"/>
      </w:pPr>
      <w:r>
        <w:t>To use License Mobility through SA,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and manage its OSEs on shared servers under the terms of its volume licensing agreement;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 its Licenses only with Microsoft Azure Services or qualified License Mobility through Software Assurance Partner;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Complete and submit the License Mobility verification form with each License Mobility through Software Assurance Partner who will run its licensed software on their shared servers.</w:t>
      </w:r>
    </w:p>
    <w:p>
      <w:pPr>
        <w:pStyle w:val="NormalWeb"/>
        <w:spacing w:before="150"/>
      </w:pPr>
      <w:r>
        <w:t>Customer may move its licensed software from shared servers back to its Licensed Servers or to another party's shared servers, but not on a short term basis (not within 90 days of the last assignment). Customer may also move Instances run or OSEs managed under a particular License from shared servers in one Server Farm to its shared servers in another Server Farm, but not on a short-term basis (not within 90 days of the last assignment). OSEs managed under the same License must be in the same Server Farm. Customer agrees that it will be responsible for third parties' actions with regard to software deployed and managed on its behalf. Except as provided below, the License Terms applicable to the Product together with the License Mobility through SA terms govern its use. The License Mobility through SA terms supersede any conflicting License terms for a Product when License Mobility through SA is used. License Mobility through SA rights also apply to Listed Providers' Servers that are dedicated to Customer's use, subject to these same terms and conditions. Some Products, as outlined below, have different use rights for shared servers under License Mobility through SA: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1"/>
        <w:gridCol w:w="1590"/>
        <w:gridCol w:w="2238"/>
        <w:gridCol w:w="42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Model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Product/Product Type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Permitted Number of:  OSEs or Cores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 Core/CAL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External Connector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Server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eligible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Core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One virtual core (subject to the product use rights including the requirement of a minimum of 4 cores per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Fail-over Rights</w:t>
      </w:r>
    </w:p>
    <w:p>
      <w:pPr>
        <w:pStyle w:val="NormalWeb"/>
        <w:spacing w:after="150"/>
      </w:pPr>
      <w:r>
        <w:t>For SQL Server Instances run under License Mobility through SA rights, Customer may run passive fail-over Instances in one OSE on the qualifying shared servers in anticipation of a fail-over event. The number of licenses that otherwise would be required to run the passive fail-over Instances must not exceed the number of licenses required to run the corresponding production Instances on the same partner's shared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Self Hosted Applications</w:t>
      </w:r>
    </w:p>
    <w:p>
      <w:pPr>
        <w:pStyle w:val="NormalWeb"/>
        <w:spacing w:after="150"/>
      </w:pPr>
      <w:r>
        <w:t>Self-Hosted Applications means those Products for which Self-Hosted rights apply.</w:t>
      </w:r>
    </w:p>
    <w:p>
      <w:pPr>
        <w:pStyle w:val="NormalWeb"/>
        <w:spacing w:before="150"/>
      </w:pPr>
      <w:r>
        <w:t>Despite any terms to the contrary in Customer's volume licensing agreement including the Product Terms, Customer may run licensed copies of Self-Hosted Applications that interact directly or indirectly with its software to create a unified solution ("Unified Solution") and permit third parties to use it, subject to the terms below.</w:t>
      </w:r>
    </w:p>
    <w:p>
      <w:pPr>
        <w:pStyle w:val="Heading5"/>
        <w:rPr>
          <w:rFonts w:eastAsia="Times New Roman"/>
        </w:rPr>
      </w:pPr>
      <w:r>
        <w:rPr>
          <w:rStyle w:val="Strong"/>
          <w:rFonts w:eastAsia="Times New Roman"/>
        </w:rPr>
        <w:t>Requirements</w:t>
      </w:r>
    </w:p>
    <w:p>
      <w:pPr>
        <w:pStyle w:val="NormalWeb"/>
      </w:pPr>
      <w:r>
        <w:t>Customer must have the required Microsoft Licenses and SA for:</w:t>
      </w:r>
    </w:p>
    <w:p>
      <w:pPr>
        <w:numPr>
          <w:ilvl w:val="0"/>
          <w:numId w:val="11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Self-Hosted Applications run as part of the Unified Solution; and</w:t>
      </w:r>
    </w:p>
    <w:p>
      <w:pPr>
        <w:numPr>
          <w:ilvl w:val="0"/>
          <w:numId w:val="11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 access Licenses used to make the Unified Solution available to External Users.</w:t>
      </w:r>
    </w:p>
    <w:p>
      <w:pPr>
        <w:pStyle w:val="NormalWeb"/>
        <w:spacing w:before="150"/>
      </w:pPr>
      <w:r>
        <w:t>All Microsoft software used to create and deliver the Unified Solution must be: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licensed through a Volume Licensing program;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eligible for Self Hosting under these License Terms.</w:t>
      </w:r>
    </w:p>
    <w:p>
      <w:pPr>
        <w:pStyle w:val="NormalWeb"/>
        <w:spacing w:before="150"/>
      </w:pPr>
      <w:r>
        <w:t xml:space="preserve">Any </w:t>
      </w:r>
      <w:hyperlink w:anchor="_Toc20" w:tooltip="Server means a physical hardware system capable of running server software." w:history="1">
        <w:r>
          <w:rPr>
            <w:rStyle w:val="Hyperlink"/>
            <w:color w:val="505050"/>
          </w:rPr>
          <w:t>Server</w:t>
        </w:r>
      </w:hyperlink>
      <w:r>
        <w:t xml:space="preserve">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Customer may also use License Mobility in conjunction with Self Hosted Applications.</w:t>
      </w:r>
    </w:p>
    <w:p>
      <w:pPr>
        <w:pStyle w:val="NormalWeb"/>
        <w:spacing w:before="150"/>
      </w:pPr>
      <w:r>
        <w:t>Customer's software must: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add significant and primary functionality to the Self-Hosted Applications that are part of the Unified Solution (dashboards, HTML editors, utilities, and similar technologies alone are not a primary service and/or application of a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the principal service and/or application of the Unified Solution, and must not allow direct access to the Self-Hosted Applications by any end user of the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delivered to end users over the Internet, a telephone network, or a private network from servers under the day to day control of Customer or a third party other than the end user of the Unified Solution (the Unified Solution may not be loaded onto the end user's device);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owned, not licensed, by it, except that its software may include non-substantive third party software that is embedded in, or operates in support of, its software.</w:t>
      </w:r>
    </w:p>
    <w:p>
      <w:pPr>
        <w:pStyle w:val="NormalWeb"/>
        <w:spacing w:before="150"/>
      </w:pPr>
      <w:r>
        <w:t>All use of the Self-Hosted Applications remains governed by the License Terms for those products. Customer may not transfer Licenses acquired under its volume licensing agreement except as permitted in that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Security Updates</w:t>
      </w:r>
    </w:p>
    <w:p>
      <w:pPr>
        <w:pStyle w:val="NormalWeb"/>
        <w:spacing w:after="150"/>
      </w:pPr>
      <w:r>
        <w:t xml:space="preserve">Customer may purchase Extended Security Updates ("ESU") coverage for </w:t>
      </w:r>
      <w:hyperlink w:anchor="_Toc20" w:tooltip="License means the right to download, install, access and use a Product." w:history="1">
        <w:r>
          <w:rPr>
            <w:rStyle w:val="Hyperlink"/>
            <w:color w:val="505050"/>
          </w:rPr>
          <w:t>Licenses</w:t>
        </w:r>
      </w:hyperlink>
      <w:r>
        <w:t xml:space="preserve"> with SA coverage and equivalent Subscription Licenses.</w:t>
      </w:r>
    </w:p>
    <w:p>
      <w:pPr>
        <w:pStyle w:val="Heading5"/>
        <w:rPr>
          <w:rFonts w:eastAsia="Times New Roman"/>
        </w:rPr>
      </w:pPr>
      <w:r>
        <w:rPr>
          <w:rStyle w:val="Strong"/>
          <w:rFonts w:eastAsia="Times New Roman"/>
        </w:rPr>
        <w:t>License Requirements</w:t>
      </w:r>
    </w:p>
    <w:p>
      <w:pPr>
        <w:pStyle w:val="NormalWeb"/>
      </w:pPr>
      <w:r>
        <w:t xml:space="preserve">ESU Coverage is required for each core or server </w:t>
      </w:r>
      <w:hyperlink w:anchor="_Toc20" w:tooltip="License means the right to download, install, access and use a Product." w:history="1">
        <w:r>
          <w:rPr>
            <w:rStyle w:val="Hyperlink"/>
            <w:color w:val="505050"/>
          </w:rPr>
          <w:t>License</w:t>
        </w:r>
      </w:hyperlink>
      <w:r>
        <w:t xml:space="preserve"> assigned to the </w:t>
      </w:r>
      <w:hyperlink w:anchor="_Toc20" w:tooltip="Licensed Server means a single Server to which a License is assigned. See Glossary for full definition." w:history="1">
        <w:r>
          <w:rPr>
            <w:rStyle w:val="Hyperlink"/>
            <w:color w:val="505050"/>
          </w:rPr>
          <w:t>Licensed Server</w:t>
        </w:r>
      </w:hyperlink>
      <w:r>
        <w:t xml:space="preserve"> or </w:t>
      </w:r>
      <w:hyperlink w:anchor="_Toc20"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if using License Mobility, subject to the same license minimums. ESU coverage is not required (nor available) for CALs or External Connector Licenses; however, Customer must have active SA (or equivalent Subscription Licenses) for CALs and External Connector Licenses permitting access to Servers with active ESU coverage.</w:t>
      </w:r>
    </w:p>
    <w:p>
      <w:pPr>
        <w:pStyle w:val="Heading5"/>
        <w:rPr>
          <w:rFonts w:eastAsia="Times New Roman"/>
        </w:rPr>
      </w:pPr>
      <w:r>
        <w:rPr>
          <w:rStyle w:val="Strong"/>
          <w:rFonts w:eastAsia="Times New Roman"/>
        </w:rPr>
        <w:t>Coverage Eligibility</w:t>
      </w:r>
    </w:p>
    <w:p>
      <w:pPr>
        <w:pStyle w:val="NormalWeb"/>
      </w:pPr>
      <w:r>
        <w:t xml:space="preserve">For any given </w:t>
      </w:r>
      <w:hyperlink w:anchor="_Toc20" w:tooltip="Server means a physical hardware system capable of running server software." w:history="1">
        <w:r>
          <w:rPr>
            <w:rStyle w:val="Hyperlink"/>
            <w:color w:val="505050"/>
          </w:rPr>
          <w:t>Server</w:t>
        </w:r>
      </w:hyperlink>
      <w:r>
        <w:t>, Customer may acquire ESU coverage for years two and three of the offering only if Customer also acquired coverage for the preceding year. ESU coverage is not required to be co-terminus with SA coverage or SA equivalent Subscription Licenses; however, Customer must have a minimum of one month of qualifying SA coverage or Subscription License term remaining at the beginning of the actual coverage period for each year of ESU coverage purchased (i.e., during year one, year two or year three).</w:t>
      </w:r>
    </w:p>
    <w:p>
      <w:pPr>
        <w:pStyle w:val="Heading5"/>
        <w:rPr>
          <w:rFonts w:eastAsia="Times New Roman"/>
        </w:rPr>
      </w:pPr>
      <w:r>
        <w:rPr>
          <w:rStyle w:val="Strong"/>
          <w:rFonts w:eastAsia="Times New Roman"/>
        </w:rPr>
        <w:t>Use of Updated Software</w:t>
      </w:r>
    </w:p>
    <w:p>
      <w:pPr>
        <w:pStyle w:val="NormalWeb"/>
      </w:pPr>
      <w:r>
        <w:t>Except as follows, server software that is updated through ESU coverage may be used only under licenses that have ESU coverage.</w:t>
      </w:r>
    </w:p>
    <w:p>
      <w:pPr>
        <w:numPr>
          <w:ilvl w:val="0"/>
          <w:numId w:val="11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continue to use updated software after coverage expires, but only under licenses to which coverage applied.</w:t>
      </w:r>
    </w:p>
    <w:p>
      <w:pPr>
        <w:numPr>
          <w:ilvl w:val="0"/>
          <w:numId w:val="11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apply updates provided under their ESU coverage to software Customer licenses and uses solely for development, test and related purposes under corresponding Developer edition licenses or Visual Studio subscriptions.</w:t>
      </w:r>
    </w:p>
    <w:p>
      <w:pPr>
        <w:numPr>
          <w:ilvl w:val="0"/>
          <w:numId w:val="11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updated software under licensed SQL Server, Windows Server, and Windows 7 workloads running on Azure Stack.</w:t>
      </w:r>
    </w:p>
    <w:p>
      <w:pPr>
        <w:pStyle w:val="Heading5"/>
        <w:rPr>
          <w:rFonts w:eastAsia="Times New Roman"/>
        </w:rPr>
      </w:pPr>
      <w:r>
        <w:rPr>
          <w:rStyle w:val="Strong"/>
          <w:rFonts w:eastAsia="Times New Roman"/>
        </w:rPr>
        <w:t>Covering Hosted Workloads</w:t>
      </w:r>
    </w:p>
    <w:p>
      <w:pPr>
        <w:pStyle w:val="NormalWeb"/>
      </w:pPr>
      <w:r>
        <w:t xml:space="preserve">Customer may also purchase ESU coverage for workloads running on Authorized Services Providers' servers under License Included offerings. "Authorized Services Providers" means services providers listed at </w:t>
      </w:r>
      <w:hyperlink r:id="rId207" w:tgtFrame="_blank" w:history="1">
        <w:r>
          <w:rPr>
            <w:u w:val="single"/>
          </w:rPr>
          <w:t>http://www.microsoft.com/licensing/software-assurance/license-mobility.aspx</w:t>
        </w:r>
      </w:hyperlink>
      <w:r>
        <w:t>. "License Included" means Customer is licensing Windows Server or SQL Server through the Authorized Services Provider, and is not redeploying its licenses. Customer must acquire ESU licenses for all of the Virtual Cores in a Virtual OSE subject to a minimum of 8 (eight) for Windows Server and 4 (four) for SQL Server.</w:t>
      </w:r>
    </w:p>
    <w:p>
      <w:pPr>
        <w:pStyle w:val="Heading5"/>
        <w:rPr>
          <w:rFonts w:eastAsia="Times New Roman"/>
        </w:rPr>
      </w:pPr>
      <w:r>
        <w:rPr>
          <w:rStyle w:val="Strong"/>
          <w:rFonts w:eastAsia="Times New Roman"/>
        </w:rPr>
        <w:t>Azure Stack Workloads</w:t>
      </w:r>
    </w:p>
    <w:p>
      <w:pPr>
        <w:pStyle w:val="NormalWeb"/>
      </w:pPr>
      <w:r>
        <w:t>Customer may have access to ESUs for its licensed SQL Server, Windows Server, and Window 7 workloads running on Azure Stack. The requirements to purchase ESU coverage and to access updated server workloads only under CALs with SA coverage are waived solely with respect to SQL Server, Windows Server, and Windows 7 Instances Customer is running on Azure Stack.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rsidR="00ED5159" w:rsidP="00ED5159">
      <w:pPr>
        <w:pStyle w:val="ProductList-Offering2Heading"/>
        <w:outlineLvl w:val="2"/>
      </w:pPr>
      <w:r>
        <w:t>Azure Hardware Terms</w:t>
      </w:r>
      <w:r>
        <w:fldChar w:fldCharType="begin"/>
      </w:r>
      <w:r>
        <w:instrText xml:space="preserve"> TC </w:instrText>
      </w:r>
      <w:bookmarkStart w:id="82" w:name="_Toc256000068"/>
      <w:r>
        <w:instrText>"</w:instrText>
      </w:r>
      <w:r>
        <w:instrText>Azure Hardware Terms</w:instrText>
      </w:r>
      <w:r>
        <w:instrText>"</w:instrText>
      </w:r>
      <w:bookmarkEnd w:id="82"/>
      <w:r>
        <w:instrText xml:space="preserve"> \l 2</w:instrText>
      </w:r>
      <w:r>
        <w:fldChar w:fldCharType="end"/>
      </w:r>
    </w:p>
    <w:p>
      <w:pPr>
        <w:pStyle w:val="NormalWeb"/>
      </w:pPr>
      <w:r>
        <w:t>This section includes the additional or alternative terms that apply to hardware Products that are identified below. If there is a conflict between the provisions of this section and that of the Product Terms, this section shall govern and control for that hardware Product.</w:t>
      </w:r>
    </w:p>
    <w:p>
      <w:pPr>
        <w:pStyle w:val="Heading3"/>
        <w:spacing w:before="150" w:beforeAutospacing="0"/>
        <w:rPr>
          <w:rFonts w:eastAsia="Times New Roman"/>
          <w:color w:val="0078D4"/>
          <w:sz w:val="26"/>
          <w:szCs w:val="26"/>
        </w:rPr>
      </w:pPr>
      <w:r>
        <w:rPr>
          <w:rFonts w:eastAsia="Times New Roman"/>
          <w:color w:val="0078D4"/>
          <w:sz w:val="26"/>
          <w:szCs w:val="26"/>
        </w:rPr>
        <w:t>Azure Data Box Hardware Terms</w:t>
      </w:r>
    </w:p>
    <w:p>
      <w:pPr>
        <w:pStyle w:val="NormalWeb"/>
        <w:spacing w:after="150"/>
      </w:pPr>
      <w:r>
        <w:t xml:space="preserve">The terms and conditions located at </w:t>
      </w:r>
      <w:hyperlink r:id="rId208" w:tgtFrame="_blank" w:history="1">
        <w:r>
          <w:rPr>
            <w:rStyle w:val="Hyperlink"/>
            <w:color w:val="505050"/>
          </w:rPr>
          <w:t>https://docs.microsoft.com/azure/databox/data-box-hardware-additional-terms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Azure Storage</w:t>
      </w:r>
      <w:r>
        <w:t xml:space="preserve"> means the Microsoft-managed cloud service that provides data storage. </w:t>
      </w:r>
    </w:p>
    <w:p>
      <w:pPr>
        <w:pStyle w:val="NormalWeb"/>
        <w:spacing w:before="150"/>
      </w:pPr>
      <w:r>
        <w:rPr>
          <w:rStyle w:val="Strong"/>
        </w:rPr>
        <w:t>Azure Storage Account</w:t>
      </w:r>
      <w:r>
        <w:t xml:space="preserve"> means an account that enables Customer to access and store its information using the Azure Storage service.</w:t>
      </w:r>
    </w:p>
    <w:p>
      <w:pPr>
        <w:pStyle w:val="NormalWeb"/>
        <w:spacing w:before="150"/>
      </w:pPr>
      <w:r>
        <w:rPr>
          <w:rStyle w:val="Strong"/>
        </w:rPr>
        <w:t>Data Box Device</w:t>
      </w:r>
      <w:r>
        <w:t xml:space="preserve"> means a hardware device, including Data Box Software, that Microsoft may provide for Customer's temporary use in transporting data between its premises and the Azure datacenter. The family of Data Box Devices includes Data Box, Data Box Disk, and Data Box Heavy, and successors. </w:t>
      </w:r>
    </w:p>
    <w:p>
      <w:pPr>
        <w:pStyle w:val="NormalWeb"/>
        <w:spacing w:before="150"/>
      </w:pPr>
      <w:r>
        <w:rPr>
          <w:rStyle w:val="Strong"/>
        </w:rPr>
        <w:t>Data Box Software</w:t>
      </w:r>
      <w:r>
        <w:t xml:space="preserve"> means all software provided on or in connection with a Data Box Device, including all tools, updates, and associated documentation.</w:t>
      </w:r>
    </w:p>
    <w:p>
      <w:pPr>
        <w:pStyle w:val="NormalWeb"/>
        <w:spacing w:before="150"/>
      </w:pPr>
      <w:r>
        <w:rPr>
          <w:rStyle w:val="Strong"/>
        </w:rPr>
        <w:t>Designated Azure Data Center</w:t>
      </w:r>
      <w:r>
        <w:t xml:space="preserve"> means the Microsoft Azure data center designated by Microsoft as the data center to which Customer will return the Data Box Device, which may be different than the data center where Customer prefers to store its data and/or the location of Customer's Azure Storage Account.  </w:t>
      </w:r>
    </w:p>
    <w:p>
      <w:pPr>
        <w:pStyle w:val="NormalWeb"/>
        <w:spacing w:before="150"/>
      </w:pPr>
      <w:r>
        <w:rPr>
          <w:rStyle w:val="Strong"/>
        </w:rPr>
        <w:t>Microsoft Azure Data Box Service</w:t>
      </w:r>
      <w:r>
        <w:t xml:space="preserve"> or </w:t>
      </w:r>
      <w:r>
        <w:rPr>
          <w:rStyle w:val="Strong"/>
        </w:rPr>
        <w:t xml:space="preserve">Service </w:t>
      </w:r>
      <w:r>
        <w:t>means the Microsoft Azure service that enables customers to store and transfer large amounts of data to and from data centers on the Data Box Device.  For clarity, the Service includes without limitation, any associated technology or functionality, information, materials, and Service updates.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Box Software</w:t>
      </w:r>
    </w:p>
    <w:p>
      <w:pPr>
        <w:pStyle w:val="NormalWeb"/>
        <w:spacing w:after="150"/>
      </w:pPr>
      <w:r>
        <w:t>The Data Box Software is licensed, not sold. Microsoft grants Customer a limited, nonexclusive, nontransferable license to use the Data Box Software installed on the Data Box Device, or used in connection with the Data Box Device, only for the purpose of transporting data as enabled by the Data Box Device.  Microsoft reserves all other rights. This license does not give Customer any right to, and Customer may not: (i) use or virtualize features of the Data Box Software separately from the Data Box Device; (ii) publish, copy, rent, lease or lend the Data Box Software; (iii) work around any technical restrictions in the Data Box Software or restrictions in the Data Box Device documentation; (iv) separate and run parts of the Data Box Software on more than one device; (v) install or use non-Microsoft software or technology with Data Box Software in any way that would subject Microsoft's intellectual property or technology to any other license terms; or (vi) reverse engineer, decompile, or disassemble the Data Box Software, or attempt to do so, except if applicable law permit this even when these terms do not and, in that case, Customer may do so only as the law allows.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w:t>
      </w:r>
    </w:p>
    <w:p>
      <w:pPr>
        <w:pStyle w:val="NormalWeb"/>
        <w:spacing w:after="150"/>
      </w:pPr>
      <w:r>
        <w:t xml:space="preserve">These Azure Data Box Hardware Terms ("Additional Terms") apply to Customer's receipt and use of the Data Box Device as part of the overall Service. Customer's use of the Service is also subject to Customer's Azure subscription agreement as described at </w:t>
      </w:r>
      <w:hyperlink r:id="rId209"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Data Box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Use Rights</w:t>
      </w:r>
    </w:p>
    <w:p>
      <w:pPr>
        <w:pStyle w:val="NormalWeb"/>
        <w:spacing w:after="150"/>
      </w:pPr>
      <w:r>
        <w:t>Subject to the payment of applicable fees, Microsoft grants Customer permission to use the Data Box Device to transport and transfer data.</w:t>
      </w:r>
    </w:p>
    <w:p>
      <w:pPr>
        <w:pStyle w:val="cms-block-indent-1"/>
        <w:spacing w:before="150"/>
      </w:pPr>
      <w:r>
        <w:rPr>
          <w:rStyle w:val="Strong"/>
        </w:rPr>
        <w:t>Customer Determination of Appropriateness.</w:t>
      </w:r>
      <w:r>
        <w:t xml:space="preserve"> Customer agrees (i) that it is solely responsible for determining the appropriateness of using the Data Box Device as set forth in the Additional Terms, and (ii) that Microsoft shall have no liability to Customer or any other third party for any loss of data or other damages. </w:t>
      </w:r>
    </w:p>
    <w:p>
      <w:pPr>
        <w:pStyle w:val="cms-block-indent-1"/>
        <w:spacing w:before="150"/>
      </w:pPr>
      <w:r>
        <w:rPr>
          <w:rStyle w:val="Strong"/>
        </w:rPr>
        <w:t xml:space="preserve">No Transfer or Access. </w:t>
      </w:r>
      <w:r>
        <w:t>Customer agrees to not sell, assign, or transfer (including location transfer between states or countries) the Data Box Device, and will not directly or indirectly (through a third party) view, open, modify, disassemble, or otherwise tamper with the Data Box Device (including the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DATA BOX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Edge Hardware Terms</w:t>
      </w:r>
    </w:p>
    <w:p>
      <w:pPr>
        <w:pStyle w:val="NormalWeb"/>
        <w:spacing w:after="150"/>
      </w:pPr>
      <w:r>
        <w:t xml:space="preserve">The terms and conditions located at </w:t>
      </w:r>
      <w:hyperlink r:id="rId210" w:tgtFrame="_blank" w:history="1">
        <w:r>
          <w:rPr>
            <w:rStyle w:val="Hyperlink"/>
            <w:color w:val="505050"/>
          </w:rPr>
          <w:t>https://docs.microsoft.com/azure/databox-online/azure-stack-edge-add-hardware-terms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r>
        <w:rPr>
          <w:rStyle w:val="Strong"/>
        </w:rPr>
        <w:t>Azure Stack Edge Device</w:t>
      </w:r>
      <w:r>
        <w:t xml:space="preserve">" means hardware devices, including Software, that are offered as part of Azure Stack Edge family of devices as described at </w:t>
      </w:r>
      <w:hyperlink r:id="rId211" w:history="1">
        <w:r>
          <w:rPr>
            <w:rStyle w:val="Hyperlink"/>
            <w:color w:val="505050"/>
          </w:rPr>
          <w:t>https://azure.microsoft.com/products/azure-stack/edge/</w:t>
        </w:r>
      </w:hyperlink>
      <w:r>
        <w:t>.  </w:t>
      </w:r>
    </w:p>
    <w:p>
      <w:pPr>
        <w:pStyle w:val="NormalWeb"/>
        <w:spacing w:before="150"/>
      </w:pPr>
      <w:r>
        <w:rPr>
          <w:rStyle w:val="Strong"/>
        </w:rPr>
        <w:t>"Azure Stack Edge Service" or "Service"</w:t>
      </w:r>
      <w:r>
        <w:t xml:space="preserve"> means the Azure service that enables customers to receive, provision, use and manage an Azure Stack Edge Device.  For clarity, the Service includes without limitation, any associated technology or functionality (e.g., creating a share), information, materials, and Service updates.  </w:t>
      </w:r>
    </w:p>
    <w:p>
      <w:pPr>
        <w:pStyle w:val="NormalWeb"/>
        <w:spacing w:before="150"/>
      </w:pPr>
      <w:r>
        <w:t>"</w:t>
      </w:r>
      <w:r>
        <w:rPr>
          <w:rStyle w:val="Strong"/>
        </w:rPr>
        <w:t>Software</w:t>
      </w:r>
      <w:r>
        <w:t>" means all software provided on or in connection with an Azure Stack Edge Device,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Services Terms</w:t>
      </w:r>
    </w:p>
    <w:p>
      <w:pPr>
        <w:pStyle w:val="NormalWeb"/>
        <w:spacing w:after="150"/>
      </w:pPr>
      <w:r>
        <w:t xml:space="preserve">These Azure Stack Edge Hardware Terms ("Additional Terms") apply to Customer's receipt and use of the Azure Stack Edge Device as part of the overall Service.  Customer's use of the Service is also subject to Customer's Azure subscription as described at </w:t>
      </w:r>
      <w:hyperlink r:id="rId209"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Azure Stack Edge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Edge Device and Software</w:t>
      </w:r>
    </w:p>
    <w:p>
      <w:pPr>
        <w:pStyle w:val="Heading5"/>
        <w:rPr>
          <w:rFonts w:eastAsia="Times New Roman"/>
        </w:rPr>
      </w:pPr>
      <w:r>
        <w:rPr>
          <w:rFonts w:eastAsia="Times New Roman"/>
        </w:rPr>
        <w:t>Conditions for Azure Stack Edge Use</w:t>
      </w:r>
    </w:p>
    <w:p>
      <w:pPr>
        <w:pStyle w:val="NormalWeb"/>
      </w:pPr>
      <w:r>
        <w:t>Subject to the payment of applicable fees, Microsoft grants Customer permission to use the Azure Stack Edge Device, provided that Customer implements the following:</w:t>
      </w:r>
    </w:p>
    <w:p>
      <w:pPr>
        <w:numPr>
          <w:ilvl w:val="0"/>
          <w:numId w:val="120"/>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is responsible for protection, including retaining backup copies of customer data stored on the Azure Stack Edge Device in the event of device failure, loss, or destruction.</w:t>
      </w:r>
    </w:p>
    <w:p>
      <w:pPr>
        <w:numPr>
          <w:ilvl w:val="0"/>
          <w:numId w:val="1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Azure Stack Edge Device as set forth in these Additional Terms, and (ii) that Microsoft shall have no liability to Customer or any other third party for any loss of data or other damages.</w:t>
      </w:r>
    </w:p>
    <w:p>
      <w:pPr>
        <w:numPr>
          <w:ilvl w:val="0"/>
          <w:numId w:val="1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Azure Stack Edge Device, and will not directly or indirectly (through a third party) view, open, modify, disassemble, or otherwise tamper with the Azure Stack Edge Device (including the Software).</w:t>
      </w:r>
    </w:p>
    <w:p>
      <w:pPr>
        <w:numPr>
          <w:ilvl w:val="0"/>
          <w:numId w:val="1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Accreditation</w:t>
      </w:r>
      <w:r>
        <w:rPr>
          <w:rFonts w:ascii="Segoe UI" w:eastAsia="Times New Roman" w:hAnsi="Segoe UI" w:cs="Segoe UI"/>
          <w:color w:val="505050"/>
          <w:sz w:val="18"/>
          <w:szCs w:val="18"/>
        </w:rPr>
        <w:t>.  To the extent that Customer is a governmental entity, Microsoft also grants Customer the right to place the Azure Stack Edge Device through its accreditation processes to meet its needs, including without limitation, accreditation requirements and processes for use in an unclassified, secret, or top-secret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only with the Azure Stack Edge Device.  Microsoft reserves all other rights. This license does not give Customer any right to, and Customer may not: (i) use or virtualize features of the Software separately from the Azure Stack Edge Device; (ii) publish, copy, rent, lease or lend the Software; (iii) work around any technical restrictions in the Software or restrictions in the Azure Stack Edge Device documentation ; (iv) separate and run parts of the Software on more than one device; (v) install or use non-Microsoft software or technology with the Software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If there is a conflict between these Additional Terms and any separate license terms for any separate modules or agents used in connection with the Azure Stack Edge Device, the separate license terms for those modules or agents will govern and control for the use of such modules or agents.  </w:t>
      </w:r>
    </w:p>
    <w:p>
      <w:pPr>
        <w:pStyle w:val="Heading5"/>
        <w:rPr>
          <w:rFonts w:eastAsia="Times New Roman"/>
        </w:rPr>
      </w:pPr>
      <w:r>
        <w:rPr>
          <w:rFonts w:eastAsia="Times New Roman"/>
        </w:rPr>
        <w:t>Activation/Consent for Internet-based Services</w:t>
      </w:r>
    </w:p>
    <w:p>
      <w:pPr>
        <w:pStyle w:val="NormalWeb"/>
      </w:pPr>
      <w:r>
        <w:t>Activation associates the use of the Software with a specific device. During activation and subsequent use of the device, the Software may send information about the Software and device to Microsoft, including device properties (e.g., node, chassis and component numbers, software and firmware versions, timestamps of registration, etc.) and Customer environment details (e.g., time and update server IP address).</w:t>
      </w:r>
    </w:p>
    <w:p>
      <w:pPr>
        <w:pStyle w:val="NormalWeb"/>
        <w:spacing w:before="150"/>
      </w:pPr>
      <w:r>
        <w:t>Microsoft uses this information to make the Internet-based services available to Customer. By using the Azure Stack Edge Device and Software, Customer consents to the transmission of this information to Microsoft. </w:t>
      </w:r>
    </w:p>
    <w:p>
      <w:pPr>
        <w:pStyle w:val="Heading5"/>
        <w:rPr>
          <w:rFonts w:eastAsia="Times New Roman"/>
        </w:rPr>
      </w:pPr>
      <w:r>
        <w:rPr>
          <w:rFonts w:eastAsia="Times New Roman"/>
        </w:rPr>
        <w:t>Software Updates</w:t>
      </w:r>
    </w:p>
    <w:p>
      <w:pPr>
        <w:pStyle w:val="NormalWeb"/>
      </w:pPr>
      <w:r>
        <w:t>Microsoft may make updates available for the Azure Stack Edge Device. To continue to receive Azure Stack Edge support, Customer agrees that it will stay current with applicable updates by downloading and applying the most recent updates.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The sections titled Azure Services Terms, Software, Survival, and Disclaimer of Warranty will survive expiration or termination of these Additional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AZURE STACK EDGE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Hub Ruggedized Hardware and Azure Stack Hub Datacenter Hardware Terms</w:t>
      </w:r>
    </w:p>
    <w:p>
      <w:pPr>
        <w:pStyle w:val="NormalWeb"/>
        <w:spacing w:after="150"/>
      </w:pPr>
      <w:r>
        <w:t>These Hardware Terms apply to Azure Stack Hub Ruggedized and Azure Stack Hub Datacenter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Documentation</w:t>
      </w:r>
      <w:r>
        <w:t xml:space="preserve"> means the Azure Stack Hub Ruggedized and Azure Stack Hub Datacenter user documentation set forth in </w:t>
      </w:r>
      <w:hyperlink r:id="rId212" w:tgtFrame="_blank" w:history="1">
        <w:r>
          <w:rPr>
            <w:rStyle w:val="Hyperlink"/>
            <w:color w:val="505050"/>
          </w:rPr>
          <w:t>https://aka.ms/azurestackhub</w:t>
        </w:r>
      </w:hyperlink>
      <w:r>
        <w:t>.</w:t>
      </w:r>
    </w:p>
    <w:p>
      <w:pPr>
        <w:pStyle w:val="NormalWeb"/>
        <w:spacing w:before="150"/>
      </w:pPr>
      <w:r>
        <w:rPr>
          <w:rStyle w:val="Strong"/>
        </w:rPr>
        <w:t>Appliance</w:t>
      </w:r>
      <w:r>
        <w:t xml:space="preserve"> means an integrated hardware system, including Software, that Microsoft may offer as part of the Azure Stack family of Appliances as described at </w:t>
      </w:r>
      <w:hyperlink r:id="rId213" w:tgtFrame="_blank" w:history="1">
        <w:r>
          <w:rPr>
            <w:rStyle w:val="Hyperlink"/>
            <w:color w:val="505050"/>
          </w:rPr>
          <w:t>https://azure.microsoft.com/en-us/overview/azure-stack/</w:t>
        </w:r>
      </w:hyperlink>
      <w:r>
        <w:t>, for Customer's use at Customer's designated premises.</w:t>
      </w:r>
    </w:p>
    <w:p>
      <w:pPr>
        <w:pStyle w:val="NormalWeb"/>
        <w:spacing w:before="150"/>
      </w:pPr>
      <w:r>
        <w:rPr>
          <w:rStyle w:val="Strong"/>
        </w:rPr>
        <w:t>Service</w:t>
      </w:r>
      <w:r>
        <w:t xml:space="preserve"> means the Azure service that enables Customers to receive, provision, use, and manage the Appliance in running Azure services.  For clarity, the Service includes without limitation, any associated technology or functionality, information, materials, and Service updates.</w:t>
      </w:r>
    </w:p>
    <w:p>
      <w:pPr>
        <w:pStyle w:val="NormalWeb"/>
        <w:spacing w:before="150"/>
      </w:pPr>
      <w:r>
        <w:rPr>
          <w:rStyle w:val="Strong"/>
        </w:rPr>
        <w:t>Software</w:t>
      </w:r>
      <w:r>
        <w:t xml:space="preserve"> means all software in object code form provided on or in conjunction with an Appliance,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 Limitations</w:t>
      </w:r>
    </w:p>
    <w:p>
      <w:pPr>
        <w:pStyle w:val="Heading5"/>
        <w:rPr>
          <w:rFonts w:eastAsia="Times New Roman"/>
        </w:rPr>
      </w:pPr>
      <w:r>
        <w:rPr>
          <w:rFonts w:eastAsia="Times New Roman"/>
        </w:rPr>
        <w:t>Azure Service Terms</w:t>
      </w:r>
    </w:p>
    <w:p>
      <w:pPr>
        <w:pStyle w:val="NormalWeb"/>
      </w:pPr>
      <w:r>
        <w:t xml:space="preserve">These Stack Hub Appliance Hardware Terms ("Additional Terms") apply to Customer's receipt and use of the Appliance as part of the overall Service.  Customer's use of the Service is also subject to the Azure Service Agreement and Terms located at </w:t>
      </w:r>
      <w:hyperlink r:id="rId214" w:tgtFrame="_blank" w:history="1">
        <w:r>
          <w:rPr>
            <w:rStyle w:val="Hyperlink"/>
            <w:color w:val="505050"/>
          </w:rPr>
          <w:t>https://azure.microsoft.com/en-us/support/legal/</w:t>
        </w:r>
      </w:hyperlink>
      <w:r>
        <w:t>, which includes without limitation, the Customer's customer or other license agreement and the Product Terms.  These Additional Terms supplement but do not amend or modify any existing terms in the Azure Service Agreement and Terms.  If there is a conflict between these Additional Terms and any of the terms comprising the Azure Service Agreement and Terms, the Additional Terms will govern and control for purposes of the use of the Appliance as part of the Service.</w:t>
      </w:r>
    </w:p>
    <w:p>
      <w:pPr>
        <w:pStyle w:val="Heading5"/>
        <w:rPr>
          <w:rFonts w:eastAsia="Times New Roman"/>
        </w:rPr>
      </w:pPr>
      <w:r>
        <w:rPr>
          <w:rFonts w:eastAsia="Times New Roman"/>
        </w:rPr>
        <w:t>Limitations</w:t>
      </w:r>
    </w:p>
    <w:p>
      <w:pPr>
        <w:pStyle w:val="NormalWeb"/>
      </w:pPr>
      <w:r>
        <w:t xml:space="preserve">Microsoft is not obligated to continue to make the Appliance or any other hardware product available in connection with the Service.  The Appliance may not be available in certain regions or jurisdictions, and even where it is, it is subject to availability.  Microsoft is not responsible for delays related to the Service that are outside of its direct control.  Microsoft reserves the right to refuse to offer the Service and corresponding Appliance to anyone in its sole discretion and judgment.  Microsoft may suspend the Service in its discretion in accordance with the terms for Microsoft Azure services under the </w:t>
      </w:r>
      <w:hyperlink r:id="rId25"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Appliance and Software</w:t>
      </w:r>
    </w:p>
    <w:p>
      <w:pPr>
        <w:pStyle w:val="Heading5"/>
        <w:rPr>
          <w:rFonts w:eastAsia="Times New Roman"/>
        </w:rPr>
      </w:pPr>
      <w:r>
        <w:rPr>
          <w:rFonts w:eastAsia="Times New Roman"/>
        </w:rPr>
        <w:t>Conditions for Appliance Use</w:t>
      </w:r>
    </w:p>
    <w:p>
      <w:pPr>
        <w:pStyle w:val="NormalWeb"/>
      </w:pPr>
      <w:r>
        <w:t>Subject to the payment of applicable fees, Microsoft grants Customer permission to use to the Appliance, provided that Customer implements the following:</w:t>
      </w:r>
    </w:p>
    <w:p>
      <w:pPr>
        <w:numPr>
          <w:ilvl w:val="0"/>
          <w:numId w:val="1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agrees to take certain precautions regarding its customer data: (i) Back up and protect all data prior to copying to and storing on the Appliance; (ii) do not delete the data from Customer's premises and equipment before Customer has successfully transferred such data from the Appliance to Microsoft; and (iii) Apply updates as set forth herein and perform preventative maintenance as recommended by Microsoft.</w:t>
      </w:r>
    </w:p>
    <w:p>
      <w:pPr>
        <w:numPr>
          <w:ilvl w:val="0"/>
          <w:numId w:val="1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Appliance as set forth in these Additional Terms, and (ii) that Microsoft shall have no liability to Customer or any other third party for any loss of data or other damages.</w:t>
      </w:r>
    </w:p>
    <w:p>
      <w:pPr>
        <w:numPr>
          <w:ilvl w:val="0"/>
          <w:numId w:val="1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 pre-requisites and facility assessment</w:t>
      </w:r>
      <w:r>
        <w:rPr>
          <w:rFonts w:ascii="Segoe UI" w:eastAsia="Times New Roman" w:hAnsi="Segoe UI" w:cs="Segoe UI"/>
          <w:color w:val="505050"/>
          <w:sz w:val="18"/>
          <w:szCs w:val="18"/>
        </w:rPr>
        <w:t>.  Customer agrees to meet Microsoft's requirements necessary to support the installation, use, maintenance, and removal of the Appliance.</w:t>
      </w:r>
    </w:p>
    <w:p>
      <w:pPr>
        <w:numPr>
          <w:ilvl w:val="0"/>
          <w:numId w:val="1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Appliance, and will not directly or indirectly (through a third party) view, open, modify, disassemble, or otherwise tamper with the Appliance (including the Software).</w:t>
      </w:r>
    </w:p>
    <w:p>
      <w:pPr>
        <w:pStyle w:val="Heading5"/>
        <w:rPr>
          <w:rFonts w:eastAsia="Times New Roman"/>
        </w:rPr>
      </w:pPr>
      <w:r>
        <w:rPr>
          <w:rFonts w:eastAsia="Times New Roman"/>
        </w:rPr>
        <w:t>Accreditation  </w:t>
      </w:r>
    </w:p>
    <w:p>
      <w:pPr>
        <w:pStyle w:val="NormalWeb"/>
      </w:pPr>
      <w:r>
        <w:t>To the extent that the Customer is a governmental entity, Microsoft also grants Customer the right to place the Appliance through its accreditation processes to meet its needs, including without limitation, accreditation requirements and processes for use in an unclassified, secret, or top 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with the Appliance, and for no other purpose.  Microsoft reserves all other rights. This license does not give Customer any right to, and Customer may not: (i) use or virtualize features of the Software separately from the Appliance; (ii) publish, copy, rent, lease or lend the Software; (iii) work around any technical restrictions in the Software or restrictions in the Appliance documentation (if any); (iv) separate and run parts of the Software on more than one device; (v) install or use non-Microsoft software or technology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Subject to the foregoing limitations, Customer's use of the Software is subject to the software license terms presented to or otherwise made available to Customer in connection with the Appliance, and also includes without limitation, any separate license terms for any separate modules or agents to run additional Azure services on or in connection with the Appliance. If there is a conflict between these Additional Terms and any separate license terms for any separate modules or agents used in connection with the Appliance, the separate license terms for those modules or agents shall govern and control for the use of such modules or agents.</w:t>
      </w:r>
    </w:p>
    <w:p>
      <w:pPr>
        <w:pStyle w:val="Heading5"/>
        <w:rPr>
          <w:rFonts w:eastAsia="Times New Roman"/>
        </w:rPr>
      </w:pPr>
      <w:r>
        <w:rPr>
          <w:rFonts w:eastAsia="Times New Roman"/>
        </w:rPr>
        <w:t>Restrictions on Benchmarking  </w:t>
      </w:r>
    </w:p>
    <w:p>
      <w:pPr>
        <w:pStyle w:val="NormalWeb"/>
      </w:pPr>
      <w:r>
        <w:t>Customer may not use the Software for comparisons or "benchmarking," except for Customer's internal purposes, nor publish or disclose the results thereof.</w:t>
      </w:r>
    </w:p>
    <w:p>
      <w:pPr>
        <w:pStyle w:val="Heading5"/>
        <w:rPr>
          <w:rFonts w:eastAsia="Times New Roman"/>
        </w:rPr>
      </w:pPr>
      <w:r>
        <w:rPr>
          <w:rFonts w:eastAsia="Times New Roman"/>
        </w:rPr>
        <w:t>Activation/Consent for Internet-based Services  </w:t>
      </w:r>
    </w:p>
    <w:p>
      <w:pPr>
        <w:pStyle w:val="NormalWeb"/>
      </w:pPr>
      <w:r>
        <w:t>If activation of the Software is necessary, activation associates the use of the Software with a specific device. During activation and subsequent use of the device, the Software may send information about the Software and device to Microsoft, as described in the Documentation. Microsoft uses this telemetry to make the Internet-based services available to Customer. By using the Appliance and Software, Customer consents to the transmission of this information to Microsoft.</w:t>
      </w:r>
    </w:p>
    <w:p>
      <w:pPr>
        <w:pStyle w:val="Heading5"/>
        <w:rPr>
          <w:rFonts w:eastAsia="Times New Roman"/>
        </w:rPr>
      </w:pPr>
      <w:r>
        <w:rPr>
          <w:rFonts w:eastAsia="Times New Roman"/>
        </w:rPr>
        <w:t>Software Updates  </w:t>
      </w:r>
    </w:p>
    <w:p>
      <w:pPr>
        <w:pStyle w:val="NormalWeb"/>
      </w:pPr>
      <w:r>
        <w:t>Microsoft may make Software updates available for the Appliance. If updates are made available, the updates from Microsoft will be licensed by Microsoft and any third-party updates will be licensed by the applicable third party.  In order to continue to receive Appliance support, Customer agrees that it will stay current with applicable updates by downloading and applying the most recent updates in compliance with Microsoft's published or provided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Delivery, Deployment, and Use of the Appliance</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Delivery</w:t>
      </w:r>
      <w:r>
        <w:rPr>
          <w:rFonts w:ascii="Segoe UI" w:eastAsia="Times New Roman" w:hAnsi="Segoe UI" w:cs="Segoe UI"/>
          <w:color w:val="505050"/>
          <w:sz w:val="18"/>
          <w:szCs w:val="18"/>
        </w:rPr>
        <w:t>.  The Service and the Appliance are offered as a Microsoft first party service under these Additional Terms and the Azure Service Agreement and Terms, and by which Microsoft will deliver the Appliance to Customer's specified location ("Customer Specified Location"), subject to Service and Appliance availability.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w:t>
      </w:r>
      <w:r>
        <w:rPr>
          <w:rFonts w:ascii="Segoe UI" w:eastAsia="Times New Roman" w:hAnsi="Segoe UI" w:cs="Segoe UI"/>
          <w:color w:val="505050"/>
          <w:sz w:val="18"/>
          <w:szCs w:val="18"/>
        </w:rPr>
        <w:t>.  Microsoft will initiate and complete the deployment of the Appliance at the Customer Specified Location, which can typically take up to fifteen (15) days.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w:t>
      </w:r>
      <w:r>
        <w:rPr>
          <w:rFonts w:ascii="Segoe UI" w:eastAsia="Times New Roman" w:hAnsi="Segoe UI" w:cs="Segoe UI"/>
          <w:color w:val="505050"/>
          <w:sz w:val="18"/>
          <w:szCs w:val="18"/>
        </w:rPr>
        <w:t>.  As part of the Service, Microsoft allows Customer to use the Appliance for as long as the Customer has an active subscription to the Service, which use includes but is not limited to, use of the hardware, hardware support, and basic software infrastructure services (e.g., storage, compute, including virtual machines and containers). As part of the deployment and use of the Service and the Appliance, Customer agrees to provide assigned resources at the level reasonably requested by Microsoft to address pre-requisite activities, information, items for deployment, and ongoing management.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Optional Services</w:t>
      </w:r>
      <w:r>
        <w:rPr>
          <w:rFonts w:ascii="Segoe UI" w:eastAsia="Times New Roman" w:hAnsi="Segoe UI" w:cs="Segoe UI"/>
          <w:color w:val="505050"/>
          <w:sz w:val="18"/>
          <w:szCs w:val="18"/>
        </w:rPr>
        <w:t>.  Customer may use and subscribe to additional, optional services in connection with the Service and Appliance that will be subject to a separate fee or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Title and Risk of Loss; Shipment and Return Responsibilities</w:t>
      </w:r>
    </w:p>
    <w:p>
      <w:pPr>
        <w:pStyle w:val="Heading5"/>
        <w:rPr>
          <w:rFonts w:eastAsia="Times New Roman"/>
        </w:rPr>
      </w:pPr>
      <w:r>
        <w:rPr>
          <w:rFonts w:eastAsia="Times New Roman"/>
        </w:rPr>
        <w:t>Title and Risk of Loss</w:t>
      </w:r>
    </w:p>
    <w:p>
      <w:pPr>
        <w:pStyle w:val="NormalWeb"/>
      </w:pPr>
      <w:r>
        <w:t xml:space="preserve">All right, title and interest in each Appliance is and shall remain the property of Microsoft, and except as expressly set forth in these Additional Terms, no rights are granted to any Appliance (including under any patent, copyright, trade secret, trademark or other proprietary rights).  Customer will compensate Microsoft for any loss, damage or destruction to or of any Appliance while it is at any of Customer's locations or in the circumstances described in Section "Responsibilities if a Government Customer Moves the Appliance between Customer's Locations," with the exception of expected wear and tear, which includes minor damage (e.g., dings and dents) that do not compromise the structure or functionality of the Appliance.  Customer is responsible for inspecting the Appliance upon receipt from the carrier and for promptly reporting any damages to Microsoft Support at </w:t>
      </w:r>
      <w:r>
        <w:rPr>
          <w:u w:val="single"/>
        </w:rPr>
        <w:t>adbeops@microsoft.com</w:t>
      </w:r>
      <w:r>
        <w:t>.  Customer is responsible for the entire risk of loss of, or any damage (other than expected wear and tear) to, the Appliance once it has been delivered by the carrier to Customer's designated address until the Microsoft-designated carrier accepts the Appliance for return delivery. </w:t>
      </w:r>
    </w:p>
    <w:p>
      <w:pPr>
        <w:pStyle w:val="NormalWeb"/>
        <w:spacing w:before="150"/>
      </w:pPr>
      <w:r>
        <w:t>Microsoft may charge Customer a lost device fee for the Appliance (i) if the Appliance is lost or materially damaged while it is Customer's responsibility as described in the previous sentence, or (ii) if Customer does not return the Appliance to the Microsoft-designated carrier for return or Microsoft pursuant to Section "Shipment and Return of the Appliance" below, within 30 days from the end of Customer's use of the Service.  Microsoft reserves the right to change the fee charged for lost or damaged devices, including but not limited to, by charging different amounts for different device form factors.</w:t>
      </w:r>
    </w:p>
    <w:p>
      <w:pPr>
        <w:pStyle w:val="Heading5"/>
        <w:rPr>
          <w:rFonts w:eastAsia="Times New Roman"/>
        </w:rPr>
      </w:pPr>
      <w:r>
        <w:rPr>
          <w:rFonts w:eastAsia="Times New Roman"/>
        </w:rPr>
        <w:t>Shipment and Return of the Appliance  </w:t>
      </w:r>
    </w:p>
    <w:p>
      <w:pPr>
        <w:pStyle w:val="NormalWeb"/>
      </w:pPr>
      <w:r>
        <w:t>Customer will be responsible for a one-time, per Appliance metered shipping fee for shipping costs and return logistics ("Logistics Fee"), in addition to   any taxes, or applicable customs fees.  The Logistics Fee includes shipping, setup, refurbishment, data destruction, and coverage for loss of the Appliance in transit.  When returning an Appliance to Microsoft, Customer agrees to package and ship the Appliance in accordance with Microsoft's instructions, including the use of a carrier designated by Microsoft and the packaging materials provided by Microsoft. Customer is responsible to remove Customer's data from the Appliance prior to returning it to Microsoft, and follow any Microsoft issued processes for wiping or clearing the Appliance.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Disposition at End of Life  </w:t>
      </w:r>
    </w:p>
    <w:p>
      <w:pPr>
        <w:pStyle w:val="NormalWeb"/>
        <w:spacing w:after="150"/>
      </w:pPr>
      <w:r>
        <w:t>Notwithstanding the foregoing, if Microsoft in its sole discretion determines that the Appliance as part of the Service has reached or exceeded its useful lifespan while it is in the possession of Customer, then Microsoft has the right and ability to change the Appliance or any components thereof.  Customer agrees to provide Microsoft with limited access to Customer Specified Location and the Appliance for this purpose.  Microsoft will discuss logistics and timing of activities related to this change-out of the Appliance or Appliance components with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of Hardware Components Option  </w:t>
      </w:r>
    </w:p>
    <w:p>
      <w:pPr>
        <w:pStyle w:val="NormalWeb"/>
        <w:spacing w:after="150"/>
      </w:pPr>
      <w:r>
        <w:t>Microsoft may provide Customer with separate fee options to retain specified Appliance components (e.g., hard drives) for destruction by Customer or have Microsoft dispose of said components at the end of the Term or Appliance decommissioning.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Responsibilities if a Government Customer Moves the Appliance between Customer's Locations</w:t>
      </w:r>
    </w:p>
    <w:p>
      <w:pPr>
        <w:pStyle w:val="NormalWeb"/>
        <w:spacing w:after="150"/>
      </w:pPr>
      <w:r>
        <w:t>If a government Customer is using an Appliance during the government Customer's use of the Service, the government Customer only may, at government Customer's sole risk and expense, transport the Appliance to government Customer's different locations to upload government Customer's data in accordance with Section "Use of the Appliance and Software" above.  Subject to Section "Export Control Laws", government Customer is responsible for obtaining at government Customer's own risk and expense any export license, import license and other official authorization for the exportation and importation of the Appliance and associated Software and government Customer's data to any such different location of government Customers.   Government Customer is also solely responsible for customs clearance at any such different location of government Customer's, and government Customer will bear all duties, taxes and other official charges payable upon importation as well as any and all costs and risks of carrying out customs formalities in a timely manner.  Government Customer agrees to comply with and be responsible for all applicable import, export and general trade laws and regulations should government Customer decide to transport the Appliance beyond the country border in which Customer receives the Appliance.  Notwithstanding the foregoing, if government Customer transports the Appliance to a different location as set forth in this Section, government Customer agrees to cause the Appliance to return to the country location where Customer received it initially, prior to returning the Appliance to Microsoft or a government Customer Specified Location.  Government Customer acknowledge that there are inherent risks in shipping data on and in connection with the Appliance, and that Microsoft will have no liability to government Customer for any damage, theft, or loss occurring to an Appliance or any data stored on one, including without limitation in transit.  It is Customer's responsibility to obtain the appropriate support agreement from Microsoft in order to meet government Customer's operating objectives for the Appliance; however, depending on the location to which government Customer intends to move the Appliance, Microsoft's ability to provide hardware servicing and support may be delayed, or may not be available.</w:t>
      </w:r>
    </w:p>
    <w:p>
      <w:pPr>
        <w:pStyle w:val="NormalWeb"/>
        <w:spacing w:before="150"/>
      </w:pPr>
      <w:r>
        <w:t>Non-government Customers shall not transport an Azure Stack Hub Ruggedized device or Azure Stack Hub Datacenter device to a country different from the one to which it was delivered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Fees</w:t>
      </w:r>
    </w:p>
    <w:p>
      <w:pPr>
        <w:pStyle w:val="NormalWeb"/>
        <w:spacing w:after="150"/>
      </w:pPr>
      <w:r>
        <w:t>Microsoft will charge Customer specified fees in connection with Customer's use of the Appliance as part of the Service, with the current schedule of fees as provided by Microsoft.  For clarity, Customer may use other Azure services in connection with Customer's use of the Service, and Microsoft deems such services as separate and additional services subject to separate subscription or metered fees and costs, as those additional services are installed on the Appliance.  By way of example only, Azure Storage, Azure Compute, and Azure IoT Hub are separate Azure services, and if used (even in connection with its use of the Service), separate Azure metered services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Sections Azure Services Terms, Software, Survival, Disclaimer of Warranty, Privacy Terms and Export Control Laws will survive expiration or termination of these Additional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APPLIANCE AND ANY ASSISTANCE BY MICROSOFT PROVIDED PURSUANT TO THESE ADDITIONAL TERMS IS PROVIDED "AS-IS." CUSTOMER BEARS THE RISK OF USING THEM.  MICROSOFT GIVES NO EXPRESS WARRANTIES, GUARANTEES OR CONDITIONS. CUSTOMER MAY HAVE ADDITIONAL CONSUMER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Hardware Updates; Support</w:t>
      </w:r>
    </w:p>
    <w:p>
      <w:pPr>
        <w:pStyle w:val="Heading5"/>
        <w:rPr>
          <w:rFonts w:eastAsia="Times New Roman"/>
        </w:rPr>
      </w:pPr>
      <w:r>
        <w:rPr>
          <w:rFonts w:eastAsia="Times New Roman"/>
        </w:rPr>
        <w:t>Hardware Updates  </w:t>
      </w:r>
    </w:p>
    <w:p>
      <w:pPr>
        <w:pStyle w:val="NormalWeb"/>
      </w:pPr>
      <w:r>
        <w:t>Microsoft is not required to provide Customer with any new Appliance releases, enhancements, or updates for the Appliance.  If Microsoft opts to do so, such new releases, enhancements, or updates ("Hardware Updates") will be subject to the terms of these Additional Terms.  Customer agrees to provide limited access to the Customer Specified Location for the purpose of applying new hardware components or the Appliance itself.</w:t>
      </w:r>
    </w:p>
    <w:p>
      <w:pPr>
        <w:pStyle w:val="Heading5"/>
        <w:rPr>
          <w:rFonts w:eastAsia="Times New Roman"/>
        </w:rPr>
      </w:pPr>
      <w:r>
        <w:rPr>
          <w:rFonts w:eastAsia="Times New Roman"/>
        </w:rPr>
        <w:t>Support  </w:t>
      </w:r>
    </w:p>
    <w:p>
      <w:pPr>
        <w:pStyle w:val="NormalWeb"/>
      </w:pPr>
      <w:r>
        <w:t>As part of the subscription to the Service, Microsoft will provide a baseline level of support for the Service and Appliance. Customer will also enroll in the Microsoft Premier Support plan.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Maintenance  </w:t>
      </w:r>
    </w:p>
    <w:p>
      <w:pPr>
        <w:pStyle w:val="NormalWeb"/>
        <w:spacing w:after="150"/>
      </w:pPr>
      <w:r>
        <w:t>Customer agrees that it will not allow anyone to access, repair, or otherwise maintain the Appliance at the Customer Specified Location other than Microsoft or its designees upon request, except for an emergency situation such as fire or imminent personal injury.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Privacy Terms</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w:t>
      </w:r>
      <w:r>
        <w:rPr>
          <w:rFonts w:ascii="Segoe UI" w:eastAsia="Times New Roman" w:hAnsi="Segoe UI" w:cs="Segoe UI"/>
          <w:color w:val="505050"/>
          <w:sz w:val="18"/>
          <w:szCs w:val="18"/>
        </w:rPr>
        <w:t>.  The Microsoft Privacy Statement (</w:t>
      </w:r>
      <w:hyperlink r:id="rId215" w:tgtFrame="_blank" w:history="1">
        <w:r>
          <w:rPr>
            <w:rStyle w:val="Hyperlink"/>
            <w:rFonts w:ascii="Segoe UI" w:eastAsia="Times New Roman" w:hAnsi="Segoe UI" w:cs="Segoe UI"/>
            <w:color w:val="505050"/>
            <w:sz w:val="18"/>
            <w:szCs w:val="18"/>
          </w:rPr>
          <w:t>http://www.microsoft.com/privacystatement/OnlineServices/Default.aspx</w:t>
        </w:r>
      </w:hyperlink>
      <w:r>
        <w:rPr>
          <w:rFonts w:ascii="Segoe UI" w:eastAsia="Times New Roman" w:hAnsi="Segoe UI" w:cs="Segoe UI"/>
          <w:color w:val="505050"/>
          <w:sz w:val="18"/>
          <w:szCs w:val="18"/>
        </w:rPr>
        <w:t>) applies to the Service and the Appliance under these Additional Terms.</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Terms</w:t>
      </w:r>
      <w:r>
        <w:rPr>
          <w:rFonts w:ascii="Segoe UI" w:eastAsia="Times New Roman" w:hAnsi="Segoe UI" w:cs="Segoe UI"/>
          <w:color w:val="505050"/>
          <w:sz w:val="18"/>
          <w:szCs w:val="18"/>
        </w:rPr>
        <w:t>.  Customer agrees to comply with all data protection laws that apply to Customer's use of the Service, its handling of data with the Appliance or in Azure, or if government Customer moves the Appliance as described in the "Responsibilities if a Government Customer Moves an Appliance between Customer's Locations" section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Processing of Personal Data</w:t>
      </w:r>
      <w:r>
        <w:rPr>
          <w:rFonts w:ascii="Segoe UI" w:eastAsia="Times New Roman" w:hAnsi="Segoe UI" w:cs="Segoe UI"/>
          <w:color w:val="505050"/>
          <w:sz w:val="18"/>
          <w:szCs w:val="18"/>
        </w:rPr>
        <w:t xml:space="preserve">.  To the extent Microsoft is a processor or subprocessor of personal data in connection with the software, Microsoft makes the commitments in the European Union General Data Protection Regulation Terms of the Online Services Terms to all customers effective May 25, 2018, at </w:t>
      </w:r>
      <w:hyperlink r:id="rId216" w:tgtFrame="_blank" w:history="1">
        <w:r>
          <w:rPr>
            <w:rStyle w:val="Hyperlink"/>
            <w:rFonts w:ascii="Segoe UI" w:eastAsia="Times New Roman" w:hAnsi="Segoe UI" w:cs="Segoe UI"/>
            <w:color w:val="505050"/>
            <w:sz w:val="18"/>
            <w:szCs w:val="18"/>
          </w:rPr>
          <w:t>http://go.microsoft.com/?linkid=9840733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Applicability of Service Level Agreement</w:t>
      </w:r>
    </w:p>
    <w:p>
      <w:pPr>
        <w:pStyle w:val="NormalWeb"/>
        <w:spacing w:after="150"/>
      </w:pPr>
      <w:r>
        <w:t>Service level agreements that apply to specified Azure services listed in the Service Level Agreement for Microsoft Online Services do not apply to the Service or the Appliance, since Customer is running the Service and Appliance locally, where customer controls and has responsibility for the physical environment.</w:t>
      </w:r>
    </w:p>
    <w:p>
      <w:pPr>
        <w:pStyle w:val="Heading3"/>
        <w:spacing w:before="150" w:beforeAutospacing="0"/>
        <w:rPr>
          <w:rFonts w:eastAsia="Times New Roman"/>
          <w:color w:val="0078D4"/>
          <w:sz w:val="26"/>
          <w:szCs w:val="26"/>
        </w:rPr>
      </w:pPr>
      <w:r>
        <w:rPr>
          <w:rFonts w:eastAsia="Times New Roman"/>
          <w:color w:val="0078D4"/>
          <w:sz w:val="26"/>
          <w:szCs w:val="26"/>
        </w:rPr>
        <w:t>Azure Operator Nexus Hardware Terms</w:t>
      </w:r>
    </w:p>
    <w:p>
      <w:pPr>
        <w:pStyle w:val="NormalWeb"/>
        <w:spacing w:after="150"/>
      </w:pPr>
      <w:r>
        <w:t>These Hardware Terms apply to Azure Operator Nexus.</w:t>
      </w:r>
    </w:p>
    <w:p>
      <w:pPr>
        <w:pStyle w:val="NormalWeb"/>
        <w:spacing w:before="150"/>
      </w:pPr>
      <w:r>
        <w:t xml:space="preserve">Azure Operator Nexus is only available for use by </w:t>
      </w:r>
      <w:hyperlink w:anchor="_Toc20"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w:t>
      </w:r>
    </w:p>
    <w:p>
      <w:pPr>
        <w:pStyle w:val="NormalWeb"/>
        <w:spacing w:before="150"/>
      </w:pPr>
      <w:r>
        <w:t>If there is a conflict between these terms and Customer's Azure subscription agreement, these terms will govern and control only for purposes of the use of Azure Operator Nexus, including use of the Near Edge Software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Near Edge</w:t>
      </w:r>
      <w:r>
        <w:t xml:space="preserve"> means on-premises deployment.</w:t>
      </w:r>
    </w:p>
    <w:p>
      <w:pPr>
        <w:pStyle w:val="NormalWeb"/>
        <w:spacing w:before="150"/>
      </w:pPr>
      <w:r>
        <w:rPr>
          <w:rStyle w:val="Strong"/>
        </w:rPr>
        <w:t>Near Edge Software</w:t>
      </w:r>
      <w:r>
        <w:t xml:space="preserve"> means software running on Customer-operated hardware in Customer's datacenters.</w:t>
      </w:r>
    </w:p>
    <w:p>
      <w:pPr>
        <w:pStyle w:val="NormalWeb"/>
        <w:spacing w:before="150"/>
      </w:pPr>
      <w:r>
        <w:rPr>
          <w:rStyle w:val="Strong"/>
        </w:rPr>
        <w:t>Azure Operator Nexus Hardware</w:t>
      </w:r>
      <w:r>
        <w:t xml:space="preserve"> means a specific hardware configuration for operation of Azure Operator Nexus, together with any accompanying software from the original equipment manufacturer.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Near Edge Terms</w:t>
      </w:r>
    </w:p>
    <w:p>
      <w:pPr>
        <w:pStyle w:val="Heading5"/>
        <w:rPr>
          <w:rFonts w:eastAsia="Times New Roman"/>
        </w:rPr>
      </w:pPr>
      <w:r>
        <w:rPr>
          <w:rFonts w:eastAsia="Times New Roman"/>
        </w:rPr>
        <w:t>Hardware Terms</w:t>
      </w:r>
    </w:p>
    <w:p>
      <w:pPr>
        <w:pStyle w:val="NormalWeb"/>
      </w:pPr>
      <w:r>
        <w:t>Customer is required to procure the Azure Operator Nexus Hardware from one or more third party vendors. Microsoft will provide the Azure Operator Nexus Hardware specifications, based on Customer's stated goals and requirements as communicated to Microsoft, and a list of vendors from whom Customer may procure the Azure Operator Nexus Hardware. Customer is not required to procure the Azure Operator Nexus Hardware from any of the vendors provided by Microsoft and may procure it from an alternate vendor.</w:t>
      </w:r>
    </w:p>
    <w:p>
      <w:pPr>
        <w:pStyle w:val="NormalWeb"/>
        <w:spacing w:before="150"/>
      </w:pPr>
      <w:r>
        <w:t>Microsoft is not responsible for delays related to the Service that are outside of its direct control, including any unavailability of Azure Operator Nexus Hardware. </w:t>
      </w:r>
    </w:p>
    <w:p>
      <w:pPr>
        <w:pStyle w:val="NormalWeb"/>
        <w:spacing w:before="150"/>
      </w:pPr>
      <w:r>
        <w:t>Customer must install the Azure Operator Nexus Hardware in its datacenter, and in a location that meets the space, power, security, bandwidth, network access, and other requirements as applicable and as advised by Microsoft and the hardware manufacturer. Customer will set up the Azure Operator Nexus Hardware such that it is remotely accessible over a secure Azure ExpressRoute connection.</w:t>
      </w:r>
    </w:p>
    <w:p>
      <w:pPr>
        <w:pStyle w:val="NormalWeb"/>
        <w:spacing w:before="150"/>
      </w:pPr>
      <w:r>
        <w:t>Customer is responsible for ensuring that the full equipment specification is procured, installed, configured, and maintained according to the required specifications. Microsoft makes no warranty for, no service level agreement applies to, and Microsoft is not required to provide support for, Azure Operator Nexus if Customer does not install, configure, and maintain the Azure Operator Nexus Hardware to the minimum standard required by Microsoft.</w:t>
      </w:r>
    </w:p>
    <w:p>
      <w:pPr>
        <w:pStyle w:val="Heading5"/>
        <w:rPr>
          <w:rFonts w:eastAsia="Times New Roman"/>
        </w:rPr>
      </w:pPr>
      <w:r>
        <w:rPr>
          <w:rStyle w:val="Strong"/>
          <w:rFonts w:eastAsia="Times New Roman"/>
        </w:rPr>
        <w:t>Disclaimer of Warranty</w:t>
      </w:r>
    </w:p>
    <w:p>
      <w:pPr>
        <w:pStyle w:val="NormalWeb"/>
      </w:pPr>
      <w:r>
        <w:rPr>
          <w:rStyle w:val="Strong"/>
        </w:rPr>
        <w:t>MICROSOFT PROVIDES NO WARRANTIES OR CONDITIONS FOR THE AZURE OPERATOR NEXUS HARDWARE AND DISCLAIMS ANY EXPRESS, IMPLIED OR STATUTORY WARRANTIES, INCLUDING WITHOUT LIMITATION, WARRANTIES OF QUALITY, TITLE, NON-INFRINGEMENT, MERCHANTABLILITY, AND FITNESS FOR A PARTICULAR PURPOSE. MICROSOFT WILL NOT BE LIABLE FOR ANT DIRECT OR INDIRECT, INCIDENTAL, SPECIAL, PUNITIVE, OR CONSEQUENTIAL DAMAGES, INCLUDING LOSS OF USE, LOSS OF PROFITS, OR INTERRUPTION OF BUSINESS, HOWEVER CAUSED OR ON ANY THEORY OF LIABILITY, ("LOSSES") ARISING FROM THE CUSTOMER'S USE OF AZURE OPERATOR NEXUS HARDWARE.</w:t>
      </w:r>
    </w:p>
    <w:p>
      <w:pPr>
        <w:pStyle w:val="Heading5"/>
        <w:rPr>
          <w:rFonts w:eastAsia="Times New Roman"/>
        </w:rPr>
      </w:pPr>
      <w:r>
        <w:rPr>
          <w:rFonts w:eastAsia="Times New Roman"/>
        </w:rPr>
        <w:t>Software Terms</w:t>
      </w:r>
    </w:p>
    <w:p>
      <w:pPr>
        <w:pStyle w:val="NormalWeb"/>
      </w:pPr>
      <w:r>
        <w:t>The Near Edge Software is licensed, not sold.  Subject to the following terms and conditions, Microsoft grants Customer a nonexclusive, limited, nontransferable license to use the Near Edge Software on Azure Operator Nexus Hardware solely as part of Azure Operator Nexus, and for no other purpose.  Microsoft reserves all other rights.</w:t>
      </w:r>
    </w:p>
    <w:p>
      <w:pPr>
        <w:pStyle w:val="NormalWeb"/>
        <w:spacing w:before="150"/>
      </w:pPr>
      <w:r>
        <w:t xml:space="preserve">Customer may install any number of copies of the Near Edge Software and use the Near Edge Software as long as Customer maintains a subscription to Azure Operator Nexus and the Near Edge Software is (i) installed on Azure Operator Nexus Hardware, (ii) registered with Customer's valid Azure subscription and (iii) connected to Customer's Azure subscription at least once every 30 consecutive calendar days. All Customer's rights to install and use Near Edge Software are subject to Customer's enabling and maintaining metering for all copies of the Near Edge Software. Any server that is under the management or control of an entity other than Customer or one of its Affiliates is subject to the </w:t>
      </w:r>
      <w:hyperlink r:id="rId118" w:tgtFrame="_blank" w:history="1">
        <w:r>
          <w:rPr>
            <w:rStyle w:val="Hyperlink"/>
            <w:color w:val="505050"/>
          </w:rPr>
          <w:t>Outsourcing Software Management</w:t>
        </w:r>
      </w:hyperlink>
      <w:r>
        <w:t xml:space="preserve"> clause.</w:t>
      </w:r>
    </w:p>
    <w:p>
      <w:pPr>
        <w:pStyle w:val="NormalWeb"/>
        <w:spacing w:before="150"/>
      </w:pPr>
      <w:r>
        <w:t xml:space="preserve">If activation of the Near Edge Software is necessary, activation associates the use of the Near Edge Software with specific Azure Operator Nexus Hardware. During activation and subsequent use of the Azure Operator Nexus Hardware, the Near Edge Software may send information about the Near Edge Software and the Azure Operator Nexus Hardware to Microsoft, as described in the product documentation. Microsoft uses this telemetry to make the Service available to Customer. By using the Near Edge Software, Customer consents to the transmission of this information to Microsoft. Notwithstanding anything to the contrary in the </w:t>
      </w:r>
      <w:hyperlink r:id="rId217" w:tgtFrame="_blank" w:history="1">
        <w:r>
          <w:rPr>
            <w:rStyle w:val="Hyperlink"/>
            <w:color w:val="505050"/>
          </w:rPr>
          <w:t>Universal Terms for Online Services</w:t>
        </w:r>
      </w:hyperlink>
      <w:r>
        <w:t xml:space="preserve">, Customer may reassign a </w:t>
      </w:r>
      <w:hyperlink w:anchor="_Toc20" w:tooltip="License means the right to download, install, access and use a Product." w:history="1">
        <w:r>
          <w:rPr>
            <w:rStyle w:val="Hyperlink"/>
            <w:color w:val="505050"/>
          </w:rPr>
          <w:t>License</w:t>
        </w:r>
      </w:hyperlink>
      <w:r>
        <w:t xml:space="preserve"> for Near Edge Software at any time to other Azure Operator Nexus Hardware.</w:t>
      </w:r>
    </w:p>
    <w:p>
      <w:pPr>
        <w:pStyle w:val="NormalWeb"/>
        <w:spacing w:before="150"/>
      </w:pPr>
      <w:r>
        <w:t>This license does not give Customer any right to, and Customer may not use or virtualize features of the Near Edge Software separately from the Azure Operator Nexus Hardware.</w:t>
      </w:r>
    </w:p>
    <w:p>
      <w:pPr>
        <w:pStyle w:val="NormalWeb"/>
        <w:spacing w:before="150"/>
      </w:pPr>
      <w:r>
        <w:t xml:space="preserve">The Near Edge Software is licensed to Customer under this agreement as part of an Online Service, Azure Operator Nexus. Notwithstanding that the Near Edge Software is part of an Online Service, because the physical operating environment of the Azure Operator Nexus Hardware is under Customer's, not Microsoft's, control the terms of the </w:t>
      </w:r>
      <w:hyperlink w:anchor="_Toc20" w:tooltip="Data Protection Addendum (DPA) means the Microsoft Products and Services Data Protection Addendum published at https://aka.ms/DPA." w:history="1">
        <w:r>
          <w:rPr>
            <w:rStyle w:val="Hyperlink"/>
            <w:color w:val="505050"/>
          </w:rPr>
          <w:t>DPA</w:t>
        </w:r>
      </w:hyperlink>
      <w:r>
        <w:t xml:space="preserve"> do not apply to Near Edge Software installed on Azure Operator Nexus Hardware, except to the extent any Personal Data is collected by Microsoft.</w:t>
      </w:r>
    </w:p>
    <w:p>
      <w:pPr>
        <w:pStyle w:val="Heading5"/>
        <w:rPr>
          <w:rFonts w:eastAsia="Times New Roman"/>
        </w:rPr>
      </w:pPr>
      <w:r>
        <w:rPr>
          <w:rFonts w:eastAsia="Times New Roman"/>
        </w:rPr>
        <w:t>Limited Warranties</w:t>
      </w:r>
    </w:p>
    <w:p>
      <w:pPr>
        <w:pStyle w:val="NormalWeb"/>
      </w:pPr>
      <w:r>
        <w:t xml:space="preserve">Microsoft warrants that each version of the Near Edge Software will perform substantially as described in the applicable product documentation for one year from the date Customer is first licensed for that version. If it does not, and Customer notifies Microsoft within the warranty term, then Microsoft will, at its option (1) return the portion of the price Customer paid that is attributable to the Near Edge Software license, or (2) repair or replace the Near Edge Software. The remedies above are Customer's sole remedies for breach of the warranties in this section. Customer waives any breach of warranty claims not made during the warranty period. The warranties in this section do not apply to problems caused by accident, abuse or use in a manner inconsistent with these terms and/or Customer's Azure subscription agreement, including failure to meet minimum system requirements. </w:t>
      </w:r>
      <w:r>
        <w:rPr>
          <w:rStyle w:val="Strong"/>
        </w:rPr>
        <w:t>Except for the limited warranties above, Microsoft provides no other warranties or conditions and disclaims any other express, implied or statutory warranties, including warranties of quality, title, non-infringement, merchantability, and fitness for a particular purpose for the Near Edge Software.</w:t>
      </w:r>
    </w:p>
    <w:p>
      <w:pPr>
        <w:pStyle w:val="Heading5"/>
        <w:rPr>
          <w:rFonts w:eastAsia="Times New Roman"/>
        </w:rPr>
      </w:pPr>
      <w:r>
        <w:rPr>
          <w:rFonts w:eastAsia="Times New Roman"/>
        </w:rPr>
        <w:t>Non-Microsoft Products</w:t>
      </w:r>
    </w:p>
    <w:p>
      <w:pPr>
        <w:pStyle w:val="NormalWeb"/>
      </w:pPr>
      <w:r>
        <w:t xml:space="preserve">Customer may only install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 xml:space="preserve"> for use with Azure Operator Nexus that Microsoft informs Customer have completed a pre-certification process. Customer may be required to enter into a separate licensing agreement with the developer of the </w:t>
      </w:r>
      <w:hyperlink w:anchor="_Toc20"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5"/>
        <w:rPr>
          <w:rFonts w:eastAsia="Times New Roman"/>
        </w:rPr>
      </w:pPr>
      <w:r>
        <w:rPr>
          <w:rFonts w:eastAsia="Times New Roman"/>
        </w:rPr>
        <w:t>Indemnity for Regulatory Breach</w:t>
      </w:r>
    </w:p>
    <w:p>
      <w:pPr>
        <w:pStyle w:val="NormalWeb"/>
      </w:pPr>
      <w:r>
        <w:t>Customer's right to use Azure Operator Nexus is subject to Customer agreeing to defend, hold harmless, and indemnify Microsoft and its directors, officers, employees, affiliates, and agents from and against (i) any and all demands, assertions, and legal proceedings brought by any third party (and all resulting judgments, settlements and expenses (including reasonable attorneys' fees and costs)) arising from a material breach of these terms by Customer or Customer's subcontractors, agents, employees, or customers; and (ii) any claim by an end user, third party, and/or regulatory authority in connection with the services provided by Customer to end users, including, without limitation, any claim alleging failure to comply with applicable telecommunication laws, security laws, and telemarketing laws, including the U.S. Telephone Consumer Protection Act of 1991. Customer shall pay any resulting judgment, or settlement, and all costs, including reasonable attorney's fees, and expenses related thereto.</w:t>
      </w:r>
    </w:p>
    <w:p w:rsidR="00ED5159" w:rsidP="00ED5159">
      <w:pPr>
        <w:pStyle w:val="ProductList-Offering2Heading"/>
        <w:outlineLvl w:val="2"/>
      </w:pPr>
      <w:r>
        <w:t>Amazon Workspaces Deployments</w:t>
      </w:r>
      <w:r>
        <w:fldChar w:fldCharType="begin"/>
      </w:r>
      <w:r>
        <w:instrText xml:space="preserve"> TC </w:instrText>
      </w:r>
      <w:bookmarkStart w:id="83" w:name="_Toc256000069"/>
      <w:r>
        <w:instrText>"</w:instrText>
      </w:r>
      <w:r>
        <w:instrText>Amazon Workspaces Deployments</w:instrText>
      </w:r>
      <w:r>
        <w:instrText>"</w:instrText>
      </w:r>
      <w:bookmarkEnd w:id="83"/>
      <w:r>
        <w:instrText xml:space="preserve"> \l 2</w:instrText>
      </w:r>
      <w:r>
        <w:fldChar w:fldCharType="end"/>
      </w:r>
    </w:p>
    <w:p>
      <w:pPr>
        <w:pStyle w:val="NormalWeb"/>
      </w:pPr>
      <w:r>
        <w:t xml:space="preserve">Notwithstanding anything in the </w:t>
      </w:r>
      <w:hyperlink r:id="rId118" w:tgtFrame="_blank" w:history="1">
        <w:r>
          <w:rPr>
            <w:rStyle w:val="Hyperlink"/>
            <w:color w:val="505050"/>
          </w:rPr>
          <w:t>Outsourcing Software Management</w:t>
        </w:r>
      </w:hyperlink>
      <w:r>
        <w:t xml:space="preserve"> clause to the contrary, each Licensed User of an Eligible Product may install and run in Amazon WorkSpaces their permitted instances of the following software configured under the Monthly Enterprise or Current Channel. </w:t>
      </w:r>
    </w:p>
    <w:p>
      <w:pPr>
        <w:numPr>
          <w:ilvl w:val="0"/>
          <w:numId w:val="1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Apps for enterprise/business, and</w:t>
      </w:r>
    </w:p>
    <w:p>
      <w:pPr>
        <w:numPr>
          <w:ilvl w:val="0"/>
          <w:numId w:val="1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Additional Client Applications, if the </w:t>
      </w:r>
      <w:hyperlink w:anchor="_Toc20"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is also licensed for an applicable Online Service plan, as identified below.</w:t>
      </w:r>
    </w:p>
    <w:p>
      <w:pPr>
        <w:pStyle w:val="NormalWeb"/>
        <w:spacing w:before="150"/>
      </w:pPr>
      <w:r>
        <w:t>Eligible Products: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E3/E5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A3/A5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G3/G5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Business Premium</w:t>
      </w:r>
    </w:p>
    <w:p>
      <w:pPr>
        <w:pStyle w:val="NormalWeb"/>
        <w:spacing w:before="150"/>
      </w:pPr>
      <w:r>
        <w:t>Additional Client Applications: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Project licensed under Planner and Project Plan 3 or 5 </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Visio, licensed under Visio Online Plan 2</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Teams, licensed under Microsoft Teams EEA/Enterprise/Essentials/Premium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Power Automate, licensed under Microsoft Power Automate 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 licensed under Microsoft 365 Copilot</w:t>
      </w:r>
    </w:p>
    <w:p w:rsidR="00ED5159" w:rsidP="00ED5159">
      <w:pPr>
        <w:pStyle w:val="ProductList-Offering2Heading"/>
        <w:outlineLvl w:val="2"/>
      </w:pPr>
      <w:r>
        <w:t>Student Use Benefits and Academic Programs</w:t>
      </w:r>
      <w:r>
        <w:fldChar w:fldCharType="begin"/>
      </w:r>
      <w:r>
        <w:instrText xml:space="preserve"> TC </w:instrText>
      </w:r>
      <w:bookmarkStart w:id="84" w:name="_Toc256000070"/>
      <w:r>
        <w:instrText>"</w:instrText>
      </w:r>
      <w:r>
        <w:instrText>Student Use Benefits and Academic Programs</w:instrText>
      </w:r>
      <w:r>
        <w:instrText>"</w:instrText>
      </w:r>
      <w:bookmarkEnd w:id="84"/>
      <w:r>
        <w:instrText xml:space="preserve"> \l 2</w:instrText>
      </w:r>
      <w:r>
        <w:fldChar w:fldCharType="end"/>
      </w:r>
    </w:p>
    <w:p>
      <w:pPr>
        <w:pStyle w:val="NormalWeb"/>
      </w:pPr>
      <w:r>
        <w:t>This section highlights the specific benefits provided to Students in Open Value Subscription for Education Solutions, School Agreement, Enrollment for Education Solutions, and Cloud Solution Provider programs.</w:t>
      </w:r>
    </w:p>
    <w:p>
      <w:pPr>
        <w:pStyle w:val="Heading3"/>
        <w:spacing w:before="150" w:beforeAutospacing="0"/>
        <w:rPr>
          <w:rFonts w:eastAsia="Times New Roman"/>
          <w:color w:val="0078D4"/>
          <w:sz w:val="26"/>
          <w:szCs w:val="26"/>
        </w:rPr>
      </w:pPr>
      <w:r>
        <w:rPr>
          <w:rFonts w:eastAsia="Times New Roman"/>
          <w:color w:val="0078D4"/>
          <w:sz w:val="26"/>
          <w:szCs w:val="26"/>
        </w:rPr>
        <w:t>Product Key and Software Distribution of Academic Program Benefits  </w:t>
      </w:r>
    </w:p>
    <w:p>
      <w:pPr>
        <w:pStyle w:val="NormalWeb"/>
        <w:spacing w:after="150"/>
      </w:pPr>
      <w:r>
        <w:t>Students and faculty may receive product keys or pins from non-Microsoft.com sites. If fraudulent behaviors are observed, Microsoft may, in its discretion, remove or block the distribution of the software, product keys, and pins until such fraudulent behavior has been mitigated or resolved.</w:t>
      </w:r>
    </w:p>
    <w:p>
      <w:pPr>
        <w:pStyle w:val="Heading3"/>
        <w:spacing w:before="150" w:beforeAutospacing="0"/>
        <w:rPr>
          <w:rFonts w:eastAsia="Times New Roman"/>
          <w:color w:val="0078D4"/>
          <w:sz w:val="26"/>
          <w:szCs w:val="26"/>
        </w:rPr>
      </w:pPr>
      <w:r>
        <w:rPr>
          <w:rFonts w:eastAsia="Times New Roman"/>
          <w:color w:val="0078D4"/>
          <w:sz w:val="26"/>
          <w:szCs w:val="26"/>
        </w:rPr>
        <w:t>Student Use Benefit Entitlements by Qualifying Program</w:t>
      </w:r>
    </w:p>
    <w:p>
      <w:pPr>
        <w:pStyle w:val="NormalWeb"/>
        <w:spacing w:after="150"/>
      </w:pPr>
      <w:r>
        <w:t xml:space="preserve">The following table defines </w:t>
      </w: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Benefits</w:t>
        </w:r>
      </w:hyperlink>
      <w:r>
        <w:t xml:space="preserve"> for specific products licensed through Academic programs. For each Product in the first column, the appropriate </w:t>
      </w: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 xml:space="preserve"> Product(s) are listed along with the number of licenses available for Students per paid Faculty/Staff, </w:t>
      </w:r>
      <w:hyperlink w:anchor="_Toc20" w:tooltip="Education Qualified User means an employee or contractor (except Students) who accesses or uses an Education Platform Product for the benefit of the Institution." w:history="1">
        <w:r>
          <w:rPr>
            <w:rStyle w:val="Hyperlink"/>
            <w:color w:val="505050"/>
          </w:rPr>
          <w:t>Education Qualified User</w:t>
        </w:r>
      </w:hyperlink>
      <w:r>
        <w:t xml:space="preserve">, or </w:t>
      </w:r>
      <w:hyperlink w:anchor="_Toc20"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w:t>
        </w:r>
      </w:hyperlink>
      <w:r>
        <w:t xml:space="preserve">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20"/>
        <w:gridCol w:w="4681"/>
        <w:gridCol w:w="1176"/>
        <w:gridCol w:w="195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Student Use Benefit</w:t>
            </w:r>
            <w:r>
              <w:rPr>
                <w:rFonts w:ascii="Segoe UI" w:eastAsia="Times New Roman" w:hAnsi="Segoe UI" w:cs="Segoe UI"/>
                <w:b/>
                <w:b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Program Availability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Student Instances Provided per Faculty/Staff or Knowledge Worker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 and Windows Education Upgrade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(pre-2017)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A3/E3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Advanced Threat Analytics, Microsoft Intune for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A5/E5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A3 Student Use Benefit, Microsoft Defender for Identity, Microsoft Entra ID P2, 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Education A3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 Student Use Benefit, Enterprise Mobility + Security A3 Student Use Benefit, Windows Education A3 Student Use Benefit</w:t>
            </w:r>
            <w:r>
              <w:rPr>
                <w:rFonts w:ascii="Segoe UI" w:eastAsia="Times New Roman" w:hAnsi="Segoe UI" w:cs="Segoe UI"/>
                <w:sz w:val="16"/>
                <w:szCs w:val="16"/>
                <w:vertAlign w:val="superscript"/>
              </w:rPr>
              <w:t>2</w:t>
            </w:r>
            <w:r>
              <w:rPr>
                <w:rFonts w:ascii="Segoe UI" w:eastAsia="Times New Roman" w:hAnsi="Segoe UI" w:cs="Segoe UI"/>
                <w:sz w:val="16"/>
                <w:szCs w:val="16"/>
              </w:rPr>
              <w:t>, 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Education A5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Student Use Benefit, Enterprise Mobility + Security A5 Student Use Benefit, Windows Education A3 Student Use Benefit</w:t>
            </w:r>
            <w:r>
              <w:rPr>
                <w:rFonts w:ascii="Segoe UI" w:eastAsia="Times New Roman" w:hAnsi="Segoe UI" w:cs="Segoe UI"/>
                <w:sz w:val="16"/>
                <w:szCs w:val="16"/>
                <w:vertAlign w:val="superscript"/>
              </w:rPr>
              <w:t>2</w:t>
            </w:r>
            <w:r>
              <w:rPr>
                <w:rFonts w:ascii="Segoe UI" w:eastAsia="Times New Roman" w:hAnsi="Segoe UI" w:cs="Segoe UI"/>
                <w:sz w:val="16"/>
                <w:szCs w:val="16"/>
              </w:rPr>
              <w:t>, 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for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 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for Education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for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 or 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 Microsoft 365 Apps for enterprise, Office 365 Cloud App Security, Microsoft Bookings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 Student Use Benefit, Microsoft Defender for Office 365 Plan 2, Microsoft Bookings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(pre-2017)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A3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A3 (Per User)</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A5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A3 (Per User)</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(Per User)</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(2017)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E5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(Per User)</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(2017)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E5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(Per Device)</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bl>
    <w:p>
      <w:pPr>
        <w:pStyle w:val="NormalWeb"/>
      </w:pPr>
      <w:r>
        <w:rPr>
          <w:i/>
          <w:iCs/>
          <w:vertAlign w:val="superscript"/>
        </w:rPr>
        <w:t>1</w:t>
      </w:r>
      <w:r>
        <w:rPr>
          <w:i/>
          <w:iCs/>
        </w:rPr>
        <w:t>Licenses acquired through the Student Use Benefit are not eligible for Software Assurance Benefits.</w:t>
      </w:r>
    </w:p>
    <w:p>
      <w:pPr>
        <w:pStyle w:val="NormalWeb"/>
        <w:spacing w:before="150"/>
      </w:pPr>
      <w:r>
        <w:rPr>
          <w:i/>
          <w:iCs/>
          <w:vertAlign w:val="superscript"/>
        </w:rPr>
        <w:t>2</w:t>
      </w:r>
      <w:r>
        <w:rPr>
          <w:i/>
          <w:iCs/>
        </w:rPr>
        <w:t>The Student Use Benefit includes rights to Windows E3/A3 only.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Desktop Operating System Limitations</w:t>
      </w:r>
    </w:p>
    <w:p>
      <w:pPr>
        <w:pStyle w:val="NormalWeb"/>
        <w:spacing w:after="150"/>
      </w:pPr>
      <w:r>
        <w:t xml:space="preserve">Licenses acquired through the </w:t>
      </w:r>
      <w:hyperlink w:anchor="_Toc20"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 xml:space="preserve"> include rights to access Azure Virtual Desktop virtual machines (refer to the Azure Virtual Desktop section of the </w:t>
      </w:r>
      <w:hyperlink r:id="rId27" w:history="1">
        <w:r>
          <w:rPr>
            <w:rStyle w:val="Hyperlink"/>
            <w:color w:val="505050"/>
          </w:rPr>
          <w:t>Microsoft Azure Services</w:t>
        </w:r>
      </w:hyperlink>
      <w:r>
        <w:t>), but do not include any further Windows virtualization rights.</w:t>
      </w:r>
    </w:p>
    <w:p w:rsidR="00ED5159" w:rsidP="00ED5159">
      <w:pPr>
        <w:pStyle w:val="ProductList-Offering2Heading"/>
        <w:outlineLvl w:val="2"/>
      </w:pPr>
      <w:r>
        <w:t>Purchasing &amp; Renewing Software Assurance</w:t>
      </w:r>
      <w:r>
        <w:fldChar w:fldCharType="begin"/>
      </w:r>
      <w:r>
        <w:instrText xml:space="preserve"> TC </w:instrText>
      </w:r>
      <w:bookmarkStart w:id="85" w:name="_Toc256000071"/>
      <w:r>
        <w:instrText>"</w:instrText>
      </w:r>
      <w:r>
        <w:instrText>Purchasing &amp; Renewing Software Assurance</w:instrText>
      </w:r>
      <w:r>
        <w:instrText>"</w:instrText>
      </w:r>
      <w:bookmarkEnd w:id="85"/>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Software Assurance</w:t>
      </w:r>
    </w:p>
    <w:p>
      <w:pPr>
        <w:pStyle w:val="NormalWeb"/>
        <w:spacing w:after="150"/>
      </w:pPr>
      <w:r>
        <w:t>There are three different levels of commitment Customer may select when purchasing SA, which may vary by program. Customer can:  </w:t>
      </w:r>
    </w:p>
    <w:p>
      <w:pPr>
        <w:numPr>
          <w:ilvl w:val="0"/>
          <w:numId w:val="1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platform products.  </w:t>
      </w:r>
    </w:p>
    <w:p>
      <w:pPr>
        <w:numPr>
          <w:ilvl w:val="0"/>
          <w:numId w:val="1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purchases under a particular Product pool (Applications, Systems or Servers), referred to as Software Assurance Membership (SAM).  </w:t>
      </w:r>
    </w:p>
    <w:p>
      <w:pPr>
        <w:numPr>
          <w:ilvl w:val="0"/>
          <w:numId w:val="1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Purchase SA on individual Products without making any commitment to expanding SA to other Products.</w:t>
      </w:r>
    </w:p>
    <w:p>
      <w:pPr>
        <w:pStyle w:val="NormalWeb"/>
        <w:spacing w:before="150"/>
      </w:pPr>
      <w:r>
        <w:t>SA must be acquired at the time of acquiring the License or upon renewal of an existing SA term. Unless otherwise stated, only licenses for the latest version of a Product are eligible for SA. In the case of a transfer of perpetual Licenses, the transferee may acquire SA for such transferred Licenses within 30 days from the date of transfer and provided that the transferor maintained active SA for the Licenses up until the date of transfer.</w:t>
      </w:r>
    </w:p>
    <w:p>
      <w:pPr>
        <w:pStyle w:val="NormalWeb"/>
        <w:spacing w:before="150"/>
      </w:pPr>
      <w:r>
        <w:t>Customers may have the option to acquire SA for certain licenses purchased from the Retail channel (full packaged product) or from an Original Equipment Manufacturer (OEM), within 90 days from the date of purchase as described in the table below. Under Open Value, this option applies only to non-Organization–wide/ Company-wide products. Under Enterprise Agreements, it applies only to Additional Products. Customers who acquire SA for OEM or retail licenses have the option of installing and using the Volume Licensing software for the current version at any time.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31"/>
        <w:gridCol w:w="1051"/>
        <w:gridCol w:w="1005"/>
        <w:gridCol w:w="61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Full Packaged 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OEM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Programs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only as outlined below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Applies to Open License, MPSA, Select, Select Plus and non Organization wide under Open Value and Additional Products under Enterprise Agreements. It does not apply to Enterprise Products under Open Value and Enterprise Agreements.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Customers who acquire Microsoft Office Professional 2016 or 2019 from an OEM may acquire SA for Microsoft Office Standard in the Open License programs, Select and Select Plus programs, and non Company-wide under Open Value within 90 days from the date of OEM purchase.</w:t>
      </w:r>
    </w:p>
    <w:p>
      <w:pPr>
        <w:pStyle w:val="NormalWeb"/>
        <w:spacing w:before="150"/>
      </w:pPr>
      <w:r>
        <w:t>Customers who acquire SQL Server 2017 from an OEM prior to March 31, 2020 may acquire Software Assurance for SQL Server within 90 days of the OEM purchase.</w:t>
      </w:r>
    </w:p>
    <w:p>
      <w:pPr>
        <w:pStyle w:val="NormalWeb"/>
        <w:spacing w:before="150"/>
      </w:pPr>
      <w:r>
        <w:t>Enterprise Agreement customers who transitioned to an Online Service or who purchased a From SA subscription License in lieu of renewing SA may reattach SA to a License at anniversary or renewal without purchasing a new License. SA must be ordered for that License for the remainder of the enrollment term. SA coverage may not exceed the quantity of perpetual Licenses for which SA was current at the time of any prior transition or renewal and may not be reattached to transferred Licenses.</w:t>
      </w:r>
    </w:p>
    <w:p>
      <w:pPr>
        <w:pStyle w:val="Heading3"/>
        <w:spacing w:before="150" w:beforeAutospacing="0"/>
        <w:rPr>
          <w:rFonts w:eastAsia="Times New Roman"/>
          <w:color w:val="0078D4"/>
          <w:sz w:val="26"/>
          <w:szCs w:val="26"/>
        </w:rPr>
      </w:pPr>
      <w:r>
        <w:rPr>
          <w:rFonts w:eastAsia="Times New Roman"/>
          <w:color w:val="0078D4"/>
          <w:sz w:val="26"/>
          <w:szCs w:val="26"/>
        </w:rPr>
        <w:t>Renewing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under the Same Agreement</w:t>
      </w:r>
    </w:p>
    <w:p>
      <w:pPr>
        <w:pStyle w:val="NormalWeb"/>
        <w:spacing w:after="150"/>
      </w:pPr>
      <w:r>
        <w:t>Terms for renewing SA under the same program agreement by which it was initially ordered are contained Customer's volume licensing agreements. Customers may renew SA without the need to simultaneously order a License as long as the SA coverage has not expired. In addition, the following terms apply to specific programs as noted:</w:t>
      </w:r>
    </w:p>
    <w:p>
      <w:pPr>
        <w:pStyle w:val="Heading5"/>
        <w:rPr>
          <w:rFonts w:eastAsia="Times New Roman"/>
        </w:rPr>
      </w:pPr>
      <w:r>
        <w:rPr>
          <w:rStyle w:val="Strong"/>
          <w:rFonts w:eastAsia="Times New Roman"/>
        </w:rPr>
        <w:t>Open License</w:t>
      </w:r>
    </w:p>
    <w:p>
      <w:pPr>
        <w:pStyle w:val="NormalWeb"/>
      </w:pPr>
      <w:r>
        <w:t>SA coverage ordered under an Open License authorization number ends upon expiration of that number. To renew, Customer must submit a renewal order for SA within 90 days after their authorization number expiration date. </w:t>
      </w:r>
    </w:p>
    <w:p>
      <w:pPr>
        <w:pStyle w:val="Heading5"/>
        <w:rPr>
          <w:rFonts w:eastAsia="Times New Roman"/>
        </w:rPr>
      </w:pPr>
      <w:r>
        <w:rPr>
          <w:rStyle w:val="Strong"/>
          <w:rFonts w:eastAsia="Times New Roman"/>
        </w:rPr>
        <w:t>Enterprise Agreement</w:t>
      </w:r>
    </w:p>
    <w:p>
      <w:pPr>
        <w:pStyle w:val="NormalWeb"/>
      </w:pPr>
      <w:r>
        <w:t>To renew SA coverage under the same enrollment under an Enterprise Agreement, Customer must sign a new 2011 or later Enterprise Enrollment and Agreement (if they have not already), and must submit a renewal order for SA (as applicable) for 1) all Enterprise Products, Application Platform Products, Core Infrastructure Products and Additional Products they wish to renew and 2) any Online Services, accounting for transitions (if applicable).</w:t>
      </w:r>
    </w:p>
    <w:p>
      <w:pPr>
        <w:pStyle w:val="Heading5"/>
        <w:rPr>
          <w:rFonts w:eastAsia="Times New Roman"/>
        </w:rPr>
      </w:pPr>
      <w:r>
        <w:rPr>
          <w:rStyle w:val="Strong"/>
          <w:rFonts w:eastAsia="Times New Roman"/>
        </w:rPr>
        <w:t>Enrollment for Application Platform</w:t>
      </w:r>
    </w:p>
    <w:p>
      <w:pPr>
        <w:pStyle w:val="NormalWeb"/>
      </w:pPr>
      <w:r>
        <w:t>EAP customers who have previously deferred Licenses via SA prior L SKUs must buyout their Licenses before they can renew SA.</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from a Separate Agreement</w:t>
      </w:r>
    </w:p>
    <w:p>
      <w:pPr>
        <w:pStyle w:val="NormalWeb"/>
        <w:spacing w:after="150"/>
      </w:pPr>
      <w:r>
        <w:t>Customer may renew SA for any Product if Customer has obtained a perpetual License and SA for that Product under a previous agreement in the same Volume Licensing Program, provided that 1) Customer's new agreement enrollment, or order (for MPSA) must be effective no later than the day following the date of expiration of the previous agreement or enrollment, and 2) the SA renewal order must be placed prior to the expiration of prior SA coverage, unless such coverage is being renewed from an Open License Agreement. In that case, Customers have 90 days from the expiration to place the order.</w:t>
      </w:r>
    </w:p>
    <w:p>
      <w:pPr>
        <w:pStyle w:val="NormalWeb"/>
        <w:spacing w:before="150"/>
      </w:pPr>
      <w:r>
        <w:t>Customer may also renew SA from one Volume Licensing program into a different Volume Licensing Program. For Enterprise Products originally purchased under a program with a company-wide coverage requirement, this exception applies only if the customer is renewing SA into the MPSA or a program with a company-wide coverage requirement for Enterprise Products. For Agreement versions 2008 and prior, as long as coverage is renewed within 30 days (90 days if renewing from Open License program), customers will be deemed to have SA coverage during any period of time between when their expiring SA coverage lapsed and when the new coverage begins.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Software Assurance Coverage for Client Access Licenses (CALs) and Client Management Licenses (MLs)</w:t>
      </w:r>
    </w:p>
    <w:p>
      <w:pPr>
        <w:pStyle w:val="Heading5"/>
        <w:rPr>
          <w:rFonts w:eastAsia="Times New Roman"/>
        </w:rPr>
      </w:pPr>
      <w:r>
        <w:rPr>
          <w:rStyle w:val="Strong"/>
          <w:rFonts w:eastAsia="Times New Roman"/>
        </w:rPr>
        <w:t>Transitioning between User and Device CALs  </w:t>
      </w:r>
    </w:p>
    <w:p>
      <w:pPr>
        <w:pStyle w:val="NormalWeb"/>
      </w:pPr>
      <w:r>
        <w:t>Customers renewing SA for CALs can switch between User and Device. This transition does not change the CAL edition (i.e. Standard to Enterprise).</w:t>
      </w:r>
    </w:p>
    <w:p>
      <w:pPr>
        <w:pStyle w:val="Heading5"/>
        <w:rPr>
          <w:rFonts w:eastAsia="Times New Roman"/>
        </w:rPr>
      </w:pPr>
      <w:r>
        <w:rPr>
          <w:rStyle w:val="Strong"/>
          <w:rFonts w:eastAsia="Times New Roman"/>
        </w:rPr>
        <w:t>Transitioning between User and OSE Client MLs</w:t>
      </w:r>
    </w:p>
    <w:p>
      <w:pPr>
        <w:pStyle w:val="NormalWeb"/>
      </w:pPr>
      <w:r>
        <w:t>Customers renewing SA for client MLs can switch between User and OSE.</w:t>
      </w:r>
    </w:p>
    <w:p w:rsidR="00ED5159" w:rsidP="00ED5159">
      <w:pPr>
        <w:pStyle w:val="ProductList-Offering2Heading"/>
        <w:outlineLvl w:val="2"/>
      </w:pPr>
      <w:r>
        <w:t>Microsoft Security portfolio Product Terms mapping</w:t>
      </w:r>
      <w:r>
        <w:fldChar w:fldCharType="begin"/>
      </w:r>
      <w:r>
        <w:instrText xml:space="preserve"> TC </w:instrText>
      </w:r>
      <w:bookmarkStart w:id="86" w:name="_Toc256000072"/>
      <w:r>
        <w:instrText>"</w:instrText>
      </w:r>
      <w:r>
        <w:instrText>Microsoft Security portfolio Product Terms mapping</w:instrText>
      </w:r>
      <w:r>
        <w:instrText>"</w:instrText>
      </w:r>
      <w:bookmarkEnd w:id="86"/>
      <w:r>
        <w:instrText xml:space="preserve"> \l 2</w:instrText>
      </w:r>
      <w:r>
        <w:fldChar w:fldCharType="end"/>
      </w:r>
    </w:p>
    <w:p>
      <w:pPr>
        <w:pStyle w:val="NormalWeb"/>
      </w:pPr>
      <w:r>
        <w:t>Showing Microsoft Security portfolio and the applicable service-specific Product Terms that apply to them. The Product is on the left and the appropriate service-specific Product Terms are hyperlinked to the right. Not all products in the Microsoft Security portfolio (e.g. Copilot for Security) are listed. All products are subject to the Universal License Terms and any applicable service-specific Product Terms.</w:t>
      </w:r>
    </w:p>
    <w:p>
      <w:pPr>
        <w:pStyle w:val="Heading3"/>
        <w:spacing w:before="150" w:beforeAutospacing="0"/>
        <w:rPr>
          <w:rFonts w:eastAsia="Times New Roman"/>
          <w:color w:val="0078D4"/>
          <w:sz w:val="26"/>
          <w:szCs w:val="26"/>
        </w:rPr>
      </w:pPr>
      <w:r>
        <w:rPr>
          <w:rFonts w:eastAsia="Times New Roman"/>
          <w:color w:val="0078D4"/>
          <w:sz w:val="26"/>
          <w:szCs w:val="26"/>
        </w:rPr>
        <w:t>Microsoft Defender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81"/>
        <w:gridCol w:w="204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Office 365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8" w:tgtFrame="_blank" w:history="1">
              <w:r>
                <w:rPr>
                  <w:rFonts w:ascii="Segoe UI" w:eastAsia="Times New Roman" w:hAnsi="Segoe UI" w:cs="Segoe UI"/>
                  <w:sz w:val="16"/>
                  <w:szCs w:val="16"/>
                  <w:u w:val="single"/>
                </w:rPr>
                <w:t>Exchange Online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Apps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19" w:tgtFrame="_blank" w:history="1">
              <w:r>
                <w:rPr>
                  <w:rFonts w:ascii="Segoe UI" w:eastAsia="Times New Roman" w:hAnsi="Segoe UI" w:cs="Segoe UI"/>
                  <w:sz w:val="16"/>
                  <w:szCs w:val="16"/>
                  <w:u w:val="single"/>
                </w:rPr>
                <w:t>Defender for Cloud Apps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Identity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Business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Business servers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41" w:tgtFrame="_blank" w:history="1">
              <w:r>
                <w:rPr>
                  <w:rFonts w:ascii="Segoe UI" w:eastAsia="Times New Roman" w:hAnsi="Segoe UI" w:cs="Segoe UI"/>
                  <w:sz w:val="16"/>
                  <w:szCs w:val="16"/>
                  <w:u w:val="single"/>
                </w:rPr>
                <w:t>Defender for Business servers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products identified here: https://azure.microsoft.com/en-us/pricing/details/defender-for-cloud/)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External Attack Surface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App Service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0" w:tgtFrame="_blank" w:history="1">
              <w:r>
                <w:rPr>
                  <w:rFonts w:ascii="Segoe UI" w:eastAsia="Times New Roman" w:hAnsi="Segoe UI" w:cs="Segoe UI"/>
                  <w:sz w:val="16"/>
                  <w:szCs w:val="16"/>
                  <w:u w:val="single"/>
                </w:rPr>
                <w:t>Microsoft Defender Experts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Endpoint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1" w:tgtFrame="_blank" w:history="1">
              <w:r>
                <w:rPr>
                  <w:rFonts w:ascii="Segoe UI" w:eastAsia="Times New Roman" w:hAnsi="Segoe UI" w:cs="Segoe UI"/>
                  <w:sz w:val="16"/>
                  <w:szCs w:val="16"/>
                  <w:u w:val="single"/>
                </w:rPr>
                <w:t>Defender for Endpoint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Vulnerability Management add-on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Monitor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 </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Confidential Ledger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Entra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91"/>
        <w:gridCol w:w="30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External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Workload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Domain Services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Basic (EDU only) &amp; commercial lead status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2" w:tgtFrame="_blank" w:history="1">
              <w:r>
                <w:rPr>
                  <w:rStyle w:val="Hyperlink"/>
                  <w:rFonts w:ascii="Segoe UI" w:eastAsia="Times New Roman" w:hAnsi="Segoe UI" w:cs="Segoe UI"/>
                  <w:sz w:val="16"/>
                  <w:szCs w:val="16"/>
                </w:rPr>
                <w:t>Forefront Identity Manager</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3" w:tgtFrame="_blank" w:history="1">
              <w:r>
                <w:rPr>
                  <w:rStyle w:val="Hyperlink"/>
                  <w:rFonts w:ascii="Segoe UI" w:eastAsia="Times New Roman" w:hAnsi="Segoe UI" w:cs="Segoe UI"/>
                  <w:sz w:val="16"/>
                  <w:szCs w:val="16"/>
                </w:rPr>
                <w:t>Microsoft Identity Manager</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Intune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85"/>
        <w:gridCol w:w="44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4"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Remote Help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4"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Suite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4" w:tgtFrame="_blank" w:history="1">
              <w:r>
                <w:rPr>
                  <w:rFonts w:ascii="Segoe UI" w:eastAsia="Times New Roman" w:hAnsi="Segoe UI" w:cs="Segoe UI"/>
                  <w:sz w:val="16"/>
                  <w:szCs w:val="16"/>
                  <w:u w:val="single"/>
                </w:rPr>
                <w:t>Microsoft Intune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Priva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2"/>
        <w:gridCol w:w="36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Privacy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 Subject Rights Requests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Purview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29"/>
        <w:gridCol w:w="31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Information Protection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Compliance Program for Microsoft 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Security &amp; Compliance Suites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621"/>
        <w:gridCol w:w="3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 Purview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E3/A3/G3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5" w:tgtFrame="_blank" w:history="1">
              <w:r>
                <w:rPr>
                  <w:rFonts w:ascii="Segoe UI" w:eastAsia="Times New Roman" w:hAnsi="Segoe UI" w:cs="Segoe UI"/>
                  <w:sz w:val="16"/>
                  <w:szCs w:val="16"/>
                  <w:u w:val="single"/>
                </w:rPr>
                <w:t>Enterprise Mobility + Security</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E5/A5/G5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5" w:tgtFrame="_blank" w:history="1">
              <w:r>
                <w:rPr>
                  <w:rFonts w:ascii="Segoe UI" w:eastAsia="Times New Roman" w:hAnsi="Segoe UI" w:cs="Segoe UI"/>
                  <w:sz w:val="16"/>
                  <w:szCs w:val="16"/>
                  <w:u w:val="single"/>
                </w:rPr>
                <w:t>Enterprise Mobility + Security</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Insider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eDiscovery &amp; Audit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Information Protection &amp; Governance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sectPr>
      <w:headerReference w:type="default" r:id="rId226"/>
      <w:footerReference w:type="default" r:id="rId227"/>
      <w:pgSz w:w="12240" w:h="15840" w:code="1"/>
      <w:pgMar w:top="1170" w:right="720" w:bottom="720" w:left="720" w:header="432" w:footer="28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OV-ES)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2</w:t>
          </w:r>
          <w:r>
            <w:fldChar w:fldCharType="end"/>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OV-ES)</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OV-ES)</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OV-ES)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3</w:t>
          </w:r>
          <w:r>
            <w:fldChar w:fldCharType="end"/>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OV-ES)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201</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13F264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279229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2A143F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4E50796"/>
    <w:multiLevelType w:val="multilevel"/>
    <w:tmpl w:val="677A4B2E"/>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05814A0E"/>
    <w:multiLevelType w:val="multilevel"/>
    <w:tmpl w:val="8D36BE9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
    <w:nsid w:val="06EC33F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A0295E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A86A69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D66EDF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D84E6F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DEA4C5E"/>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E1491C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104C71F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1057EB8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1151B228"/>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138E7DA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13DC991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163EBE4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181DCDD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18FF090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19951B6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1B00F31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1D14325A"/>
    <w:multiLevelType w:val="multilevel"/>
    <w:tmpl w:val="DC5E858A"/>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7">
    <w:nsid w:val="1E2EBA7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1ED0DB9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1ED3317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23BD9D0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241139D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25959B4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26F71C3F"/>
    <w:multiLevelType w:val="multilevel"/>
    <w:tmpl w:val="C6FEADE2"/>
    <w:lvl w:ilvl="0">
      <w:start w:val="1"/>
      <w:numFmt w:val="bullet"/>
      <w:lvlText w:val="·"/>
      <w:lvlJc w:val="left"/>
      <w:pPr>
        <w:ind w:left="720" w:hanging="360"/>
      </w:pPr>
      <w:rPr>
        <w:rFonts w:ascii="Symbol" w:hAnsi="Symbol" w:hint="default"/>
        <w:sz w:val="14"/>
      </w:rPr>
    </w:lvl>
    <w:lvl w:ilvl="1">
      <w:start w:val="1"/>
      <w:numFmt w:val="bullet"/>
      <w:lvlText w:val="o"/>
      <w:lvlJc w:val="left"/>
      <w:pPr>
        <w:ind w:left="1080" w:hanging="360"/>
      </w:pPr>
      <w:rPr>
        <w:rFonts w:ascii="Courier New" w:hAnsi="Courier New" w:cs="Courier New"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4">
    <w:nsid w:val="2851C16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28B52F4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297F6EB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2AB432CC"/>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2C00D93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2C65658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2D6D6BF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2D7A09C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2D7A624C"/>
    <w:multiLevelType w:val="multilevel"/>
    <w:tmpl w:val="7DFA71F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3">
    <w:nsid w:val="2DBB1C64"/>
    <w:multiLevelType w:val="multilevel"/>
    <w:tmpl w:val="D5080FD6"/>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4">
    <w:nsid w:val="2E632611"/>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345E461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34FDA0E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3655F20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376F12A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3903ABE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39CC0737"/>
    <w:multiLevelType w:val="multilevel"/>
    <w:tmpl w:val="FFE0CF68"/>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1">
    <w:nsid w:val="3A2993F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3B6E140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3B92157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3BDAD58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3CF8040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3D5C047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3D7C000A"/>
    <w:multiLevelType w:val="multilevel"/>
    <w:tmpl w:val="54AA574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8">
    <w:nsid w:val="3EBFFE7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3EF5215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45462B3B"/>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4606C5FA"/>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46186C0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467071B8"/>
    <w:multiLevelType w:val="multilevel"/>
    <w:tmpl w:val="C1A8BE1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4">
    <w:nsid w:val="46DC238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4703FBF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480BBDA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484BAAB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4A973A9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4AF131CC"/>
    <w:multiLevelType w:val="hybridMultilevel"/>
    <w:tmpl w:val="807ECFB6"/>
    <w:lvl w:ilvl="0">
      <w:start w:val="1"/>
      <w:numFmt w:val="bullet"/>
      <w:pStyle w:val="PURBullet-Indented"/>
      <w:lvlText w:val="·"/>
      <w:lvlJc w:val="left"/>
      <w:pPr>
        <w:ind w:left="72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0">
    <w:nsid w:val="4BF6880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4C4B811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4CF1927C"/>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4D099B0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4D7E3160"/>
    <w:multiLevelType w:val="multilevel"/>
    <w:tmpl w:val="C19E7018"/>
    <w:lvl w:ilvl="0">
      <w:start w:val="0"/>
      <w:numFmt w:val="decimal"/>
      <w:lvlJc w:val="left"/>
    </w:lvl>
    <w:lvl w:ilvl="1">
      <w:start w:val="1"/>
      <w:numFmt w:val="decimal"/>
      <w:lvlText w:val="%2."/>
      <w:lvlJc w:val="left"/>
      <w:pPr>
        <w:ind w:left="1080" w:hanging="360"/>
      </w:pPr>
      <w:rPr>
        <w:rFonts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5">
    <w:nsid w:val="4E4914D9"/>
    <w:multiLevelType w:val="hybridMultilevel"/>
    <w:tmpl w:val="FE3CD98E"/>
    <w:lvl w:ilvl="0">
      <w:start w:val="1"/>
      <w:numFmt w:val="bullet"/>
      <w:pStyle w:val="PUR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6">
    <w:nsid w:val="4ED3A2F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5024C154"/>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51245A3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517D7C14"/>
    <w:multiLevelType w:val="multilevel"/>
    <w:tmpl w:val="CE2E6D4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0">
    <w:nsid w:val="52CCDF2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535DEA7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5379ACA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53F365B2"/>
    <w:multiLevelType w:val="multilevel"/>
    <w:tmpl w:val="3D38DBA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4">
    <w:nsid w:val="57F8A62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5AB4EAE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5AFD94B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5C896E5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5CC37C81"/>
    <w:multiLevelType w:val="multilevel"/>
    <w:tmpl w:val="852458B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9">
    <w:nsid w:val="5D3617A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5DE1B51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5EC26A8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5F1E5458"/>
    <w:multiLevelType w:val="multilevel"/>
    <w:tmpl w:val="D5023CF2"/>
    <w:lvl w:ilvl="0">
      <w:start w:val="1"/>
      <w:numFmt w:val="bullet"/>
      <w:lvlText w:val="·"/>
      <w:lvlJc w:val="left"/>
      <w:pPr>
        <w:ind w:left="720" w:hanging="360"/>
      </w:pPr>
      <w:rPr>
        <w:rFonts w:ascii="Symbol" w:hAnsi="Symbol" w:hint="default"/>
        <w:sz w:val="14"/>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3">
    <w:nsid w:val="5F324B03"/>
    <w:multiLevelType w:val="multilevel"/>
    <w:tmpl w:val="0B90E760"/>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4">
    <w:nsid w:val="5FC8E96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60C696C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60CA4133"/>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6111C0D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6177DD3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6180EAE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61ADD9F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6219D710"/>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626E23E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64BAEA1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68EB0CB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6A3657A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6BA00CB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6D18462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6E66BD5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6EEC92D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6F19727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6F6C9F4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718AFD90"/>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744D48F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45707C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6002C0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6FC7787"/>
    <w:multiLevelType w:val="multilevel"/>
    <w:tmpl w:val="95ECE64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17">
    <w:nsid w:val="7959E15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7A4A423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A8B8E3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7C6C528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7DF36FF8"/>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7E7D44FD"/>
    <w:multiLevelType w:val="multilevel"/>
    <w:tmpl w:val="C078498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75"/>
  </w:num>
  <w:num w:numId="2">
    <w:abstractNumId w:val="69"/>
  </w:num>
  <w:num w:numId="3">
    <w:abstractNumId w:val="33"/>
  </w:num>
  <w:num w:numId="4">
    <w:abstractNumId w:val="42"/>
  </w:num>
  <w:num w:numId="5">
    <w:abstractNumId w:val="79"/>
  </w:num>
  <w:num w:numId="6">
    <w:abstractNumId w:val="93"/>
  </w:num>
  <w:num w:numId="7">
    <w:abstractNumId w:val="116"/>
  </w:num>
  <w:num w:numId="8">
    <w:abstractNumId w:val="122"/>
  </w:num>
  <w:num w:numId="9">
    <w:abstractNumId w:val="83"/>
  </w:num>
  <w:num w:numId="10">
    <w:abstractNumId w:val="50"/>
  </w:num>
  <w:num w:numId="11">
    <w:abstractNumId w:val="43"/>
  </w:num>
  <w:num w:numId="12">
    <w:abstractNumId w:val="8"/>
  </w:num>
  <w:num w:numId="13">
    <w:abstractNumId w:val="63"/>
  </w:num>
  <w:num w:numId="14">
    <w:abstractNumId w:val="57"/>
  </w:num>
  <w:num w:numId="15">
    <w:abstractNumId w:val="7"/>
  </w:num>
  <w:num w:numId="16">
    <w:abstractNumId w:val="88"/>
  </w:num>
  <w:num w:numId="17">
    <w:abstractNumId w:val="26"/>
  </w:num>
  <w:num w:numId="18">
    <w:abstractNumId w:val="74"/>
  </w:num>
  <w:num w:numId="19">
    <w:abstractNumId w:val="92"/>
  </w:num>
  <w:num w:numId="20">
    <w:abstractNumId w:val="0"/>
  </w:num>
  <w:num w:numId="21">
    <w:abstractNumId w:val="1"/>
  </w:num>
  <w:num w:numId="22">
    <w:abstractNumId w:val="2"/>
  </w:num>
  <w:num w:numId="23">
    <w:abstractNumId w:val="118"/>
  </w:num>
  <w:num w:numId="24">
    <w:abstractNumId w:val="66"/>
  </w:num>
  <w:num w:numId="25">
    <w:abstractNumId w:val="87"/>
  </w:num>
  <w:num w:numId="26">
    <w:abstractNumId w:val="114"/>
  </w:num>
  <w:num w:numId="27">
    <w:abstractNumId w:val="41"/>
  </w:num>
  <w:num w:numId="28">
    <w:abstractNumId w:val="13"/>
  </w:num>
  <w:num w:numId="29">
    <w:abstractNumId w:val="46"/>
  </w:num>
  <w:num w:numId="30">
    <w:abstractNumId w:val="64"/>
  </w:num>
  <w:num w:numId="31">
    <w:abstractNumId w:val="16"/>
  </w:num>
  <w:num w:numId="32">
    <w:abstractNumId w:val="65"/>
  </w:num>
  <w:num w:numId="33">
    <w:abstractNumId w:val="77"/>
  </w:num>
  <w:num w:numId="34">
    <w:abstractNumId w:val="40"/>
  </w:num>
  <w:num w:numId="35">
    <w:abstractNumId w:val="96"/>
  </w:num>
  <w:num w:numId="36">
    <w:abstractNumId w:val="3"/>
  </w:num>
  <w:num w:numId="37">
    <w:abstractNumId w:val="37"/>
  </w:num>
  <w:num w:numId="38">
    <w:abstractNumId w:val="22"/>
  </w:num>
  <w:num w:numId="39">
    <w:abstractNumId w:val="31"/>
  </w:num>
  <w:num w:numId="40">
    <w:abstractNumId w:val="117"/>
  </w:num>
  <w:num w:numId="41">
    <w:abstractNumId w:val="112"/>
  </w:num>
  <w:num w:numId="42">
    <w:abstractNumId w:val="61"/>
  </w:num>
  <w:num w:numId="43">
    <w:abstractNumId w:val="72"/>
  </w:num>
  <w:num w:numId="44">
    <w:abstractNumId w:val="121"/>
  </w:num>
  <w:num w:numId="45">
    <w:abstractNumId w:val="84"/>
  </w:num>
  <w:num w:numId="46">
    <w:abstractNumId w:val="101"/>
  </w:num>
  <w:num w:numId="47">
    <w:abstractNumId w:val="60"/>
  </w:num>
  <w:num w:numId="48">
    <w:abstractNumId w:val="18"/>
  </w:num>
  <w:num w:numId="49">
    <w:abstractNumId w:val="14"/>
  </w:num>
  <w:num w:numId="50">
    <w:abstractNumId w:val="85"/>
  </w:num>
  <w:num w:numId="51">
    <w:abstractNumId w:val="62"/>
  </w:num>
  <w:num w:numId="52">
    <w:abstractNumId w:val="45"/>
  </w:num>
  <w:num w:numId="53">
    <w:abstractNumId w:val="19"/>
  </w:num>
  <w:num w:numId="54">
    <w:abstractNumId w:val="48"/>
  </w:num>
  <w:num w:numId="55">
    <w:abstractNumId w:val="29"/>
  </w:num>
  <w:num w:numId="56">
    <w:abstractNumId w:val="91"/>
  </w:num>
  <w:num w:numId="57">
    <w:abstractNumId w:val="53"/>
  </w:num>
  <w:num w:numId="58">
    <w:abstractNumId w:val="86"/>
  </w:num>
  <w:num w:numId="59">
    <w:abstractNumId w:val="73"/>
  </w:num>
  <w:num w:numId="60">
    <w:abstractNumId w:val="109"/>
  </w:num>
  <w:num w:numId="61">
    <w:abstractNumId w:val="78"/>
  </w:num>
  <w:num w:numId="62">
    <w:abstractNumId w:val="27"/>
  </w:num>
  <w:num w:numId="63">
    <w:abstractNumId w:val="103"/>
  </w:num>
  <w:num w:numId="64">
    <w:abstractNumId w:val="55"/>
  </w:num>
  <w:num w:numId="65">
    <w:abstractNumId w:val="90"/>
  </w:num>
  <w:num w:numId="66">
    <w:abstractNumId w:val="15"/>
  </w:num>
  <w:num w:numId="67">
    <w:abstractNumId w:val="94"/>
  </w:num>
  <w:num w:numId="68">
    <w:abstractNumId w:val="20"/>
  </w:num>
  <w:num w:numId="69">
    <w:abstractNumId w:val="44"/>
  </w:num>
  <w:num w:numId="70">
    <w:abstractNumId w:val="34"/>
  </w:num>
  <w:num w:numId="71">
    <w:abstractNumId w:val="67"/>
  </w:num>
  <w:num w:numId="72">
    <w:abstractNumId w:val="58"/>
  </w:num>
  <w:num w:numId="73">
    <w:abstractNumId w:val="100"/>
  </w:num>
  <w:num w:numId="74">
    <w:abstractNumId w:val="110"/>
  </w:num>
  <w:num w:numId="75">
    <w:abstractNumId w:val="4"/>
  </w:num>
  <w:num w:numId="76">
    <w:abstractNumId w:val="71"/>
  </w:num>
  <w:num w:numId="77">
    <w:abstractNumId w:val="6"/>
  </w:num>
  <w:num w:numId="78">
    <w:abstractNumId w:val="23"/>
  </w:num>
  <w:num w:numId="79">
    <w:abstractNumId w:val="24"/>
  </w:num>
  <w:num w:numId="80">
    <w:abstractNumId w:val="21"/>
  </w:num>
  <w:num w:numId="81">
    <w:abstractNumId w:val="9"/>
  </w:num>
  <w:num w:numId="82">
    <w:abstractNumId w:val="81"/>
  </w:num>
  <w:num w:numId="83">
    <w:abstractNumId w:val="59"/>
  </w:num>
  <w:num w:numId="84">
    <w:abstractNumId w:val="35"/>
  </w:num>
  <w:num w:numId="85">
    <w:abstractNumId w:val="108"/>
  </w:num>
  <w:num w:numId="86">
    <w:abstractNumId w:val="107"/>
  </w:num>
  <w:num w:numId="87">
    <w:abstractNumId w:val="89"/>
  </w:num>
  <w:num w:numId="88">
    <w:abstractNumId w:val="5"/>
  </w:num>
  <w:num w:numId="89">
    <w:abstractNumId w:val="28"/>
  </w:num>
  <w:num w:numId="90">
    <w:abstractNumId w:val="102"/>
  </w:num>
  <w:num w:numId="91">
    <w:abstractNumId w:val="76"/>
  </w:num>
  <w:num w:numId="92">
    <w:abstractNumId w:val="32"/>
  </w:num>
  <w:num w:numId="93">
    <w:abstractNumId w:val="111"/>
  </w:num>
  <w:num w:numId="94">
    <w:abstractNumId w:val="105"/>
  </w:num>
  <w:num w:numId="95">
    <w:abstractNumId w:val="104"/>
  </w:num>
  <w:num w:numId="96">
    <w:abstractNumId w:val="97"/>
  </w:num>
  <w:num w:numId="97">
    <w:abstractNumId w:val="39"/>
  </w:num>
  <w:num w:numId="98">
    <w:abstractNumId w:val="70"/>
  </w:num>
  <w:num w:numId="99">
    <w:abstractNumId w:val="56"/>
  </w:num>
  <w:num w:numId="100">
    <w:abstractNumId w:val="115"/>
  </w:num>
  <w:num w:numId="101">
    <w:abstractNumId w:val="68"/>
  </w:num>
  <w:num w:numId="102">
    <w:abstractNumId w:val="113"/>
  </w:num>
  <w:num w:numId="103">
    <w:abstractNumId w:val="30"/>
  </w:num>
  <w:num w:numId="104">
    <w:abstractNumId w:val="54"/>
  </w:num>
  <w:num w:numId="105">
    <w:abstractNumId w:val="52"/>
  </w:num>
  <w:num w:numId="106">
    <w:abstractNumId w:val="25"/>
  </w:num>
  <w:num w:numId="107">
    <w:abstractNumId w:val="10"/>
  </w:num>
  <w:num w:numId="108">
    <w:abstractNumId w:val="38"/>
  </w:num>
  <w:num w:numId="109">
    <w:abstractNumId w:val="99"/>
  </w:num>
  <w:num w:numId="110">
    <w:abstractNumId w:val="12"/>
  </w:num>
  <w:num w:numId="111">
    <w:abstractNumId w:val="80"/>
  </w:num>
  <w:num w:numId="112">
    <w:abstractNumId w:val="36"/>
  </w:num>
  <w:num w:numId="113">
    <w:abstractNumId w:val="11"/>
  </w:num>
  <w:num w:numId="114">
    <w:abstractNumId w:val="120"/>
  </w:num>
  <w:num w:numId="115">
    <w:abstractNumId w:val="51"/>
  </w:num>
  <w:num w:numId="116">
    <w:abstractNumId w:val="98"/>
  </w:num>
  <w:num w:numId="117">
    <w:abstractNumId w:val="17"/>
  </w:num>
  <w:num w:numId="118">
    <w:abstractNumId w:val="47"/>
  </w:num>
  <w:num w:numId="119">
    <w:abstractNumId w:val="106"/>
  </w:num>
  <w:num w:numId="120">
    <w:abstractNumId w:val="82"/>
  </w:num>
  <w:num w:numId="121">
    <w:abstractNumId w:val="49"/>
  </w:num>
  <w:num w:numId="122">
    <w:abstractNumId w:val="119"/>
  </w:num>
  <w:num w:numId="123">
    <w:abstractNumId w:val="9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1" w:cryptProviderType="rsaFull" w:cryptAlgorithmClass="hash" w:cryptAlgorithmType="typeAny" w:cryptAlgorithmSid="4" w:cryptSpinCount="50000" w:hash="rERSpFYs1E8DjUAlE50PJVoGAOM=&#10;" w:salt="hIqOl99kIr/+N0hyovEq7Q==&#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64"/>
    <w:rsid w:val="0013139A"/>
    <w:rsid w:val="002A38E8"/>
    <w:rsid w:val="004949E5"/>
    <w:rsid w:val="005677FB"/>
    <w:rsid w:val="00A363CA"/>
    <w:rsid w:val="00B56429"/>
    <w:rsid w:val="00C31264"/>
    <w:rsid w:val="00DD26A2"/>
    <w:rsid w:val="00ED5159"/>
    <w:rsid w:val="00F40E3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59A4EDFF-10BC-4A2D-B165-20FD6303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0" w:line="259" w:lineRule="auto"/>
      </w:pPr>
    </w:pPrDefault>
  </w:docDefaults>
  <w:latentStyles w:defLockedState="0" w:defUIPriority="99" w:defSemiHidden="0" w:defUnhideWhenUsed="0" w:defQFormat="0" w:count="375">
    <w:lsdException w:name="Normal" w:uiPriority="3"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3"/>
    <w:qFormat/>
    <w:rsid w:val="00ED5159"/>
    <w:rPr>
      <w:sz w:val="20"/>
      <w:szCs w:val="20"/>
      <w:lang w:val="en-US"/>
    </w:rPr>
  </w:style>
  <w:style w:type="paragraph" w:styleId="Heading1">
    <w:name w:val="heading 1"/>
    <w:basedOn w:val="Normal"/>
    <w:next w:val="Normal"/>
    <w:link w:val="Heading1Char"/>
    <w:uiPriority w:val="9"/>
    <w:rsid w:val="00C31264"/>
    <w:pPr>
      <w:shd w:val="clear" w:color="auto" w:fill="B9D3EB"/>
      <w:spacing w:before="280" w:line="220" w:lineRule="exact"/>
      <w:outlineLvl w:val="0"/>
    </w:pPr>
    <w:rPr>
      <w:b/>
      <w:noProof/>
      <w:color w:val="FFFFFF" w:themeColor="background1"/>
    </w:rPr>
  </w:style>
  <w:style w:type="paragraph" w:styleId="Heading2">
    <w:name w:val="heading 2"/>
    <w:aliases w:val="PUR H2"/>
    <w:basedOn w:val="Normal"/>
    <w:next w:val="Normal"/>
    <w:link w:val="Heading2Char"/>
    <w:uiPriority w:val="9"/>
    <w:semiHidden/>
    <w:rsid w:val="00C31264"/>
    <w:pPr>
      <w:pBdr>
        <w:bottom w:val="single" w:sz="4" w:space="1" w:color="44546A" w:themeColor="text2"/>
      </w:pBdr>
      <w:spacing w:before="200" w:after="60"/>
      <w:outlineLvl w:val="1"/>
    </w:pPr>
    <w:rPr>
      <w:b/>
      <w:caps/>
      <w:color w:val="44546A" w:themeColor="text2"/>
      <w:sz w:val="16"/>
    </w:rPr>
  </w:style>
  <w:style w:type="paragraph" w:styleId="Heading3">
    <w:name w:val="heading 3"/>
    <w:aliases w:val="PUR H3"/>
    <w:basedOn w:val="Normal"/>
    <w:next w:val="Normal"/>
    <w:link w:val="Heading3Char"/>
    <w:qFormat/>
    <w:rsid w:val="00C31264"/>
    <w:pPr>
      <w:spacing w:before="240" w:after="80"/>
      <w:outlineLvl w:val="2"/>
    </w:pPr>
    <w:rPr>
      <w:sz w:val="30"/>
    </w:rPr>
  </w:style>
  <w:style w:type="paragraph" w:styleId="Heading4">
    <w:name w:val="heading 4"/>
    <w:basedOn w:val="Normal"/>
    <w:next w:val="Normal"/>
    <w:link w:val="Heading4Char1"/>
    <w:uiPriority w:val="9"/>
    <w:semiHidden/>
    <w:qFormat/>
    <w:rsid w:val="00C3126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qFormat/>
    <w:rsid w:val="00506D7A"/>
    <w:pPr>
      <w:spacing w:before="100" w:beforeAutospacing="1" w:after="100" w:afterAutospacing="1" w:line="240" w:lineRule="auto"/>
      <w:outlineLvl w:val="4"/>
    </w:pPr>
    <w:rPr>
      <w:rFonts w:ascii="Times New Roman" w:eastAsia="Times New Roman" w:hAnsi="Times New Roman" w:cs="Times New Roman"/>
      <w:b/>
      <w:bCs/>
      <w:color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264"/>
    <w:rPr>
      <w:b/>
      <w:noProof/>
      <w:color w:val="FFFFFF" w:themeColor="background1"/>
      <w:sz w:val="20"/>
      <w:szCs w:val="20"/>
      <w:shd w:val="clear" w:color="auto" w:fill="B9D3EB"/>
      <w:lang w:val="en-US"/>
    </w:rPr>
  </w:style>
  <w:style w:type="character" w:customStyle="1" w:styleId="Heading2Char">
    <w:name w:val="Heading 2 Char"/>
    <w:aliases w:val="PUR H2 Char"/>
    <w:basedOn w:val="DefaultParagraphFont"/>
    <w:link w:val="Heading2"/>
    <w:uiPriority w:val="9"/>
    <w:rsid w:val="00C31264"/>
    <w:rPr>
      <w:b/>
      <w:caps/>
      <w:color w:val="44546A" w:themeColor="text2"/>
      <w:sz w:val="16"/>
      <w:szCs w:val="20"/>
      <w:lang w:val="en-US"/>
    </w:rPr>
  </w:style>
  <w:style w:type="character" w:customStyle="1" w:styleId="Heading3Char">
    <w:name w:val="Heading 3 Char"/>
    <w:aliases w:val="PUR H3 Char"/>
    <w:basedOn w:val="DefaultParagraphFont"/>
    <w:link w:val="Heading3"/>
    <w:uiPriority w:val="9"/>
    <w:rsid w:val="00C31264"/>
    <w:rPr>
      <w:sz w:val="30"/>
      <w:szCs w:val="20"/>
      <w:lang w:val="en-US"/>
    </w:rPr>
  </w:style>
  <w:style w:type="character" w:customStyle="1" w:styleId="Heading4Char">
    <w:name w:val="Heading 4 Char"/>
    <w:basedOn w:val="DefaultParagraphFont"/>
    <w:semiHidden/>
    <w:rsid w:val="00C31264"/>
    <w:rPr>
      <w:rFonts w:asciiTheme="majorHAnsi" w:eastAsiaTheme="majorEastAsia" w:hAnsiTheme="majorHAnsi" w:cstheme="majorBidi"/>
      <w:i/>
      <w:iCs/>
      <w:color w:val="2F5496" w:themeColor="accent1" w:themeShade="BF"/>
    </w:rPr>
  </w:style>
  <w:style w:type="paragraph" w:customStyle="1" w:styleId="ProductList-Body">
    <w:name w:val="Product List - Body"/>
    <w:basedOn w:val="Normal"/>
    <w:qFormat/>
    <w:rsid w:val="00C31264"/>
    <w:pPr>
      <w:tabs>
        <w:tab w:val="left" w:pos="360"/>
        <w:tab w:val="left" w:pos="720"/>
        <w:tab w:val="left" w:pos="1080"/>
      </w:tabs>
      <w:spacing w:after="0" w:line="240" w:lineRule="auto"/>
    </w:pPr>
    <w:rPr>
      <w:sz w:val="18"/>
    </w:rPr>
  </w:style>
  <w:style w:type="paragraph" w:customStyle="1" w:styleId="ProductList-BodySpaced">
    <w:name w:val="Product List - Body Spaced"/>
    <w:basedOn w:val="Normal"/>
    <w:qFormat/>
    <w:rsid w:val="00C31264"/>
    <w:pPr>
      <w:tabs>
        <w:tab w:val="left" w:pos="360"/>
        <w:tab w:val="left" w:pos="720"/>
        <w:tab w:val="left" w:pos="1080"/>
      </w:tabs>
      <w:spacing w:after="40" w:line="240" w:lineRule="auto"/>
    </w:pPr>
    <w:rPr>
      <w:sz w:val="18"/>
    </w:rPr>
  </w:style>
  <w:style w:type="paragraph" w:customStyle="1" w:styleId="ProductList-BodyIndented">
    <w:name w:val="Product List - Body Indented"/>
    <w:basedOn w:val="Normal"/>
    <w:qFormat/>
    <w:rsid w:val="00C31264"/>
    <w:pPr>
      <w:tabs>
        <w:tab w:val="left" w:pos="360"/>
        <w:tab w:val="left" w:pos="720"/>
        <w:tab w:val="left" w:pos="1080"/>
      </w:tabs>
      <w:spacing w:after="0" w:line="240" w:lineRule="auto"/>
      <w:ind w:left="360"/>
    </w:pPr>
    <w:rPr>
      <w:sz w:val="18"/>
    </w:rPr>
  </w:style>
  <w:style w:type="paragraph" w:customStyle="1" w:styleId="ProductList-BodyIndented2">
    <w:name w:val="Product List - Body Indented 2"/>
    <w:basedOn w:val="Normal"/>
    <w:link w:val="ProductList-BodyIndentedChar"/>
    <w:qFormat/>
    <w:rsid w:val="00C31264"/>
    <w:pPr>
      <w:tabs>
        <w:tab w:val="left" w:pos="360"/>
        <w:tab w:val="left" w:pos="720"/>
        <w:tab w:val="left" w:pos="1080"/>
      </w:tabs>
      <w:spacing w:after="0" w:line="240" w:lineRule="auto"/>
      <w:ind w:left="720"/>
    </w:pPr>
    <w:rPr>
      <w:sz w:val="18"/>
    </w:rPr>
  </w:style>
  <w:style w:type="paragraph" w:customStyle="1" w:styleId="ProductList-TableBody">
    <w:name w:val="Product List - Table Body"/>
    <w:basedOn w:val="Normal"/>
    <w:link w:val="ProductList-BodyChar"/>
    <w:qFormat/>
    <w:rsid w:val="00C31264"/>
    <w:pPr>
      <w:tabs>
        <w:tab w:val="left" w:pos="360"/>
        <w:tab w:val="left" w:pos="720"/>
        <w:tab w:val="left" w:pos="1080"/>
      </w:tabs>
      <w:spacing w:after="0" w:line="240" w:lineRule="auto"/>
    </w:pPr>
    <w:rPr>
      <w:rFonts w:ascii="Segoe UI" w:eastAsia="Segoe UI" w:hAnsi="Segoe UI" w:cs="Segoe UI"/>
      <w:sz w:val="16"/>
    </w:rPr>
  </w:style>
  <w:style w:type="paragraph" w:customStyle="1" w:styleId="ProductList-TableHeading">
    <w:name w:val="Product List - Table Heading"/>
    <w:rPr>
      <w:rFonts w:ascii="Segoe UI" w:eastAsia="Segoe UI" w:hAnsi="Segoe UI" w:cs="Segoe UI"/>
      <w:b/>
      <w:sz w:val="16"/>
    </w:rPr>
  </w:style>
  <w:style w:type="character" w:customStyle="1" w:styleId="ProductList-BodyChar">
    <w:name w:val="Product List - Body Char"/>
    <w:basedOn w:val="DefaultParagraphFont"/>
    <w:link w:val="ProductList-TableBody"/>
    <w:rsid w:val="00C31264"/>
    <w:rPr>
      <w:rFonts w:ascii="Calibri Light" w:eastAsia="Calibri Light" w:hAnsi="Calibri Light" w:cs="Calibri Light"/>
      <w:sz w:val="16"/>
      <w:szCs w:val="20"/>
      <w:lang w:val="en-US"/>
    </w:rPr>
  </w:style>
  <w:style w:type="character" w:customStyle="1" w:styleId="ProductList-BodyIndentedChar">
    <w:name w:val="Product List - Body Indented Char"/>
    <w:basedOn w:val="DefaultParagraphFont"/>
    <w:link w:val="ProductList-BodyIndented2"/>
    <w:rsid w:val="00C31264"/>
    <w:rPr>
      <w:sz w:val="18"/>
      <w:szCs w:val="20"/>
      <w:lang w:val="en-US"/>
    </w:rPr>
  </w:style>
  <w:style w:type="paragraph" w:customStyle="1" w:styleId="ProductList-Bullet">
    <w:name w:val="Product List - Bullet"/>
    <w:link w:val="ProductList-BulletChar"/>
    <w:uiPriority w:val="3"/>
    <w:qFormat/>
    <w:rsid w:val="00C31264"/>
    <w:pPr>
      <w:tabs>
        <w:tab w:val="left" w:pos="360"/>
        <w:tab w:val="left" w:pos="720"/>
        <w:tab w:val="left" w:pos="1080"/>
      </w:tabs>
      <w:spacing w:after="0" w:line="240" w:lineRule="auto"/>
      <w:ind w:left="720" w:hanging="360"/>
      <w:contextualSpacing/>
    </w:pPr>
    <w:rPr>
      <w:rFonts w:ascii="Calibri Light" w:eastAsia="Calibri Light" w:hAnsi="Calibri Light" w:cs="Calibri Light"/>
      <w:sz w:val="18"/>
      <w:szCs w:val="20"/>
      <w:lang w:val="en-US"/>
    </w:rPr>
  </w:style>
  <w:style w:type="character" w:customStyle="1" w:styleId="ProductList-BulletChar">
    <w:name w:val="Product List - Bullet Char"/>
    <w:basedOn w:val="ProductList-BodyChar"/>
    <w:link w:val="ProductList-Bullet"/>
    <w:uiPriority w:val="3"/>
    <w:rsid w:val="00C31264"/>
    <w:rPr>
      <w:rFonts w:ascii="Calibri Light" w:eastAsia="Calibri Light" w:hAnsi="Calibri Light" w:cs="Calibri Light"/>
      <w:sz w:val="18"/>
      <w:szCs w:val="20"/>
      <w:lang w:val="en-US"/>
    </w:rPr>
  </w:style>
  <w:style w:type="paragraph" w:customStyle="1" w:styleId="ProductList-SectionHeading">
    <w:name w:val="Product List - Section Heading"/>
    <w:basedOn w:val="ProductList-Body"/>
    <w:next w:val="ProductList-Body"/>
    <w:link w:val="ProductList-SectionHeadingChar"/>
    <w:qFormat/>
    <w:rsid w:val="00C31264"/>
    <w:pPr>
      <w:keepNext/>
      <w:spacing w:after="240"/>
    </w:pPr>
    <w:rPr>
      <w:rFonts w:eastAsia="Calibri Light" w:asciiTheme="majorHAnsi" w:hAnsiTheme="majorHAnsi" w:cs="Calibri Light"/>
      <w:b/>
      <w:sz w:val="40"/>
    </w:rPr>
  </w:style>
  <w:style w:type="character" w:customStyle="1" w:styleId="ProductList-SectionHeadingChar">
    <w:name w:val="Product List - Section Heading Char"/>
    <w:basedOn w:val="ProductList-BodyChar"/>
    <w:link w:val="ProductList-SectionHeading"/>
    <w:rsid w:val="00C31264"/>
    <w:rPr>
      <w:rFonts w:eastAsia="Calibri Light" w:asciiTheme="majorHAnsi" w:hAnsiTheme="majorHAnsi" w:cs="Calibri Light"/>
      <w:b/>
      <w:sz w:val="40"/>
      <w:szCs w:val="20"/>
      <w:lang w:val="en-US"/>
    </w:rPr>
  </w:style>
  <w:style w:type="paragraph" w:customStyle="1" w:styleId="ProductList-OfferingGroupHeading">
    <w:name w:val="Product List - Offering Group Heading"/>
    <w:basedOn w:val="ProductList-Body"/>
    <w:link w:val="ProductList-OfferingGroupHeadingChar"/>
    <w:qFormat/>
    <w:rsid w:val="00C31264"/>
    <w:pPr>
      <w:keepNext/>
      <w:pBdr>
        <w:bottom w:val="single" w:sz="4" w:space="1" w:color="CCCCCC" w:themeColor="accent3" w:themeTint="A6"/>
      </w:pBdr>
      <w:spacing w:before="180" w:after="240"/>
    </w:pPr>
    <w:rPr>
      <w:rFonts w:ascii="Segoe UI Semibold" w:hAnsi="Segoe UI Semibold"/>
      <w:color w:val="000000"/>
      <w:sz w:val="44"/>
    </w:rPr>
  </w:style>
  <w:style w:type="character" w:customStyle="1" w:styleId="ProductList-OfferingGroupHeadingChar">
    <w:name w:val="Product List - Offering Group Heading Char"/>
    <w:basedOn w:val="ProductList-BodyChar"/>
    <w:link w:val="ProductList-OfferingGroupHeading"/>
    <w:rsid w:val="00C31264"/>
    <w:rPr>
      <w:rFonts w:eastAsia="Calibri Light" w:asciiTheme="majorHAnsi" w:hAnsiTheme="majorHAnsi" w:cs="Calibri Light"/>
      <w:b/>
      <w:color w:val="00188F"/>
      <w:sz w:val="28"/>
      <w:szCs w:val="20"/>
      <w:lang w:val="en-US"/>
    </w:rPr>
  </w:style>
  <w:style w:type="paragraph" w:customStyle="1" w:styleId="ProductList-Offering1">
    <w:name w:val="Product List - Offering 1"/>
    <w:basedOn w:val="ProductList-Body"/>
    <w:link w:val="ProductList-Offering1Char"/>
    <w:qFormat/>
    <w:rsid w:val="00C31264"/>
    <w:pPr>
      <w:spacing w:before="20" w:after="20"/>
      <w:ind w:left="-14" w:right="-101"/>
    </w:pPr>
    <w:rPr>
      <w:rFonts w:eastAsia="Calibri Light" w:asciiTheme="majorHAnsi" w:hAnsiTheme="majorHAnsi" w:cs="Calibri Light"/>
      <w:sz w:val="16"/>
    </w:rPr>
  </w:style>
  <w:style w:type="character" w:customStyle="1" w:styleId="ProductList-Offering1Char">
    <w:name w:val="Product List - Offering 1 Char"/>
    <w:basedOn w:val="ProductList-BodyChar"/>
    <w:link w:val="ProductList-Offering1"/>
    <w:rsid w:val="00C31264"/>
    <w:rPr>
      <w:rFonts w:eastAsia="Calibri Light" w:asciiTheme="majorHAnsi" w:hAnsiTheme="majorHAnsi" w:cs="Calibri Light"/>
      <w:sz w:val="16"/>
      <w:szCs w:val="20"/>
      <w:lang w:val="en-US"/>
    </w:rPr>
  </w:style>
  <w:style w:type="paragraph" w:customStyle="1" w:styleId="ProductList-OfferingBody">
    <w:name w:val="Product List - Offering Body"/>
    <w:basedOn w:val="ProductList-Body"/>
    <w:next w:val="ProductList-Body"/>
    <w:link w:val="ProductList-OfferingBodyChar"/>
    <w:qFormat/>
    <w:rsid w:val="00C31264"/>
    <w:pPr>
      <w:spacing w:before="20" w:after="20"/>
      <w:ind w:left="-14" w:right="-101"/>
    </w:pPr>
    <w:rPr>
      <w:rFonts w:ascii="Calibri Light" w:eastAsia="Calibri Light" w:hAnsi="Calibri Light" w:cs="Calibri Light"/>
      <w:sz w:val="16"/>
    </w:rPr>
  </w:style>
  <w:style w:type="character" w:customStyle="1" w:styleId="ProductList-OfferingBodyChar">
    <w:name w:val="Product List - Offering Body Char"/>
    <w:basedOn w:val="ProductList-BodyChar"/>
    <w:link w:val="ProductList-OfferingBody"/>
    <w:rsid w:val="00C31264"/>
    <w:rPr>
      <w:rFonts w:ascii="Calibri Light" w:eastAsia="Calibri Light" w:hAnsi="Calibri Light" w:cs="Calibri Light"/>
      <w:sz w:val="16"/>
      <w:szCs w:val="20"/>
      <w:lang w:val="en-US"/>
    </w:rPr>
  </w:style>
  <w:style w:type="paragraph" w:customStyle="1" w:styleId="ProductList-Offering1Heading">
    <w:name w:val="Product List - Offering 1 Heading"/>
    <w:basedOn w:val="ProductList-Body"/>
    <w:next w:val="ProductList-Body"/>
    <w:link w:val="ProductList-Offering1HeadingChar"/>
    <w:qFormat/>
    <w:rsid w:val="00C31264"/>
    <w:pPr>
      <w:pBdr>
        <w:bottom w:val="single" w:sz="3" w:space="1" w:color="CCCCCC" w:themeColor="none" w:themeTint="A6"/>
      </w:pBdr>
      <w:tabs>
        <w:tab w:val="left" w:pos="187"/>
      </w:tabs>
      <w:spacing w:before="180" w:after="60"/>
    </w:pPr>
    <w:rPr>
      <w:rFonts w:eastAsia="Segoe UI" w:asciiTheme="majorHAnsi" w:hAnsiTheme="majorHAnsi" w:cs="Segoe UI"/>
      <w:color w:val="233B5E"/>
      <w:sz w:val="28"/>
    </w:rPr>
  </w:style>
  <w:style w:type="character" w:customStyle="1" w:styleId="ProductList-Offering1HeadingChar">
    <w:name w:val="Product List - Offering 1 Heading Char"/>
    <w:basedOn w:val="ProductList-BodyChar"/>
    <w:link w:val="ProductList-Offering1Heading"/>
    <w:rsid w:val="00C31264"/>
    <w:rPr>
      <w:rFonts w:eastAsia="Calibri Light" w:asciiTheme="majorHAnsi" w:hAnsiTheme="majorHAnsi" w:cs="Calibri Light"/>
      <w:b/>
      <w:color w:val="00188F"/>
      <w:sz w:val="28"/>
      <w:szCs w:val="20"/>
      <w:lang w:val="en-US"/>
    </w:rPr>
  </w:style>
  <w:style w:type="paragraph" w:customStyle="1" w:styleId="ProductList-Offering1HeadingNoBorder">
    <w:name w:val="Product List - Offering 1 Heading No Border"/>
    <w:basedOn w:val="ProductList-Body"/>
    <w:next w:val="ProductList-Body"/>
    <w:qFormat/>
    <w:rsid w:val="00C31264"/>
    <w:pPr>
      <w:tabs>
        <w:tab w:val="left" w:pos="187"/>
      </w:tabs>
      <w:spacing w:before="180" w:after="60"/>
    </w:pPr>
    <w:rPr>
      <w:rFonts w:asciiTheme="majorHAnsi" w:hAnsiTheme="majorHAnsi"/>
      <w:b/>
      <w:color w:val="00188F"/>
      <w:sz w:val="28"/>
    </w:rPr>
  </w:style>
  <w:style w:type="paragraph" w:customStyle="1" w:styleId="ProductList-SubSection1Heading">
    <w:name w:val="Product List - SubSection 1 Heading"/>
    <w:basedOn w:val="ProductList-Body"/>
    <w:link w:val="ProductList-SubSection1HeadingChar"/>
    <w:qFormat/>
    <w:rsid w:val="00C31264"/>
    <w:pPr>
      <w:pBdr>
        <w:bottom w:val="single" w:sz="4" w:space="1" w:color="595959" w:themeColor="text1" w:themeTint="A6"/>
      </w:pBdr>
      <w:tabs>
        <w:tab w:val="left" w:pos="187"/>
      </w:tabs>
      <w:spacing w:before="240" w:after="120"/>
    </w:pPr>
    <w:rPr>
      <w:rFonts w:eastAsia="Calibri Light" w:asciiTheme="majorHAnsi" w:hAnsiTheme="majorHAnsi" w:cs="Calibri Light"/>
      <w:b/>
      <w:color w:val="00188F"/>
      <w:sz w:val="28"/>
    </w:rPr>
  </w:style>
  <w:style w:type="character" w:customStyle="1" w:styleId="ProductList-SubSection1HeadingChar">
    <w:name w:val="Product List - SubSection 1 Heading Char"/>
    <w:basedOn w:val="ProductList-BodyChar"/>
    <w:link w:val="ProductList-SubSection1Heading"/>
    <w:rsid w:val="00C31264"/>
    <w:rPr>
      <w:rFonts w:eastAsia="Calibri Light" w:asciiTheme="majorHAnsi" w:hAnsiTheme="majorHAnsi" w:cs="Calibri Light"/>
      <w:b/>
      <w:color w:val="00188F"/>
      <w:sz w:val="28"/>
      <w:szCs w:val="20"/>
      <w:lang w:val="en-US"/>
    </w:rPr>
  </w:style>
  <w:style w:type="paragraph" w:customStyle="1" w:styleId="ProductList-Offering2Heading">
    <w:name w:val="Product List - Offering 2 Heading"/>
    <w:basedOn w:val="ProductList-Offering1Heading"/>
    <w:next w:val="ProductList-Body"/>
    <w:link w:val="ProductList-Offering2HeadingChar"/>
    <w:qFormat/>
    <w:rsid w:val="00C31264"/>
    <w:pPr>
      <w:keepNext/>
      <w:tabs>
        <w:tab w:val="clear" w:pos="187"/>
      </w:tabs>
      <w:spacing w:after="0"/>
    </w:pPr>
    <w:rPr>
      <w:rFonts w:ascii="Segoe UI" w:hAnsi="Segoe UI"/>
      <w:b w:val="0"/>
      <w:color w:val="233B5E"/>
      <w:sz w:val="34"/>
    </w:rPr>
  </w:style>
  <w:style w:type="character" w:customStyle="1" w:styleId="ProductList-Offering2HeadingChar">
    <w:name w:val="Product List - Offering 2 Heading Char"/>
    <w:basedOn w:val="ProductList-Offering1HeadingChar"/>
    <w:link w:val="ProductList-Offering2Heading"/>
    <w:rsid w:val="00C31264"/>
    <w:rPr>
      <w:rFonts w:eastAsia="Calibri Light" w:asciiTheme="majorHAnsi" w:hAnsiTheme="majorHAnsi" w:cs="Calibri Light"/>
      <w:b/>
      <w:color w:val="0072C6"/>
      <w:sz w:val="28"/>
      <w:szCs w:val="20"/>
      <w:lang w:val="en-US"/>
    </w:rPr>
  </w:style>
  <w:style w:type="paragraph" w:customStyle="1" w:styleId="ProductList-Offering2HeadingNoBorder">
    <w:name w:val="Product List - Offering 2 Heading No Border"/>
    <w:basedOn w:val="ProductList-Offering1Heading"/>
    <w:next w:val="ProductList-Body"/>
    <w:qFormat/>
    <w:rsid w:val="00C31264"/>
    <w:pPr>
      <w:keepNext/>
      <w:pBdr>
        <w:bottom w:val="none" w:sz="0" w:space="0" w:color="auto"/>
      </w:pBdr>
      <w:tabs>
        <w:tab w:val="clear" w:pos="187"/>
      </w:tabs>
      <w:ind w:firstLine="187"/>
    </w:pPr>
    <w:rPr>
      <w:color w:val="0072C6"/>
    </w:rPr>
  </w:style>
  <w:style w:type="paragraph" w:customStyle="1" w:styleId="ProductList-Offering2">
    <w:name w:val="Product List - Offering 2"/>
    <w:basedOn w:val="ProductList-Offering1"/>
    <w:link w:val="ProductList-Offering2Char"/>
    <w:qFormat/>
    <w:rsid w:val="00C31264"/>
  </w:style>
  <w:style w:type="character" w:customStyle="1" w:styleId="ProductList-Offering2Char">
    <w:name w:val="Product List - Offering 2 Char"/>
    <w:basedOn w:val="ProductList-BodyChar"/>
    <w:link w:val="ProductList-Offering2"/>
    <w:rsid w:val="00C31264"/>
    <w:rPr>
      <w:rFonts w:eastAsia="Calibri Light" w:asciiTheme="majorHAnsi" w:hAnsiTheme="majorHAnsi" w:cs="Calibri Light"/>
      <w:sz w:val="16"/>
      <w:szCs w:val="20"/>
      <w:lang w:val="en-US"/>
    </w:rPr>
  </w:style>
  <w:style w:type="paragraph" w:customStyle="1" w:styleId="ProductList-SubSubSectionHeading">
    <w:name w:val="Product List - SubSubSection Heading"/>
    <w:basedOn w:val="ProductList-Body"/>
    <w:link w:val="ProductList-SubSubSectionHeadingChar"/>
    <w:qFormat/>
    <w:rsid w:val="00C31264"/>
    <w:rPr>
      <w:rFonts w:ascii="Calibri Light" w:eastAsia="Calibri Light" w:hAnsi="Calibri Light" w:cs="Calibri Light"/>
      <w:b/>
      <w:color w:val="00188F"/>
    </w:rPr>
  </w:style>
  <w:style w:type="character" w:customStyle="1" w:styleId="ProductList-SubSubSectionHeadingChar">
    <w:name w:val="Product List - SubSubSection Heading Char"/>
    <w:basedOn w:val="ProductList-BodyChar"/>
    <w:link w:val="ProductList-SubSubSectionHeading"/>
    <w:rsid w:val="00C31264"/>
    <w:rPr>
      <w:rFonts w:ascii="Calibri Light" w:eastAsia="Calibri Light" w:hAnsi="Calibri Light" w:cs="Calibri Light"/>
      <w:b/>
      <w:color w:val="00188F"/>
      <w:sz w:val="18"/>
      <w:szCs w:val="20"/>
      <w:lang w:val="en-US"/>
    </w:rPr>
  </w:style>
  <w:style w:type="paragraph" w:customStyle="1" w:styleId="ProductList-SubSection2Heading">
    <w:name w:val="Product List - SubSection 2 Heading"/>
    <w:basedOn w:val="ProductList-SubSection1Heading"/>
    <w:link w:val="ProductList-SubSection2HeadingChar"/>
    <w:qFormat/>
    <w:rsid w:val="00C31264"/>
    <w:pPr>
      <w:tabs>
        <w:tab w:val="clear" w:pos="187"/>
      </w:tabs>
      <w:outlineLvl w:val="2"/>
    </w:pPr>
    <w:rPr>
      <w:color w:val="0072C6"/>
    </w:rPr>
  </w:style>
  <w:style w:type="character" w:customStyle="1" w:styleId="ProductList-SubSection2HeadingChar">
    <w:name w:val="Product List - SubSection 2 Heading Char"/>
    <w:basedOn w:val="ProductList-SubSection1HeadingChar"/>
    <w:link w:val="ProductList-SubSection2Heading"/>
    <w:rsid w:val="00C31264"/>
    <w:rPr>
      <w:rFonts w:eastAsia="Calibri Light" w:asciiTheme="majorHAnsi" w:hAnsiTheme="majorHAnsi" w:cs="Calibri Light"/>
      <w:b/>
      <w:color w:val="0072C6"/>
      <w:sz w:val="28"/>
      <w:szCs w:val="20"/>
      <w:lang w:val="en-US"/>
    </w:rPr>
  </w:style>
  <w:style w:type="paragraph" w:customStyle="1" w:styleId="ProductList-OfferingHeading">
    <w:name w:val="Product List - Offering Heading"/>
    <w:basedOn w:val="ProductList-Body"/>
    <w:link w:val="ProductList-OfferingHeadingChar"/>
    <w:qFormat/>
    <w:rsid w:val="00C31264"/>
    <w:pPr>
      <w:pBdr>
        <w:bottom w:val="single" w:sz="4" w:space="1" w:color="595959" w:themeColor="text1" w:themeTint="A6"/>
      </w:pBdr>
      <w:spacing w:before="60" w:after="60"/>
    </w:pPr>
    <w:rPr>
      <w:rFonts w:eastAsia="Calibri Light" w:asciiTheme="majorHAnsi" w:hAnsiTheme="majorHAnsi" w:cs="Calibri Light"/>
      <w:b/>
      <w:sz w:val="28"/>
    </w:rPr>
  </w:style>
  <w:style w:type="character" w:customStyle="1" w:styleId="ProductList-OfferingHeadingChar">
    <w:name w:val="Product List - Offering Heading Char"/>
    <w:basedOn w:val="ProductList-BodyChar"/>
    <w:link w:val="ProductList-OfferingHeading"/>
    <w:rsid w:val="00C31264"/>
    <w:rPr>
      <w:rFonts w:eastAsia="Calibri Light" w:asciiTheme="majorHAnsi" w:hAnsiTheme="majorHAnsi" w:cs="Calibri Light"/>
      <w:b/>
      <w:sz w:val="28"/>
      <w:szCs w:val="20"/>
      <w:lang w:val="en-US"/>
    </w:rPr>
  </w:style>
  <w:style w:type="paragraph" w:customStyle="1" w:styleId="ProductList-Offering1SubSection">
    <w:name w:val="Product List - Offering 1 SubSection"/>
    <w:basedOn w:val="ProductList-Body"/>
    <w:qFormat/>
    <w:rsid w:val="00C31264"/>
    <w:pPr>
      <w:keepNext/>
      <w:pBdr>
        <w:bottom w:val="single" w:sz="4" w:space="1" w:color="CCCCCC" w:themeColor="none" w:themeTint="A6"/>
      </w:pBdr>
      <w:tabs>
        <w:tab w:val="clear" w:pos="360"/>
        <w:tab w:val="clear" w:pos="720"/>
        <w:tab w:val="clear" w:pos="1080"/>
      </w:tabs>
      <w:spacing w:before="240" w:after="20"/>
    </w:pPr>
    <w:rPr>
      <w:b/>
      <w:color w:val="233B5E"/>
      <w:sz w:val="28"/>
    </w:rPr>
  </w:style>
  <w:style w:type="paragraph" w:customStyle="1" w:styleId="ProductList-Offering">
    <w:name w:val="Product List - Offering"/>
    <w:basedOn w:val="ProductList-Body"/>
    <w:link w:val="ProductList-OfferingChar"/>
    <w:qFormat/>
    <w:rsid w:val="00C31264"/>
    <w:pPr>
      <w:spacing w:before="20" w:after="20"/>
      <w:ind w:left="-14" w:right="101"/>
    </w:pPr>
    <w:rPr>
      <w:rFonts w:eastAsia="Calibri Light" w:asciiTheme="majorHAnsi" w:hAnsiTheme="majorHAnsi" w:cs="Calibri Light"/>
      <w:sz w:val="16"/>
    </w:rPr>
  </w:style>
  <w:style w:type="character" w:customStyle="1" w:styleId="ProductList-OfferingChar">
    <w:name w:val="Product List - Offering Char"/>
    <w:basedOn w:val="ProductList-BodyChar"/>
    <w:link w:val="ProductList-Offering"/>
    <w:rsid w:val="00C31264"/>
    <w:rPr>
      <w:rFonts w:eastAsia="Calibri Light" w:asciiTheme="majorHAnsi" w:hAnsiTheme="majorHAnsi" w:cs="Calibri Light"/>
      <w:sz w:val="16"/>
      <w:szCs w:val="20"/>
      <w:lang w:val="en-US"/>
    </w:rPr>
  </w:style>
  <w:style w:type="paragraph" w:customStyle="1" w:styleId="ProductList-ClauseHeading">
    <w:name w:val="Product List - Clause Heading"/>
    <w:basedOn w:val="ProductList-Body"/>
    <w:next w:val="ProductList-Body"/>
    <w:qFormat/>
    <w:rsid w:val="00C31264"/>
    <w:pPr>
      <w:keepNext/>
    </w:pPr>
    <w:rPr>
      <w:b/>
      <w:color w:val="00188F"/>
      <w:sz w:val="30"/>
    </w:rPr>
  </w:style>
  <w:style w:type="paragraph" w:customStyle="1" w:styleId="ProductList-SubClauseHeading">
    <w:name w:val="Product List - SubClause Heading"/>
    <w:basedOn w:val="ProductList-Body"/>
    <w:next w:val="ProductList-Body"/>
    <w:qFormat/>
    <w:rsid w:val="00C31264"/>
    <w:pPr>
      <w:keepNext/>
      <w:ind w:left="360"/>
    </w:pPr>
    <w:rPr>
      <w:b/>
      <w:color w:val="0072C6"/>
    </w:rPr>
  </w:style>
  <w:style w:type="paragraph" w:customStyle="1" w:styleId="ProductList-SubSubClauseHeading">
    <w:name w:val="Product List - SubSubClause Heading"/>
    <w:basedOn w:val="ProductList-Body"/>
    <w:next w:val="ProductList-Body"/>
    <w:qFormat/>
    <w:rsid w:val="00C31264"/>
    <w:pPr>
      <w:keepNext/>
      <w:tabs>
        <w:tab w:val="clear" w:pos="360"/>
      </w:tabs>
      <w:ind w:left="720"/>
    </w:pPr>
    <w:rPr>
      <w:b/>
      <w:color w:val="4668C5"/>
    </w:rPr>
  </w:style>
  <w:style w:type="paragraph" w:customStyle="1" w:styleId="PURBody">
    <w:name w:val="PUR Body"/>
    <w:basedOn w:val="Normal"/>
    <w:link w:val="PURBodyChar"/>
    <w:qFormat/>
    <w:rsid w:val="00C31264"/>
    <w:pPr>
      <w:tabs>
        <w:tab w:val="left" w:pos="360"/>
        <w:tab w:val="left" w:pos="720"/>
        <w:tab w:val="left" w:pos="1080"/>
      </w:tabs>
      <w:spacing w:after="180" w:line="240" w:lineRule="auto"/>
    </w:pPr>
    <w:rPr>
      <w:sz w:val="18"/>
    </w:rPr>
  </w:style>
  <w:style w:type="paragraph" w:customStyle="1" w:styleId="PURHeading3">
    <w:name w:val="PUR Heading 3"/>
    <w:basedOn w:val="PURBody"/>
    <w:next w:val="PURBody"/>
    <w:link w:val="PURHeading3Char"/>
    <w:uiPriority w:val="3"/>
    <w:rsid w:val="00C31264"/>
    <w:pPr>
      <w:pBdr>
        <w:bottom w:val="single" w:sz="4" w:space="1" w:color="auto"/>
      </w:pBdr>
      <w:tabs>
        <w:tab w:val="left" w:pos="187"/>
        <w:tab w:val="clear" w:pos="360"/>
        <w:tab w:val="clear" w:pos="720"/>
        <w:tab w:val="clear" w:pos="1080"/>
      </w:tabs>
      <w:spacing w:before="240" w:after="120"/>
    </w:pPr>
    <w:rPr>
      <w:b/>
      <w:color w:val="00188F"/>
      <w:sz w:val="28"/>
    </w:rPr>
  </w:style>
  <w:style w:type="paragraph" w:customStyle="1" w:styleId="PURHeading1">
    <w:name w:val="PUR Heading 1"/>
    <w:basedOn w:val="PURBody"/>
    <w:next w:val="PURBody"/>
    <w:uiPriority w:val="3"/>
    <w:qFormat/>
    <w:rsid w:val="00C31264"/>
    <w:pPr>
      <w:keepNext/>
      <w:keepLines/>
      <w:pBdr>
        <w:bottom w:val="single" w:sz="4" w:space="1" w:color="BFBFBF" w:themeColor="background1" w:themeShade="BF"/>
      </w:pBdr>
      <w:tabs>
        <w:tab w:val="left" w:pos="187"/>
        <w:tab w:val="clear" w:pos="360"/>
        <w:tab w:val="clear" w:pos="720"/>
        <w:tab w:val="clear" w:pos="1080"/>
      </w:tabs>
      <w:spacing w:before="60" w:after="60"/>
    </w:pPr>
    <w:rPr>
      <w:rFonts w:asciiTheme="majorHAnsi" w:hAnsiTheme="majorHAnsi"/>
      <w:b/>
      <w:noProof/>
      <w:color w:val="00188F"/>
      <w:sz w:val="28"/>
      <w:szCs w:val="24"/>
    </w:rPr>
  </w:style>
  <w:style w:type="paragraph" w:customStyle="1" w:styleId="PURHeading2">
    <w:name w:val="PUR Heading 2"/>
    <w:basedOn w:val="PURHeading1"/>
    <w:next w:val="PURBody"/>
    <w:uiPriority w:val="3"/>
    <w:qFormat/>
    <w:rsid w:val="00C31264"/>
    <w:pPr>
      <w:tabs>
        <w:tab w:val="left" w:pos="158"/>
        <w:tab w:val="clear" w:pos="187"/>
      </w:tabs>
    </w:pPr>
    <w:rPr>
      <w:b w:val="0"/>
    </w:rPr>
  </w:style>
  <w:style w:type="paragraph" w:customStyle="1" w:styleId="PURLicenseTerm">
    <w:name w:val="PUR License Term"/>
    <w:next w:val="PURBody"/>
    <w:uiPriority w:val="3"/>
    <w:qFormat/>
    <w:rsid w:val="00C31264"/>
    <w:pPr>
      <w:spacing w:after="120" w:line="240" w:lineRule="exact"/>
    </w:pPr>
    <w:rPr>
      <w:rFonts w:ascii="Arial" w:hAnsi="Arial"/>
      <w:spacing w:val="-2"/>
      <w:sz w:val="12"/>
      <w:szCs w:val="20"/>
      <w:lang w:val="en-US"/>
    </w:rPr>
  </w:style>
  <w:style w:type="paragraph" w:customStyle="1" w:styleId="PURGraphic">
    <w:name w:val="PUR Graphic"/>
    <w:next w:val="PURBody"/>
    <w:uiPriority w:val="3"/>
    <w:qFormat/>
    <w:rsid w:val="00C31264"/>
    <w:pPr>
      <w:spacing w:before="120" w:after="120" w:line="240" w:lineRule="auto"/>
    </w:pPr>
    <w:rPr>
      <w:rFonts w:ascii="Arial" w:hAnsi="Arial"/>
      <w:noProof/>
      <w:color w:val="E7E6E6" w:themeColor="background2"/>
      <w:sz w:val="20"/>
      <w:szCs w:val="20"/>
      <w:lang w:val="en-US"/>
    </w:rPr>
  </w:style>
  <w:style w:type="paragraph" w:styleId="BalloonText">
    <w:name w:val="Balloon Text"/>
    <w:basedOn w:val="Normal"/>
    <w:link w:val="BalloonTextChar"/>
    <w:uiPriority w:val="99"/>
    <w:semiHidden/>
    <w:rsid w:val="00C31264"/>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C31264"/>
    <w:rPr>
      <w:rFonts w:ascii="Tahoma" w:hAnsi="Tahoma" w:cs="Tahoma"/>
      <w:sz w:val="16"/>
      <w:szCs w:val="16"/>
      <w:lang w:val="en-US"/>
    </w:rPr>
  </w:style>
  <w:style w:type="paragraph" w:customStyle="1" w:styleId="PURHeading4">
    <w:name w:val="PUR Heading 4"/>
    <w:basedOn w:val="PURHeading2"/>
    <w:next w:val="PURBody"/>
    <w:link w:val="PURHeading4Char"/>
    <w:uiPriority w:val="3"/>
    <w:qFormat/>
    <w:rsid w:val="00C31264"/>
    <w:pPr>
      <w:spacing w:after="0"/>
    </w:pPr>
    <w:rPr>
      <w:sz w:val="20"/>
    </w:rPr>
  </w:style>
  <w:style w:type="paragraph" w:styleId="Header">
    <w:name w:val="header"/>
    <w:basedOn w:val="Normal"/>
    <w:link w:val="HeaderChar"/>
    <w:uiPriority w:val="99"/>
    <w:rsid w:val="00C31264"/>
    <w:pPr>
      <w:tabs>
        <w:tab w:val="center" w:pos="4680"/>
        <w:tab w:val="right" w:pos="9360"/>
      </w:tabs>
      <w:spacing w:after="0"/>
    </w:pPr>
  </w:style>
  <w:style w:type="character" w:customStyle="1" w:styleId="HeaderChar">
    <w:name w:val="Header Char"/>
    <w:basedOn w:val="DefaultParagraphFont"/>
    <w:link w:val="Header"/>
    <w:uiPriority w:val="99"/>
    <w:rsid w:val="00C31264"/>
    <w:rPr>
      <w:sz w:val="20"/>
      <w:szCs w:val="20"/>
      <w:lang w:val="en-US"/>
    </w:rPr>
  </w:style>
  <w:style w:type="paragraph" w:customStyle="1" w:styleId="PURBlueStrong">
    <w:name w:val="PUR Blue Strong"/>
    <w:next w:val="PURBody"/>
    <w:link w:val="PURBlueStrongChar"/>
    <w:uiPriority w:val="3"/>
    <w:qFormat/>
    <w:rsid w:val="00C31264"/>
    <w:pPr>
      <w:keepNext/>
      <w:keepLines/>
      <w:spacing w:after="60" w:line="240" w:lineRule="exact"/>
    </w:pPr>
    <w:rPr>
      <w:rFonts w:ascii="Arial" w:hAnsi="Arial"/>
      <w:smallCaps/>
      <w:color w:val="44546A" w:themeColor="text2"/>
      <w:spacing w:val="-4"/>
      <w:sz w:val="18"/>
      <w:szCs w:val="20"/>
      <w:lang w:val="en-US"/>
    </w:rPr>
  </w:style>
  <w:style w:type="paragraph" w:customStyle="1" w:styleId="PURPageNumber">
    <w:name w:val="PUR Page Number"/>
    <w:next w:val="PURBody"/>
    <w:uiPriority w:val="3"/>
    <w:qFormat/>
    <w:rsid w:val="00C31264"/>
    <w:pPr>
      <w:tabs>
        <w:tab w:val="right" w:pos="14400"/>
      </w:tabs>
      <w:spacing w:after="0" w:line="240" w:lineRule="auto"/>
    </w:pPr>
    <w:rPr>
      <w:rFonts w:ascii="Arial" w:hAnsi="Arial"/>
      <w:b/>
      <w:color w:val="44546A" w:themeColor="text2"/>
      <w:sz w:val="20"/>
      <w:szCs w:val="20"/>
      <w:lang w:val="en-US"/>
    </w:rPr>
  </w:style>
  <w:style w:type="paragraph" w:customStyle="1" w:styleId="PURBullet">
    <w:name w:val="PUR Bullet"/>
    <w:basedOn w:val="PURBody"/>
    <w:link w:val="PURBulletChar"/>
    <w:uiPriority w:val="3"/>
    <w:qFormat/>
    <w:rsid w:val="00C31264"/>
    <w:pPr>
      <w:numPr>
        <w:numId w:val="1"/>
      </w:numPr>
    </w:pPr>
  </w:style>
  <w:style w:type="table" w:styleId="TableGrid">
    <w:name w:val="Table Grid"/>
    <w:basedOn w:val="TableNormal"/>
    <w:uiPriority w:val="59"/>
    <w:rsid w:val="00C31264"/>
    <w:pPr>
      <w:spacing w:after="0" w:line="240" w:lineRule="auto"/>
    </w:pPr>
    <w:rPr>
      <w:rFonts w:ascii="Calibri-Light" w:hAnsi="Calibri-Light"/>
      <w:color w:val="000000" w:themeColor="none"/>
      <w:sz w:val="9"/>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TableText">
    <w:name w:val="PUR Table Text"/>
    <w:next w:val="PURBody"/>
    <w:link w:val="PURTableTextChar"/>
    <w:uiPriority w:val="3"/>
    <w:qFormat/>
    <w:rsid w:val="00C31264"/>
    <w:pPr>
      <w:keepNext/>
      <w:keepLines/>
      <w:spacing w:after="120" w:line="240" w:lineRule="exact"/>
    </w:pPr>
    <w:rPr>
      <w:rFonts w:ascii="Arial" w:hAnsi="Arial"/>
      <w:b/>
      <w:i/>
      <w:sz w:val="18"/>
      <w:szCs w:val="20"/>
      <w:lang w:val="en-US"/>
    </w:rPr>
  </w:style>
  <w:style w:type="paragraph" w:customStyle="1" w:styleId="PURTableHeaderGrey">
    <w:name w:val="PUR Table Header/Grey"/>
    <w:next w:val="PURBody"/>
    <w:uiPriority w:val="3"/>
    <w:qFormat/>
    <w:rsid w:val="00C31264"/>
    <w:pPr>
      <w:keepNext/>
      <w:spacing w:after="0" w:line="240" w:lineRule="auto"/>
    </w:pPr>
    <w:rPr>
      <w:rFonts w:ascii="Arial" w:hAnsi="Arial"/>
      <w:b/>
      <w:color w:val="000000" w:themeColor="text1"/>
      <w:sz w:val="18"/>
      <w:szCs w:val="20"/>
      <w:lang w:val="en-US"/>
    </w:rPr>
  </w:style>
  <w:style w:type="paragraph" w:styleId="Footer">
    <w:name w:val="footer"/>
    <w:basedOn w:val="Normal"/>
    <w:link w:val="FooterChar"/>
    <w:uiPriority w:val="99"/>
    <w:semiHidden/>
    <w:rsid w:val="00C31264"/>
    <w:pPr>
      <w:tabs>
        <w:tab w:val="center" w:pos="4680"/>
        <w:tab w:val="right" w:pos="9360"/>
      </w:tabs>
      <w:spacing w:after="0"/>
    </w:pPr>
  </w:style>
  <w:style w:type="character" w:customStyle="1" w:styleId="FooterChar">
    <w:name w:val="Footer Char"/>
    <w:basedOn w:val="DefaultParagraphFont"/>
    <w:link w:val="Footer"/>
    <w:uiPriority w:val="99"/>
    <w:semiHidden/>
    <w:rsid w:val="00C31264"/>
    <w:rPr>
      <w:sz w:val="20"/>
      <w:szCs w:val="20"/>
      <w:lang w:val="en-US"/>
    </w:rPr>
  </w:style>
  <w:style w:type="paragraph" w:styleId="TOC2">
    <w:name w:val="toc 2"/>
    <w:basedOn w:val="TOC1"/>
    <w:next w:val="Normal"/>
    <w:uiPriority w:val="39"/>
    <w:unhideWhenUsed/>
    <w:rsid w:val="00C31264"/>
    <w:pPr>
      <w:tabs>
        <w:tab w:val="right" w:pos="5210"/>
      </w:tabs>
      <w:spacing w:before="0" w:after="0"/>
      <w:ind w:left="158"/>
    </w:pPr>
    <w:rPr>
      <w:b w:val="0"/>
      <w:caps w:val="0"/>
      <w:smallCaps/>
      <w:noProof/>
      <w:szCs w:val="22"/>
    </w:rPr>
  </w:style>
  <w:style w:type="paragraph" w:styleId="TOC1">
    <w:name w:val="toc 1"/>
    <w:basedOn w:val="Normal"/>
    <w:next w:val="Normal"/>
    <w:uiPriority w:val="39"/>
    <w:unhideWhenUsed/>
    <w:rsid w:val="00C31264"/>
    <w:pPr>
      <w:tabs>
        <w:tab w:val="right" w:leader="dot" w:pos="5026"/>
      </w:tabs>
      <w:spacing w:before="120" w:after="120" w:line="252" w:lineRule="auto"/>
    </w:pPr>
    <w:rPr>
      <w:b/>
      <w:caps/>
      <w:sz w:val="18"/>
    </w:rPr>
  </w:style>
  <w:style w:type="paragraph" w:styleId="TOC3">
    <w:name w:val="toc 3"/>
    <w:basedOn w:val="TOC2"/>
    <w:next w:val="Normal"/>
    <w:uiPriority w:val="39"/>
    <w:unhideWhenUsed/>
    <w:qFormat/>
    <w:rsid w:val="00C31264"/>
    <w:pPr>
      <w:tabs>
        <w:tab w:val="right" w:pos="5130"/>
      </w:tabs>
      <w:spacing w:line="260" w:lineRule="exact"/>
      <w:ind w:left="720" w:hanging="187"/>
    </w:pPr>
  </w:style>
  <w:style w:type="character" w:styleId="Hyperlink">
    <w:name w:val="Hyperlink"/>
    <w:basedOn w:val="DefaultParagraphFont"/>
    <w:uiPriority w:val="99"/>
    <w:rsid w:val="00C31264"/>
    <w:rPr>
      <w:color w:val="0563C1"/>
      <w:u w:val="single"/>
    </w:rPr>
  </w:style>
  <w:style w:type="character" w:styleId="FollowedHyperlink">
    <w:name w:val="FollowedHyperlink"/>
    <w:basedOn w:val="DefaultParagraphFont"/>
    <w:uiPriority w:val="99"/>
    <w:semiHidden/>
    <w:rsid w:val="00C31264"/>
    <w:rPr>
      <w:color w:val="954F72" w:themeColor="followedHyperlink"/>
      <w:u w:val="single"/>
    </w:rPr>
  </w:style>
  <w:style w:type="character" w:styleId="Strong">
    <w:name w:val="Strong"/>
    <w:basedOn w:val="DefaultParagraphFont"/>
    <w:uiPriority w:val="22"/>
    <w:qFormat/>
    <w:rsid w:val="00C31264"/>
    <w:rPr>
      <w:b/>
      <w:bCs/>
    </w:rPr>
  </w:style>
  <w:style w:type="paragraph" w:customStyle="1" w:styleId="licensemodelindex">
    <w:name w:val="license model index"/>
    <w:basedOn w:val="Normal"/>
    <w:uiPriority w:val="99"/>
    <w:semiHidden/>
    <w:locked/>
    <w:rsid w:val="00C31264"/>
    <w:pPr>
      <w:tabs>
        <w:tab w:val="left" w:pos="240"/>
      </w:tabs>
      <w:suppressAutoHyphens/>
      <w:autoSpaceDE w:val="0"/>
      <w:autoSpaceDN w:val="0"/>
      <w:adjustRightInd w:val="0"/>
      <w:spacing w:after="40" w:line="150" w:lineRule="atLeast"/>
      <w:textAlignment w:val="center"/>
    </w:pPr>
    <w:rPr>
      <w:rFonts w:cs="Arial"/>
      <w:color w:val="000C9E"/>
      <w:spacing w:val="-3"/>
      <w:sz w:val="14"/>
      <w:szCs w:val="14"/>
    </w:rPr>
  </w:style>
  <w:style w:type="paragraph" w:customStyle="1" w:styleId="PURHotBread">
    <w:name w:val="PUR Hot Bread"/>
    <w:next w:val="PURBody"/>
    <w:link w:val="PURHotBreadChar"/>
    <w:uiPriority w:val="3"/>
    <w:qFormat/>
    <w:rsid w:val="00C31264"/>
    <w:pPr>
      <w:keepNext/>
      <w:keepLines/>
      <w:spacing w:before="120" w:after="120" w:line="240" w:lineRule="auto"/>
    </w:pPr>
    <w:rPr>
      <w:rFonts w:ascii="Arial" w:hAnsi="Arial"/>
      <w:color w:val="E7E6E6" w:themeColor="background2"/>
      <w:sz w:val="18"/>
      <w:szCs w:val="20"/>
      <w:lang w:val="en-US"/>
    </w:rPr>
  </w:style>
  <w:style w:type="paragraph" w:customStyle="1" w:styleId="PURHashMarks">
    <w:name w:val="PUR Hash Marks"/>
    <w:basedOn w:val="PURBody"/>
    <w:next w:val="PURBody"/>
    <w:uiPriority w:val="3"/>
    <w:qFormat/>
    <w:rsid w:val="00C31264"/>
    <w:pPr>
      <w:spacing w:before="120"/>
    </w:pPr>
    <w:rPr>
      <w:spacing w:val="8"/>
      <w:sz w:val="22"/>
    </w:rPr>
  </w:style>
  <w:style w:type="paragraph" w:customStyle="1" w:styleId="PURFootnote">
    <w:name w:val="PUR Footnote"/>
    <w:next w:val="PURBody"/>
    <w:link w:val="PURFootnoteChar"/>
    <w:uiPriority w:val="3"/>
    <w:qFormat/>
    <w:rsid w:val="00C31264"/>
    <w:pPr>
      <w:spacing w:after="0" w:line="240" w:lineRule="auto"/>
    </w:pPr>
    <w:rPr>
      <w:rFonts w:ascii="Arial" w:hAnsi="Arial"/>
      <w:color w:val="404040" w:themeColor="text1" w:themeTint="BF"/>
      <w:sz w:val="16"/>
      <w:szCs w:val="20"/>
      <w:lang w:val="en-US"/>
    </w:rPr>
  </w:style>
  <w:style w:type="paragraph" w:customStyle="1" w:styleId="PURRunningHeader">
    <w:name w:val="PUR Running Header"/>
    <w:uiPriority w:val="3"/>
    <w:qFormat/>
    <w:rsid w:val="00C31264"/>
    <w:pPr>
      <w:pBdr>
        <w:bottom w:val="single" w:sz="6" w:space="8" w:color="44546A" w:themeColor="text2"/>
      </w:pBdr>
      <w:tabs>
        <w:tab w:val="right" w:pos="14400"/>
      </w:tabs>
      <w:spacing w:after="120" w:line="240" w:lineRule="exact"/>
    </w:pPr>
    <w:rPr>
      <w:rFonts w:ascii="Arial" w:hAnsi="Arial"/>
      <w:color w:val="E7E6E6" w:themeColor="background2"/>
      <w:sz w:val="20"/>
      <w:szCs w:val="20"/>
      <w:lang w:val="en-US"/>
    </w:rPr>
  </w:style>
  <w:style w:type="paragraph" w:customStyle="1" w:styleId="PURSideBar">
    <w:name w:val="PUR Side Bar"/>
    <w:basedOn w:val="Normal"/>
    <w:qFormat/>
    <w:rsid w:val="00C31264"/>
    <w:pPr>
      <w:spacing w:after="60" w:line="200" w:lineRule="exact"/>
      <w:ind w:left="90" w:hanging="90"/>
    </w:pPr>
    <w:rPr>
      <w:rFonts w:ascii="Arial Narrow" w:hAnsi="Arial Narrow"/>
      <w:color w:val="44546A" w:themeColor="text2"/>
      <w:sz w:val="18"/>
      <w:szCs w:val="17"/>
    </w:rPr>
  </w:style>
  <w:style w:type="paragraph" w:styleId="Index1">
    <w:name w:val="index 1"/>
    <w:next w:val="Normal"/>
    <w:autoRedefine/>
    <w:uiPriority w:val="99"/>
    <w:semiHidden/>
    <w:unhideWhenUsed/>
    <w:rsid w:val="00C31264"/>
    <w:pPr>
      <w:spacing w:after="0" w:line="240" w:lineRule="exact"/>
      <w:ind w:left="200" w:hanging="200"/>
    </w:pPr>
    <w:rPr>
      <w:rFonts w:ascii="Calibri" w:eastAsia="MS Mincho" w:hAnsi="Calibri" w:cs="Times New Roman"/>
      <w:sz w:val="18"/>
      <w:szCs w:val="20"/>
      <w:lang w:val="en-US"/>
    </w:rPr>
  </w:style>
  <w:style w:type="character" w:styleId="CommentReference">
    <w:name w:val="annotation reference"/>
    <w:basedOn w:val="DefaultParagraphFont"/>
    <w:uiPriority w:val="99"/>
    <w:semiHidden/>
    <w:rsid w:val="00C31264"/>
    <w:rPr>
      <w:sz w:val="16"/>
      <w:szCs w:val="16"/>
    </w:rPr>
  </w:style>
  <w:style w:type="paragraph" w:styleId="CommentText">
    <w:name w:val="annotation text"/>
    <w:basedOn w:val="Normal"/>
    <w:link w:val="CommentTextChar"/>
    <w:uiPriority w:val="99"/>
    <w:semiHidden/>
    <w:rsid w:val="00C31264"/>
  </w:style>
  <w:style w:type="character" w:customStyle="1" w:styleId="CommentTextChar">
    <w:name w:val="Comment Text Char"/>
    <w:basedOn w:val="DefaultParagraphFont"/>
    <w:link w:val="CommentText"/>
    <w:uiPriority w:val="99"/>
    <w:semiHidden/>
    <w:rsid w:val="00C31264"/>
    <w:rPr>
      <w:sz w:val="20"/>
      <w:szCs w:val="20"/>
      <w:lang w:val="en-US"/>
    </w:rPr>
  </w:style>
  <w:style w:type="paragraph" w:styleId="CommentSubject">
    <w:name w:val="annotation subject"/>
    <w:basedOn w:val="CommentText"/>
    <w:next w:val="CommentText"/>
    <w:link w:val="CommentSubjectChar"/>
    <w:uiPriority w:val="99"/>
    <w:semiHidden/>
    <w:rsid w:val="00C31264"/>
    <w:rPr>
      <w:b/>
      <w:bCs/>
    </w:rPr>
  </w:style>
  <w:style w:type="character" w:customStyle="1" w:styleId="CommentSubjectChar">
    <w:name w:val="Comment Subject Char"/>
    <w:basedOn w:val="CommentTextChar"/>
    <w:link w:val="CommentSubject"/>
    <w:uiPriority w:val="99"/>
    <w:semiHidden/>
    <w:rsid w:val="00C31264"/>
    <w:rPr>
      <w:b/>
      <w:bCs/>
      <w:sz w:val="20"/>
      <w:szCs w:val="20"/>
      <w:lang w:val="en-US"/>
    </w:rPr>
  </w:style>
  <w:style w:type="paragraph" w:styleId="Revision">
    <w:name w:val="Revision"/>
    <w:hidden/>
    <w:uiPriority w:val="99"/>
    <w:semiHidden/>
    <w:rsid w:val="00C31264"/>
    <w:pPr>
      <w:spacing w:after="0" w:line="240" w:lineRule="auto"/>
    </w:pPr>
    <w:rPr>
      <w:rFonts w:ascii="Arial" w:hAnsi="Arial"/>
      <w:color w:val="E7E6E6" w:themeColor="background2"/>
      <w:sz w:val="20"/>
      <w:szCs w:val="20"/>
      <w:lang w:val="en-US"/>
    </w:rPr>
  </w:style>
  <w:style w:type="paragraph" w:customStyle="1" w:styleId="exceptionbody">
    <w:name w:val="exception body"/>
    <w:uiPriority w:val="99"/>
    <w:rsid w:val="00C31264"/>
    <w:pPr>
      <w:spacing w:after="60" w:line="255" w:lineRule="exact"/>
      <w:ind w:left="216"/>
    </w:pPr>
    <w:rPr>
      <w:rFonts w:ascii="Trebuchet MS" w:eastAsia="MS PGothic" w:hAnsi="Trebuchet MS" w:cs="Tahoma"/>
      <w:iCs/>
      <w:color w:val="000000"/>
      <w:sz w:val="18"/>
      <w:szCs w:val="18"/>
      <w:lang w:val="en-US" w:eastAsia="ja-JP"/>
    </w:rPr>
  </w:style>
  <w:style w:type="paragraph" w:customStyle="1" w:styleId="PURADDITIONALTERMSHEADERMB">
    <w:name w:val="PUR ADDITIONAL TERMS HEADER (MB)"/>
    <w:link w:val="PURADDITIONALTERMSHEADERMBChar"/>
    <w:uiPriority w:val="3"/>
    <w:qFormat/>
    <w:rsid w:val="00C31264"/>
    <w:pPr>
      <w:spacing w:before="120" w:after="120" w:line="240" w:lineRule="exact"/>
    </w:pPr>
    <w:rPr>
      <w:rFonts w:ascii="Arial" w:hAnsi="Arial"/>
      <w:b/>
      <w:i/>
      <w:color w:val="404040" w:themeColor="text1" w:themeTint="BF"/>
      <w:sz w:val="20"/>
      <w:szCs w:val="20"/>
      <w:lang w:val="en-US"/>
    </w:rPr>
  </w:style>
  <w:style w:type="character" w:customStyle="1" w:styleId="productlistChar">
    <w:name w:val="product list Char"/>
    <w:rsid w:val="00C31264"/>
    <w:rPr>
      <w:rFonts w:ascii="Trebuchet MS" w:hAnsi="Trebuchet MS" w:cs="Tahoma"/>
      <w:sz w:val="18"/>
      <w:lang w:val="en-US" w:eastAsia="en-US" w:bidi="ar-SA"/>
    </w:rPr>
  </w:style>
  <w:style w:type="character" w:customStyle="1" w:styleId="PURTableTextChar">
    <w:name w:val="PUR Table Text Char"/>
    <w:basedOn w:val="DefaultParagraphFont"/>
    <w:link w:val="PURTableText"/>
    <w:uiPriority w:val="3"/>
    <w:rsid w:val="00C31264"/>
    <w:rPr>
      <w:rFonts w:ascii="Arial" w:hAnsi="Arial"/>
      <w:b/>
      <w:i/>
      <w:sz w:val="18"/>
      <w:szCs w:val="20"/>
      <w:lang w:val="en-US"/>
    </w:rPr>
  </w:style>
  <w:style w:type="character" w:customStyle="1" w:styleId="PURADDITIONALTERMSHEADERMBChar">
    <w:name w:val="PUR ADDITIONAL TERMS HEADER (MB) Char"/>
    <w:basedOn w:val="PURTableTextChar"/>
    <w:link w:val="PURADDITIONALTERMSHEADERMB"/>
    <w:uiPriority w:val="3"/>
    <w:rsid w:val="00C31264"/>
    <w:rPr>
      <w:rFonts w:ascii="Arial" w:hAnsi="Arial"/>
      <w:b/>
      <w:i/>
      <w:color w:val="404040" w:themeColor="text1" w:themeTint="BF"/>
      <w:sz w:val="20"/>
      <w:szCs w:val="20"/>
      <w:lang w:val="en-US"/>
    </w:rPr>
  </w:style>
  <w:style w:type="paragraph" w:customStyle="1" w:styleId="Heading1Warranty">
    <w:name w:val="Heading 1 Warranty"/>
    <w:basedOn w:val="Normal"/>
    <w:next w:val="Normal"/>
    <w:uiPriority w:val="99"/>
    <w:rsid w:val="00C31264"/>
    <w:pPr>
      <w:spacing w:before="120"/>
      <w:ind w:left="720" w:hanging="360"/>
      <w:outlineLvl w:val="0"/>
    </w:pPr>
    <w:rPr>
      <w:rFonts w:ascii="Tahoma" w:eastAsia="MS Mincho" w:hAnsi="Tahoma" w:cs="Tahoma"/>
      <w:sz w:val="19"/>
      <w:szCs w:val="19"/>
    </w:rPr>
  </w:style>
  <w:style w:type="paragraph" w:customStyle="1" w:styleId="Heading2Warranty">
    <w:name w:val="Heading 2 Warranty"/>
    <w:basedOn w:val="Normal"/>
    <w:next w:val="Normal"/>
    <w:uiPriority w:val="99"/>
    <w:rsid w:val="00C31264"/>
    <w:pPr>
      <w:spacing w:before="120"/>
      <w:ind w:left="1440" w:hanging="360"/>
      <w:outlineLvl w:val="1"/>
    </w:pPr>
    <w:rPr>
      <w:rFonts w:ascii="Tahoma" w:eastAsia="MS Mincho" w:hAnsi="Tahoma" w:cs="Tahoma"/>
      <w:sz w:val="19"/>
      <w:szCs w:val="19"/>
    </w:rPr>
  </w:style>
  <w:style w:type="paragraph" w:customStyle="1" w:styleId="PURPCLMProductList">
    <w:name w:val="PUR PCLM Product List"/>
    <w:basedOn w:val="PURTableText"/>
    <w:link w:val="PURPCLMProductListChar"/>
    <w:uiPriority w:val="3"/>
    <w:qFormat/>
    <w:rsid w:val="00C31264"/>
    <w:pPr>
      <w:spacing w:after="80" w:line="240" w:lineRule="auto"/>
    </w:pPr>
    <w:rPr>
      <w:szCs w:val="18"/>
    </w:rPr>
  </w:style>
  <w:style w:type="character" w:customStyle="1" w:styleId="PURPCLMProductListChar">
    <w:name w:val="PUR PCLM Product List Char"/>
    <w:basedOn w:val="PURTableTextChar"/>
    <w:link w:val="PURPCLMProductList"/>
    <w:uiPriority w:val="3"/>
    <w:rsid w:val="00C31264"/>
    <w:rPr>
      <w:rFonts w:ascii="Arial" w:hAnsi="Arial"/>
      <w:b/>
      <w:i/>
      <w:sz w:val="18"/>
      <w:szCs w:val="18"/>
      <w:lang w:val="en-US"/>
    </w:rPr>
  </w:style>
  <w:style w:type="paragraph" w:customStyle="1" w:styleId="exceptionheader">
    <w:name w:val="exception header"/>
    <w:rsid w:val="00C31264"/>
    <w:pPr>
      <w:spacing w:before="120" w:after="0" w:line="240" w:lineRule="auto"/>
    </w:pPr>
    <w:rPr>
      <w:rFonts w:ascii="Trebuchet MS" w:eastAsia="MS Mincho" w:hAnsi="Trebuchet MS" w:cs="Tahoma"/>
      <w:b/>
      <w:sz w:val="18"/>
      <w:szCs w:val="18"/>
      <w:lang w:val="fr-FR"/>
    </w:rPr>
  </w:style>
  <w:style w:type="character" w:styleId="Emphasis">
    <w:name w:val="Emphasis"/>
    <w:qFormat/>
    <w:rsid w:val="00C31264"/>
    <w:rPr>
      <w:rFonts w:cs="Times New Roman"/>
      <w:i/>
      <w:iCs/>
    </w:rPr>
  </w:style>
  <w:style w:type="paragraph" w:styleId="ListParagraph">
    <w:name w:val="List Paragraph"/>
    <w:basedOn w:val="Normal"/>
    <w:uiPriority w:val="34"/>
    <w:qFormat/>
    <w:rsid w:val="00C31264"/>
    <w:pPr>
      <w:spacing w:after="0"/>
      <w:ind w:left="720"/>
      <w:jc w:val="both"/>
    </w:pPr>
    <w:rPr>
      <w:rFonts w:ascii="Calibri" w:eastAsia="MS Mincho" w:hAnsi="Calibri" w:cs="Times New Roman"/>
      <w:lang w:eastAsia="zh-CN"/>
    </w:rPr>
  </w:style>
  <w:style w:type="paragraph" w:styleId="PlainText">
    <w:name w:val="Plain Text"/>
    <w:basedOn w:val="Normal"/>
    <w:link w:val="PlainTextChar"/>
    <w:semiHidden/>
    <w:unhideWhenUsed/>
    <w:rsid w:val="00C31264"/>
    <w:pPr>
      <w:spacing w:after="0"/>
    </w:pPr>
    <w:rPr>
      <w:rFonts w:ascii="Consolas" w:eastAsia="Calibri" w:hAnsi="Consolas" w:cs="Times New Roman"/>
      <w:sz w:val="21"/>
      <w:szCs w:val="21"/>
    </w:rPr>
  </w:style>
  <w:style w:type="character" w:customStyle="1" w:styleId="PlainTextChar">
    <w:name w:val="Plain Text Char"/>
    <w:basedOn w:val="DefaultParagraphFont"/>
    <w:link w:val="PlainText"/>
    <w:semiHidden/>
    <w:rsid w:val="00C31264"/>
    <w:rPr>
      <w:rFonts w:ascii="Consolas" w:eastAsia="Calibri" w:hAnsi="Consolas" w:cs="Times New Roman"/>
      <w:sz w:val="21"/>
      <w:szCs w:val="21"/>
      <w:lang w:val="en-US"/>
    </w:rPr>
  </w:style>
  <w:style w:type="character" w:customStyle="1" w:styleId="Heading4Char1">
    <w:name w:val="Heading 4 Char1"/>
    <w:basedOn w:val="DefaultParagraphFont"/>
    <w:link w:val="Heading4"/>
    <w:uiPriority w:val="9"/>
    <w:semiHidden/>
    <w:rsid w:val="00C31264"/>
    <w:rPr>
      <w:rFonts w:asciiTheme="majorHAnsi" w:eastAsiaTheme="majorEastAsia" w:hAnsiTheme="majorHAnsi" w:cstheme="majorBidi"/>
      <w:b/>
      <w:bCs/>
      <w:i/>
      <w:iCs/>
      <w:color w:val="4472C4" w:themeColor="accent1"/>
      <w:sz w:val="20"/>
      <w:szCs w:val="20"/>
      <w:lang w:val="en-US"/>
    </w:rPr>
  </w:style>
  <w:style w:type="paragraph" w:customStyle="1" w:styleId="PURProductName">
    <w:name w:val="PUR Product Name"/>
    <w:basedOn w:val="PURHeading4"/>
    <w:link w:val="PURProductNameChar"/>
    <w:uiPriority w:val="3"/>
    <w:qFormat/>
    <w:rsid w:val="00C31264"/>
    <w:pPr>
      <w:pBdr>
        <w:bottom w:val="single" w:sz="8" w:space="1" w:color="404040" w:themeColor="text1" w:themeTint="BF"/>
      </w:pBdr>
      <w:spacing w:before="240"/>
    </w:pPr>
    <w:rPr>
      <w:sz w:val="28"/>
    </w:rPr>
  </w:style>
  <w:style w:type="character" w:customStyle="1" w:styleId="PURHeading4Char">
    <w:name w:val="PUR Heading 4 Char"/>
    <w:basedOn w:val="DefaultParagraphFont"/>
    <w:link w:val="PURHeading4"/>
    <w:uiPriority w:val="3"/>
    <w:rsid w:val="00C31264"/>
    <w:rPr>
      <w:rFonts w:asciiTheme="majorHAnsi" w:hAnsiTheme="majorHAnsi"/>
      <w:noProof/>
      <w:color w:val="00188F"/>
      <w:sz w:val="20"/>
      <w:szCs w:val="24"/>
      <w:lang w:val="en-US"/>
    </w:rPr>
  </w:style>
  <w:style w:type="character" w:customStyle="1" w:styleId="PURProductNameChar">
    <w:name w:val="PUR Product Name Char"/>
    <w:basedOn w:val="PURHeading4Char"/>
    <w:link w:val="PURProductName"/>
    <w:uiPriority w:val="3"/>
    <w:rsid w:val="00C31264"/>
    <w:rPr>
      <w:rFonts w:asciiTheme="majorHAnsi" w:hAnsiTheme="majorHAnsi"/>
      <w:noProof/>
      <w:color w:val="00188F"/>
      <w:sz w:val="28"/>
      <w:szCs w:val="24"/>
      <w:lang w:val="en-US"/>
    </w:rPr>
  </w:style>
  <w:style w:type="paragraph" w:customStyle="1" w:styleId="AdditionalSoftware">
    <w:name w:val="AdditionalSoftware"/>
    <w:rsid w:val="00C31264"/>
    <w:pPr>
      <w:spacing w:after="0" w:line="240" w:lineRule="exact"/>
    </w:pPr>
    <w:rPr>
      <w:rFonts w:ascii="Trebuchet MS" w:eastAsia="MS Mincho" w:hAnsi="Trebuchet MS" w:cs="Tahoma"/>
      <w:sz w:val="18"/>
      <w:szCs w:val="20"/>
      <w:lang w:val="en-US"/>
    </w:rPr>
  </w:style>
  <w:style w:type="paragraph" w:customStyle="1" w:styleId="subhead">
    <w:name w:val="subhead"/>
    <w:basedOn w:val="Normal"/>
    <w:rsid w:val="00C31264"/>
    <w:pPr>
      <w:spacing w:after="80"/>
    </w:pPr>
    <w:rPr>
      <w:rFonts w:ascii="Trebuchet MS" w:eastAsia="MS Mincho" w:hAnsi="Trebuchet MS" w:cs="Tahoma"/>
      <w:b/>
      <w:color w:val="FFFFFF"/>
    </w:rPr>
  </w:style>
  <w:style w:type="paragraph" w:styleId="BodyText3">
    <w:name w:val="Body Text 3"/>
    <w:basedOn w:val="Normal"/>
    <w:link w:val="BodyText3Char"/>
    <w:semiHidden/>
    <w:rsid w:val="00C31264"/>
    <w:pPr>
      <w:spacing w:after="0"/>
      <w:jc w:val="center"/>
    </w:pPr>
    <w:rPr>
      <w:rFonts w:ascii="Tahoma" w:eastAsia="MS Mincho" w:hAnsi="Tahoma" w:cs="Tahoma"/>
      <w:sz w:val="18"/>
      <w:szCs w:val="18"/>
    </w:rPr>
  </w:style>
  <w:style w:type="character" w:customStyle="1" w:styleId="BodyText3Char">
    <w:name w:val="Body Text 3 Char"/>
    <w:basedOn w:val="DefaultParagraphFont"/>
    <w:link w:val="BodyText3"/>
    <w:semiHidden/>
    <w:rsid w:val="00C31264"/>
    <w:rPr>
      <w:rFonts w:ascii="Tahoma" w:eastAsia="MS Mincho" w:hAnsi="Tahoma" w:cs="Tahoma"/>
      <w:sz w:val="18"/>
      <w:szCs w:val="18"/>
      <w:lang w:val="en-US"/>
    </w:rPr>
  </w:style>
  <w:style w:type="paragraph" w:customStyle="1" w:styleId="bullet3">
    <w:name w:val="bullet3"/>
    <w:basedOn w:val="Normal"/>
    <w:rsid w:val="00C31264"/>
    <w:pPr>
      <w:spacing w:after="0"/>
      <w:ind w:left="2160" w:hanging="732"/>
    </w:pPr>
    <w:rPr>
      <w:rFonts w:ascii="Trebuchet MS" w:eastAsia="MS Mincho" w:hAnsi="Trebuchet MS" w:cs="Times New Roman"/>
      <w:sz w:val="24"/>
      <w:szCs w:val="24"/>
    </w:rPr>
  </w:style>
  <w:style w:type="paragraph" w:customStyle="1" w:styleId="Body1">
    <w:name w:val="Body 1"/>
    <w:basedOn w:val="Normal"/>
    <w:link w:val="Body1Char1"/>
    <w:uiPriority w:val="99"/>
    <w:rsid w:val="00C31264"/>
    <w:pPr>
      <w:spacing w:before="120"/>
      <w:ind w:left="357"/>
    </w:pPr>
    <w:rPr>
      <w:rFonts w:ascii="Tahoma" w:eastAsia="Calibri" w:hAnsi="Tahoma" w:cs="Tahoma"/>
      <w:sz w:val="19"/>
      <w:szCs w:val="19"/>
    </w:rPr>
  </w:style>
  <w:style w:type="character" w:customStyle="1" w:styleId="Body1Char1">
    <w:name w:val="Body 1 Char1"/>
    <w:link w:val="Body1"/>
    <w:uiPriority w:val="99"/>
    <w:locked/>
    <w:rsid w:val="00C31264"/>
    <w:rPr>
      <w:rFonts w:ascii="Tahoma" w:eastAsia="Calibri" w:hAnsi="Tahoma" w:cs="Tahoma"/>
      <w:sz w:val="19"/>
      <w:szCs w:val="19"/>
      <w:lang w:val="en-US"/>
    </w:rPr>
  </w:style>
  <w:style w:type="character" w:customStyle="1" w:styleId="exceptionheaderChar">
    <w:name w:val="exception header Char"/>
    <w:rsid w:val="00C31264"/>
    <w:rPr>
      <w:rFonts w:ascii="Trebuchet MS" w:hAnsi="Trebuchet MS" w:cs="Tahoma"/>
      <w:b/>
      <w:sz w:val="18"/>
      <w:szCs w:val="18"/>
      <w:lang w:val="fr-FR" w:eastAsia="en-US" w:bidi="ar-SA"/>
    </w:rPr>
  </w:style>
  <w:style w:type="paragraph" w:customStyle="1" w:styleId="Preamble">
    <w:name w:val="Preamble"/>
    <w:basedOn w:val="Normal"/>
    <w:uiPriority w:val="99"/>
    <w:rsid w:val="00C31264"/>
    <w:pPr>
      <w:spacing w:before="120"/>
    </w:pPr>
    <w:rPr>
      <w:rFonts w:ascii="Tahoma" w:eastAsia="MS Mincho" w:hAnsi="Tahoma" w:cs="Tahoma"/>
      <w:b/>
      <w:bCs/>
      <w:sz w:val="19"/>
      <w:szCs w:val="19"/>
    </w:rPr>
  </w:style>
  <w:style w:type="paragraph" w:customStyle="1" w:styleId="CharCharCharChar">
    <w:name w:val="Char Char Char Char"/>
    <w:basedOn w:val="Normal"/>
    <w:rsid w:val="00C31264"/>
    <w:pPr>
      <w:spacing w:line="240" w:lineRule="exact"/>
    </w:pPr>
    <w:rPr>
      <w:rFonts w:ascii="Tahoma" w:eastAsia="MS Mincho" w:hAnsi="Tahoma" w:cs="Times New Roman"/>
    </w:rPr>
  </w:style>
  <w:style w:type="paragraph" w:customStyle="1" w:styleId="productlist">
    <w:name w:val="product list"/>
    <w:basedOn w:val="Normal"/>
    <w:uiPriority w:val="99"/>
    <w:rsid w:val="00C31264"/>
    <w:pPr>
      <w:spacing w:after="80" w:line="180" w:lineRule="exact"/>
      <w:ind w:left="115"/>
    </w:pPr>
    <w:rPr>
      <w:rFonts w:ascii="Trebuchet MS" w:eastAsia="MS Mincho" w:hAnsi="Trebuchet MS" w:cs="Tahoma"/>
      <w:sz w:val="18"/>
    </w:rPr>
  </w:style>
  <w:style w:type="paragraph" w:customStyle="1" w:styleId="Heading3Bold">
    <w:name w:val="Heading 3 Bold"/>
    <w:basedOn w:val="Heading3"/>
    <w:uiPriority w:val="99"/>
    <w:rsid w:val="00C31264"/>
    <w:pPr>
      <w:tabs>
        <w:tab w:val="left" w:pos="1077"/>
        <w:tab w:val="num" w:pos="1440"/>
      </w:tabs>
      <w:spacing w:before="120" w:after="120"/>
      <w:ind w:left="1077" w:hanging="357"/>
    </w:pPr>
    <w:rPr>
      <w:rFonts w:ascii="Tahoma" w:eastAsia="MS Mincho" w:hAnsi="Tahoma" w:cs="Tahoma"/>
      <w:b/>
      <w:bCs/>
      <w:sz w:val="19"/>
      <w:szCs w:val="19"/>
    </w:rPr>
  </w:style>
  <w:style w:type="character" w:customStyle="1" w:styleId="CharChar">
    <w:name w:val="Char Char"/>
    <w:rsid w:val="00C31264"/>
    <w:rPr>
      <w:rFonts w:ascii="Trebuchet MS" w:hAnsi="Trebuchet MS" w:cs="Tahoma"/>
      <w:sz w:val="24"/>
      <w:szCs w:val="24"/>
      <w:lang w:val="en-US" w:eastAsia="en-US" w:bidi="ar-SA"/>
    </w:rPr>
  </w:style>
  <w:style w:type="paragraph" w:styleId="TOC4">
    <w:name w:val="toc 4"/>
    <w:basedOn w:val="Normal"/>
    <w:next w:val="Normal"/>
    <w:autoRedefine/>
    <w:uiPriority w:val="39"/>
    <w:unhideWhenUsed/>
    <w:rsid w:val="00C31264"/>
    <w:pPr>
      <w:spacing w:after="100" w:line="276" w:lineRule="auto"/>
      <w:ind w:left="660"/>
    </w:pPr>
    <w:rPr>
      <w:rFonts w:eastAsiaTheme="minorEastAsia"/>
    </w:rPr>
  </w:style>
  <w:style w:type="paragraph" w:styleId="TOC5">
    <w:name w:val="toc 5"/>
    <w:basedOn w:val="Normal"/>
    <w:next w:val="Normal"/>
    <w:autoRedefine/>
    <w:uiPriority w:val="39"/>
    <w:unhideWhenUsed/>
    <w:rsid w:val="00C31264"/>
    <w:pPr>
      <w:spacing w:after="100" w:line="276" w:lineRule="auto"/>
      <w:ind w:left="880"/>
    </w:pPr>
    <w:rPr>
      <w:rFonts w:eastAsiaTheme="minorEastAsia"/>
    </w:rPr>
  </w:style>
  <w:style w:type="paragraph" w:styleId="TOC6">
    <w:name w:val="toc 6"/>
    <w:basedOn w:val="Normal"/>
    <w:next w:val="Normal"/>
    <w:autoRedefine/>
    <w:uiPriority w:val="39"/>
    <w:unhideWhenUsed/>
    <w:rsid w:val="00C31264"/>
    <w:pPr>
      <w:spacing w:after="100" w:line="276" w:lineRule="auto"/>
      <w:ind w:left="1100"/>
    </w:pPr>
    <w:rPr>
      <w:rFonts w:eastAsiaTheme="minorEastAsia"/>
    </w:rPr>
  </w:style>
  <w:style w:type="paragraph" w:styleId="TOC7">
    <w:name w:val="toc 7"/>
    <w:basedOn w:val="Normal"/>
    <w:next w:val="Normal"/>
    <w:autoRedefine/>
    <w:uiPriority w:val="39"/>
    <w:unhideWhenUsed/>
    <w:rsid w:val="00C31264"/>
    <w:pPr>
      <w:spacing w:after="100" w:line="276" w:lineRule="auto"/>
      <w:ind w:left="1320"/>
    </w:pPr>
    <w:rPr>
      <w:rFonts w:eastAsiaTheme="minorEastAsia"/>
    </w:rPr>
  </w:style>
  <w:style w:type="paragraph" w:styleId="TOC8">
    <w:name w:val="toc 8"/>
    <w:basedOn w:val="Normal"/>
    <w:next w:val="Normal"/>
    <w:autoRedefine/>
    <w:uiPriority w:val="39"/>
    <w:unhideWhenUsed/>
    <w:rsid w:val="00C31264"/>
    <w:pPr>
      <w:spacing w:after="100" w:line="276" w:lineRule="auto"/>
      <w:ind w:left="1540"/>
    </w:pPr>
    <w:rPr>
      <w:rFonts w:eastAsiaTheme="minorEastAsia"/>
    </w:rPr>
  </w:style>
  <w:style w:type="paragraph" w:styleId="TOC9">
    <w:name w:val="toc 9"/>
    <w:basedOn w:val="Normal"/>
    <w:next w:val="Normal"/>
    <w:autoRedefine/>
    <w:uiPriority w:val="39"/>
    <w:unhideWhenUsed/>
    <w:rsid w:val="00C31264"/>
    <w:pPr>
      <w:spacing w:after="100" w:line="276" w:lineRule="auto"/>
      <w:ind w:left="1760"/>
    </w:pPr>
    <w:rPr>
      <w:rFonts w:eastAsiaTheme="minorEastAsia"/>
    </w:rPr>
  </w:style>
  <w:style w:type="character" w:customStyle="1" w:styleId="Heading7Char">
    <w:name w:val="Heading 7 Char"/>
    <w:rsid w:val="00C31264"/>
    <w:rPr>
      <w:rFonts w:ascii="Trebuchet MS" w:eastAsia="MS Mincho" w:hAnsi="Trebuchet MS" w:cs="Trebuchet MS"/>
      <w:sz w:val="20"/>
      <w:szCs w:val="20"/>
    </w:rPr>
  </w:style>
  <w:style w:type="paragraph" w:customStyle="1" w:styleId="Heading4nobold">
    <w:name w:val="Heading 4 no bold"/>
    <w:basedOn w:val="Normal"/>
    <w:rsid w:val="00C31264"/>
    <w:pPr>
      <w:ind w:left="706" w:hanging="346"/>
      <w:jc w:val="both"/>
    </w:pPr>
    <w:rPr>
      <w:rFonts w:ascii="Trebuchet MS" w:eastAsia="MS Mincho" w:hAnsi="Trebuchet MS" w:cs="Tahoma"/>
      <w:sz w:val="18"/>
      <w:szCs w:val="24"/>
    </w:rPr>
  </w:style>
  <w:style w:type="paragraph" w:styleId="BodyText">
    <w:name w:val="Body Text"/>
    <w:basedOn w:val="Normal"/>
    <w:link w:val="BodyTextChar"/>
    <w:uiPriority w:val="99"/>
    <w:rsid w:val="00C31264"/>
    <w:rPr>
      <w:rFonts w:ascii="Trebuchet MS" w:eastAsia="MS Mincho" w:hAnsi="Trebuchet MS" w:cs="Times New Roman"/>
      <w:szCs w:val="24"/>
    </w:rPr>
  </w:style>
  <w:style w:type="character" w:customStyle="1" w:styleId="BodyTextChar">
    <w:name w:val="Body Text Char"/>
    <w:basedOn w:val="DefaultParagraphFont"/>
    <w:link w:val="BodyText"/>
    <w:uiPriority w:val="99"/>
    <w:rsid w:val="00C31264"/>
    <w:rPr>
      <w:rFonts w:ascii="Trebuchet MS" w:eastAsia="MS Mincho" w:hAnsi="Trebuchet MS" w:cs="Times New Roman"/>
      <w:sz w:val="20"/>
      <w:szCs w:val="24"/>
      <w:lang w:val="en-US"/>
    </w:rPr>
  </w:style>
  <w:style w:type="paragraph" w:customStyle="1" w:styleId="3iNumbered2ndlevel">
    <w:name w:val="3i. Numbered 2nd level"/>
    <w:basedOn w:val="Normal"/>
    <w:uiPriority w:val="99"/>
    <w:rsid w:val="00C31264"/>
    <w:pPr>
      <w:spacing w:before="60" w:after="0" w:line="160" w:lineRule="exact"/>
      <w:ind w:left="624" w:hanging="340"/>
    </w:pPr>
    <w:rPr>
      <w:rFonts w:ascii="Tahoma" w:eastAsia="MS Mincho" w:hAnsi="Tahoma" w:cs="Times New Roman"/>
      <w:color w:val="000000"/>
      <w:sz w:val="14"/>
    </w:rPr>
  </w:style>
  <w:style w:type="paragraph" w:customStyle="1" w:styleId="Heading1b">
    <w:name w:val="Heading 1b"/>
    <w:basedOn w:val="Normal"/>
    <w:rsid w:val="00C31264"/>
    <w:pPr>
      <w:spacing w:after="0"/>
    </w:pPr>
    <w:rPr>
      <w:rFonts w:ascii="Trebuchet MS" w:eastAsia="MS Mincho" w:hAnsi="Trebuchet MS" w:cs="Times New Roman"/>
      <w:b/>
      <w:color w:val="FFFFFF"/>
      <w:szCs w:val="24"/>
    </w:rPr>
  </w:style>
  <w:style w:type="paragraph" w:customStyle="1" w:styleId="LetterShorty">
    <w:name w:val="LetterShorty"/>
    <w:basedOn w:val="Normal"/>
    <w:rsid w:val="00C31264"/>
    <w:pPr>
      <w:spacing w:after="0"/>
    </w:pPr>
    <w:rPr>
      <w:rFonts w:ascii="Times New Roman" w:eastAsia="Times New Roman" w:hAnsi="Times New Roman" w:cs="Times New Roman"/>
      <w:sz w:val="18"/>
      <w:szCs w:val="24"/>
    </w:rPr>
  </w:style>
  <w:style w:type="paragraph" w:customStyle="1" w:styleId="productlist0">
    <w:name w:val="productlist"/>
    <w:basedOn w:val="Normal"/>
    <w:rsid w:val="00C31264"/>
    <w:pPr>
      <w:spacing w:after="80" w:line="180" w:lineRule="atLeast"/>
      <w:ind w:left="115"/>
    </w:pPr>
    <w:rPr>
      <w:rFonts w:ascii="Trebuchet MS" w:eastAsia="Times New Roman" w:hAnsi="Trebuchet MS" w:cs="Times New Roman"/>
      <w:sz w:val="18"/>
      <w:szCs w:val="18"/>
    </w:rPr>
  </w:style>
  <w:style w:type="character" w:customStyle="1" w:styleId="msoins0">
    <w:name w:val="msoins0"/>
    <w:basedOn w:val="DefaultParagraphFont"/>
    <w:rsid w:val="00C31264"/>
  </w:style>
  <w:style w:type="paragraph" w:customStyle="1" w:styleId="ClauseLevel2">
    <w:name w:val="Clause Level 2"/>
    <w:basedOn w:val="Normal"/>
    <w:rsid w:val="00C31264"/>
    <w:pPr>
      <w:widowControl w:val="0"/>
      <w:numPr>
        <w:ilvl w:val="1"/>
      </w:numPr>
      <w:tabs>
        <w:tab w:val="num" w:pos="504"/>
        <w:tab w:val="num" w:pos="1008"/>
      </w:tabs>
      <w:spacing w:after="80"/>
      <w:jc w:val="both"/>
      <w:outlineLvl w:val="1"/>
    </w:pPr>
    <w:rPr>
      <w:rFonts w:ascii="Times New Roman" w:eastAsia="MS Mincho" w:hAnsi="Times New Roman" w:cs="Times New Roman"/>
      <w:iCs/>
    </w:rPr>
  </w:style>
  <w:style w:type="paragraph" w:customStyle="1" w:styleId="ClauseLevel3">
    <w:name w:val="Clause Level 3"/>
    <w:basedOn w:val="ClauseLevel2"/>
    <w:rsid w:val="00C31264"/>
    <w:pPr>
      <w:numPr>
        <w:ilvl w:val="2"/>
      </w:numPr>
      <w:tabs>
        <w:tab w:val="num" w:pos="504"/>
        <w:tab w:val="num" w:pos="1104"/>
        <w:tab w:val="num" w:pos="1512"/>
      </w:tabs>
      <w:outlineLvl w:val="2"/>
    </w:pPr>
  </w:style>
  <w:style w:type="paragraph" w:customStyle="1" w:styleId="Title1">
    <w:name w:val="Title1"/>
    <w:basedOn w:val="Normal"/>
    <w:rsid w:val="00C31264"/>
    <w:pPr>
      <w:spacing w:after="0"/>
      <w:jc w:val="center"/>
    </w:pPr>
    <w:rPr>
      <w:rFonts w:ascii="Trebuchet MS" w:eastAsia="MS Mincho" w:hAnsi="Trebuchet MS" w:cs="Tahoma"/>
      <w:b/>
      <w:sz w:val="40"/>
      <w:szCs w:val="72"/>
    </w:rPr>
  </w:style>
  <w:style w:type="paragraph" w:styleId="TOCHeading">
    <w:name w:val="TOC Heading"/>
    <w:basedOn w:val="Heading1"/>
    <w:next w:val="Normal"/>
    <w:uiPriority w:val="39"/>
    <w:semiHidden/>
    <w:unhideWhenUsed/>
    <w:qFormat/>
    <w:rsid w:val="00C31264"/>
    <w:pPr>
      <w:keepNext/>
      <w:keepLines/>
      <w:shd w:val="clear" w:color="auto" w:fill="auto"/>
      <w:spacing w:before="480" w:after="0" w:line="276" w:lineRule="auto"/>
      <w:outlineLvl w:val="9"/>
    </w:pPr>
    <w:rPr>
      <w:rFonts w:asciiTheme="majorHAnsi" w:eastAsiaTheme="majorEastAsia" w:hAnsiTheme="majorHAnsi" w:cstheme="majorBidi"/>
      <w:bCs/>
      <w:noProof w:val="0"/>
      <w:color w:val="2F5496" w:themeColor="accent1" w:themeShade="BF"/>
      <w:sz w:val="28"/>
      <w:szCs w:val="28"/>
      <w:lang w:eastAsia="ja-JP"/>
    </w:rPr>
  </w:style>
  <w:style w:type="paragraph" w:styleId="NoSpacing">
    <w:name w:val="No Spacing"/>
    <w:link w:val="NoSpacingChar"/>
    <w:uiPriority w:val="1"/>
    <w:qFormat/>
    <w:rsid w:val="00C31264"/>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31264"/>
    <w:rPr>
      <w:rFonts w:eastAsiaTheme="minorEastAsia"/>
      <w:lang w:val="en-US" w:eastAsia="ja-JP"/>
    </w:rPr>
  </w:style>
  <w:style w:type="paragraph" w:customStyle="1" w:styleId="VLTitleCover">
    <w:name w:val="VL Title Cover"/>
    <w:basedOn w:val="Normal"/>
    <w:link w:val="VLTitleCoverChar"/>
    <w:qFormat/>
    <w:rsid w:val="00C31264"/>
    <w:pPr>
      <w:spacing w:after="0" w:line="760" w:lineRule="exact"/>
      <w:ind w:left="-360"/>
      <w:contextualSpacing/>
    </w:pPr>
    <w:rPr>
      <w:rFonts w:ascii="Segoe UI Light" w:hAnsi="Segoe UI Light" w:eastAsiaTheme="majorEastAsia" w:cstheme="majorBidi"/>
      <w:color w:val="FFFFFF" w:themeColor="background1"/>
      <w:spacing w:val="-10"/>
      <w:kern w:val="28"/>
      <w:sz w:val="69"/>
      <w:szCs w:val="52"/>
    </w:rPr>
  </w:style>
  <w:style w:type="character" w:customStyle="1" w:styleId="VLTitleCoverChar">
    <w:name w:val="VL Title Cover Char"/>
    <w:basedOn w:val="DefaultParagraphFont"/>
    <w:link w:val="VLTitleCover"/>
    <w:rsid w:val="00C31264"/>
    <w:rPr>
      <w:rFonts w:ascii="Segoe UI Light" w:hAnsi="Segoe UI Light" w:eastAsiaTheme="majorEastAsia" w:cstheme="majorBidi"/>
      <w:color w:val="FFFFFF" w:themeColor="background1"/>
      <w:spacing w:val="-10"/>
      <w:kern w:val="28"/>
      <w:sz w:val="69"/>
      <w:szCs w:val="52"/>
      <w:lang w:val="en-US"/>
    </w:rPr>
  </w:style>
  <w:style w:type="paragraph" w:customStyle="1" w:styleId="VLSubtitleCover">
    <w:name w:val="VL Subtitle Cover"/>
    <w:basedOn w:val="Subtitle"/>
    <w:link w:val="VLSubtitleCoverChar"/>
    <w:qFormat/>
    <w:rsid w:val="00C31264"/>
    <w:pPr>
      <w:spacing w:before="240" w:after="0" w:line="260" w:lineRule="exact"/>
      <w:ind w:left="-360" w:right="-634"/>
    </w:pPr>
    <w:rPr>
      <w:rFonts w:ascii="Segoe UI Semibold" w:hAnsi="Segoe UI Semibold"/>
      <w:i w:val="0"/>
      <w:caps/>
      <w:color w:val="112E58"/>
      <w:spacing w:val="16"/>
      <w:sz w:val="21"/>
    </w:rPr>
  </w:style>
  <w:style w:type="character" w:customStyle="1" w:styleId="VLSubtitleCoverChar">
    <w:name w:val="VL Subtitle Cover Char"/>
    <w:basedOn w:val="DefaultParagraphFont"/>
    <w:link w:val="VLSubtitleCover"/>
    <w:rsid w:val="00C31264"/>
    <w:rPr>
      <w:rFonts w:ascii="Segoe UI Semibold" w:hAnsi="Segoe UI Semibold" w:eastAsiaTheme="majorEastAsia" w:cstheme="majorBidi"/>
      <w:iCs/>
      <w:caps/>
      <w:color w:val="112E58"/>
      <w:spacing w:val="16"/>
      <w:sz w:val="21"/>
      <w:szCs w:val="24"/>
      <w:lang w:val="en-US"/>
    </w:rPr>
  </w:style>
  <w:style w:type="paragraph" w:styleId="Subtitle">
    <w:name w:val="Subtitle"/>
    <w:basedOn w:val="Normal"/>
    <w:next w:val="Normal"/>
    <w:link w:val="SubtitleChar"/>
    <w:uiPriority w:val="11"/>
    <w:qFormat/>
    <w:rsid w:val="00C3126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31264"/>
    <w:rPr>
      <w:rFonts w:asciiTheme="majorHAnsi" w:eastAsiaTheme="majorEastAsia" w:hAnsiTheme="majorHAnsi" w:cstheme="majorBidi"/>
      <w:i/>
      <w:iCs/>
      <w:color w:val="4472C4" w:themeColor="accent1"/>
      <w:spacing w:val="15"/>
      <w:sz w:val="24"/>
      <w:szCs w:val="24"/>
      <w:lang w:val="en-US"/>
    </w:rPr>
  </w:style>
  <w:style w:type="paragraph" w:customStyle="1" w:styleId="appendindent">
    <w:name w:val="appendindent"/>
    <w:basedOn w:val="Normal"/>
    <w:rsid w:val="00C31264"/>
    <w:pPr>
      <w:spacing w:after="0"/>
      <w:ind w:left="720" w:hanging="360"/>
    </w:pPr>
    <w:rPr>
      <w:rFonts w:ascii="Trebuchet MS" w:eastAsia="MS Mincho" w:hAnsi="Trebuchet MS" w:cs="Times New Roman"/>
      <w:b/>
      <w:bCs/>
    </w:rPr>
  </w:style>
  <w:style w:type="paragraph" w:styleId="BodyText2">
    <w:name w:val="Body Text 2"/>
    <w:basedOn w:val="Normal"/>
    <w:link w:val="BodyText2Char"/>
    <w:semiHidden/>
    <w:rsid w:val="00C31264"/>
    <w:pPr>
      <w:spacing w:line="480" w:lineRule="auto"/>
    </w:pPr>
    <w:rPr>
      <w:rFonts w:ascii="Trebuchet MS" w:eastAsia="MS Mincho" w:hAnsi="Trebuchet MS" w:cs="Times New Roman"/>
      <w:szCs w:val="24"/>
    </w:rPr>
  </w:style>
  <w:style w:type="character" w:customStyle="1" w:styleId="BodyText2Char">
    <w:name w:val="Body Text 2 Char"/>
    <w:basedOn w:val="DefaultParagraphFont"/>
    <w:link w:val="BodyText2"/>
    <w:semiHidden/>
    <w:rsid w:val="00C31264"/>
    <w:rPr>
      <w:rFonts w:ascii="Trebuchet MS" w:eastAsia="MS Mincho" w:hAnsi="Trebuchet MS" w:cs="Times New Roman"/>
      <w:sz w:val="20"/>
      <w:szCs w:val="24"/>
      <w:lang w:val="en-US"/>
    </w:rPr>
  </w:style>
  <w:style w:type="paragraph" w:customStyle="1" w:styleId="PURBody-Indented">
    <w:name w:val="PUR Body - Indented"/>
    <w:basedOn w:val="PURBody"/>
    <w:link w:val="PURBody-IndentedChar"/>
    <w:uiPriority w:val="3"/>
    <w:qFormat/>
    <w:rsid w:val="00C31264"/>
    <w:pPr>
      <w:ind w:left="270"/>
    </w:pPr>
  </w:style>
  <w:style w:type="paragraph" w:customStyle="1" w:styleId="PURBullet-Indented">
    <w:name w:val="PUR Bullet-Indented"/>
    <w:link w:val="PURBullet-IndentedChar"/>
    <w:uiPriority w:val="3"/>
    <w:qFormat/>
    <w:rsid w:val="00C31264"/>
    <w:pPr>
      <w:numPr>
        <w:numId w:val="2"/>
      </w:numPr>
      <w:tabs>
        <w:tab w:val="left" w:pos="360"/>
        <w:tab w:val="left" w:pos="720"/>
        <w:tab w:val="left" w:pos="1080"/>
      </w:tabs>
      <w:spacing w:after="0" w:line="240" w:lineRule="auto"/>
    </w:pPr>
    <w:rPr>
      <w:sz w:val="18"/>
      <w:szCs w:val="20"/>
      <w:lang w:val="en-US"/>
    </w:rPr>
  </w:style>
  <w:style w:type="character" w:customStyle="1" w:styleId="PURBodyChar">
    <w:name w:val="PUR Body Char"/>
    <w:basedOn w:val="DefaultParagraphFont"/>
    <w:link w:val="PURBody"/>
    <w:rsid w:val="00C31264"/>
    <w:rPr>
      <w:sz w:val="18"/>
      <w:szCs w:val="20"/>
      <w:lang w:val="en-US"/>
    </w:rPr>
  </w:style>
  <w:style w:type="character" w:customStyle="1" w:styleId="PURBody-IndentedChar">
    <w:name w:val="PUR Body - Indented Char"/>
    <w:basedOn w:val="PURBodyChar"/>
    <w:link w:val="PURBody-Indented"/>
    <w:uiPriority w:val="3"/>
    <w:rsid w:val="00C31264"/>
    <w:rPr>
      <w:sz w:val="18"/>
      <w:szCs w:val="20"/>
      <w:lang w:val="en-US"/>
    </w:rPr>
  </w:style>
  <w:style w:type="paragraph" w:customStyle="1" w:styleId="PURBlueStrong-Indented">
    <w:name w:val="PUR Blue Strong - Indented"/>
    <w:basedOn w:val="PURBlueStrong"/>
    <w:link w:val="PURBlueStrong-IndentedChar"/>
    <w:uiPriority w:val="3"/>
    <w:qFormat/>
    <w:rsid w:val="00C31264"/>
    <w:pPr>
      <w:ind w:left="270"/>
    </w:pPr>
  </w:style>
  <w:style w:type="character" w:customStyle="1" w:styleId="PURBulletChar">
    <w:name w:val="PUR Bullet Char"/>
    <w:basedOn w:val="PURBodyChar"/>
    <w:link w:val="PURBullet"/>
    <w:uiPriority w:val="3"/>
    <w:rsid w:val="00C31264"/>
    <w:rPr>
      <w:sz w:val="18"/>
      <w:szCs w:val="20"/>
      <w:lang w:val="en-US"/>
    </w:rPr>
  </w:style>
  <w:style w:type="character" w:customStyle="1" w:styleId="PURBullet-IndentedChar">
    <w:name w:val="PUR Bullet-Indented Char"/>
    <w:basedOn w:val="PURBulletChar"/>
    <w:link w:val="PURBullet-Indented"/>
    <w:uiPriority w:val="3"/>
    <w:rsid w:val="00C31264"/>
    <w:rPr>
      <w:sz w:val="18"/>
      <w:szCs w:val="20"/>
      <w:lang w:val="en-US"/>
    </w:rPr>
  </w:style>
  <w:style w:type="character" w:customStyle="1" w:styleId="PURBlueStrongChar">
    <w:name w:val="PUR Blue Strong Char"/>
    <w:basedOn w:val="DefaultParagraphFont"/>
    <w:link w:val="PURBlueStrong"/>
    <w:uiPriority w:val="3"/>
    <w:rsid w:val="00C31264"/>
    <w:rPr>
      <w:rFonts w:ascii="Arial" w:hAnsi="Arial"/>
      <w:smallCaps/>
      <w:color w:val="44546A" w:themeColor="text2"/>
      <w:spacing w:val="-4"/>
      <w:sz w:val="18"/>
      <w:szCs w:val="20"/>
      <w:lang w:val="en-US"/>
    </w:rPr>
  </w:style>
  <w:style w:type="character" w:customStyle="1" w:styleId="PURBlueStrong-IndentedChar">
    <w:name w:val="PUR Blue Strong - Indented Char"/>
    <w:basedOn w:val="PURBlueStrongChar"/>
    <w:link w:val="PURBlueStrong-Indented"/>
    <w:uiPriority w:val="3"/>
    <w:rsid w:val="00C31264"/>
    <w:rPr>
      <w:rFonts w:ascii="Arial" w:hAnsi="Arial"/>
      <w:smallCaps/>
      <w:color w:val="44546A" w:themeColor="text2"/>
      <w:spacing w:val="-4"/>
      <w:sz w:val="18"/>
      <w:szCs w:val="20"/>
      <w:lang w:val="en-US"/>
    </w:rPr>
  </w:style>
  <w:style w:type="paragraph" w:customStyle="1" w:styleId="PURSectionHeading">
    <w:name w:val="PUR Section Heading"/>
    <w:basedOn w:val="Normal"/>
    <w:link w:val="PURSectionHeadingChar"/>
    <w:uiPriority w:val="3"/>
    <w:qFormat/>
    <w:rsid w:val="00C31264"/>
    <w:pPr>
      <w:spacing w:after="240" w:line="240" w:lineRule="auto"/>
    </w:pPr>
    <w:rPr>
      <w:rFonts w:asciiTheme="majorHAnsi" w:hAnsiTheme="majorHAnsi"/>
      <w:b/>
      <w:color w:val="00188F"/>
      <w:sz w:val="40"/>
    </w:rPr>
  </w:style>
  <w:style w:type="paragraph" w:customStyle="1" w:styleId="PURBreadcrumb">
    <w:name w:val="PUR Breadcrumb"/>
    <w:basedOn w:val="PURHotBread"/>
    <w:link w:val="PURBreadcrumbChar"/>
    <w:uiPriority w:val="3"/>
    <w:qFormat/>
    <w:rsid w:val="00C31264"/>
    <w:pPr>
      <w:spacing w:before="0" w:after="0"/>
      <w:jc w:val="right"/>
    </w:pPr>
    <w:rPr>
      <w:rFonts w:ascii="Arial Narrow" w:hAnsi="Arial Narrow"/>
      <w:sz w:val="16"/>
    </w:rPr>
  </w:style>
  <w:style w:type="character" w:customStyle="1" w:styleId="PURHeading3Char">
    <w:name w:val="PUR Heading 3 Char"/>
    <w:basedOn w:val="PURBodyChar"/>
    <w:link w:val="PURHeading3"/>
    <w:uiPriority w:val="3"/>
    <w:rsid w:val="00C31264"/>
    <w:rPr>
      <w:b/>
      <w:color w:val="00188F"/>
      <w:sz w:val="28"/>
      <w:szCs w:val="20"/>
      <w:lang w:val="en-US"/>
    </w:rPr>
  </w:style>
  <w:style w:type="character" w:customStyle="1" w:styleId="PURSectionHeadingChar">
    <w:name w:val="PUR Section Heading Char"/>
    <w:basedOn w:val="PURHeading3Char"/>
    <w:link w:val="PURSectionHeading"/>
    <w:uiPriority w:val="3"/>
    <w:rsid w:val="00C31264"/>
    <w:rPr>
      <w:rFonts w:asciiTheme="majorHAnsi" w:hAnsiTheme="majorHAnsi"/>
      <w:b/>
      <w:color w:val="00188F"/>
      <w:sz w:val="40"/>
      <w:szCs w:val="20"/>
      <w:lang w:val="en-US"/>
    </w:rPr>
  </w:style>
  <w:style w:type="paragraph" w:customStyle="1" w:styleId="PURFootnoteBullet">
    <w:name w:val="PUR Footnote Bullet"/>
    <w:basedOn w:val="PURFootnote"/>
    <w:link w:val="PURFootnoteBulletChar"/>
    <w:uiPriority w:val="3"/>
    <w:qFormat/>
    <w:rsid w:val="00C31264"/>
    <w:pPr>
      <w:spacing w:after="120"/>
      <w:ind w:left="547" w:hanging="216"/>
      <w:contextualSpacing/>
    </w:pPr>
  </w:style>
  <w:style w:type="character" w:customStyle="1" w:styleId="PURHotBreadChar">
    <w:name w:val="PUR Hot Bread Char"/>
    <w:basedOn w:val="DefaultParagraphFont"/>
    <w:link w:val="PURHotBread"/>
    <w:uiPriority w:val="3"/>
    <w:rsid w:val="00C31264"/>
    <w:rPr>
      <w:rFonts w:ascii="Arial" w:hAnsi="Arial"/>
      <w:color w:val="E7E6E6" w:themeColor="background2"/>
      <w:sz w:val="18"/>
      <w:szCs w:val="20"/>
      <w:lang w:val="en-US"/>
    </w:rPr>
  </w:style>
  <w:style w:type="character" w:customStyle="1" w:styleId="PURBreadcrumbChar">
    <w:name w:val="PUR Breadcrumb Char"/>
    <w:basedOn w:val="PURHotBreadChar"/>
    <w:link w:val="PURBreadcrumb"/>
    <w:uiPriority w:val="3"/>
    <w:rsid w:val="00C31264"/>
    <w:rPr>
      <w:rFonts w:ascii="Arial Narrow" w:hAnsi="Arial Narrow"/>
      <w:color w:val="E7E6E6" w:themeColor="background2"/>
      <w:sz w:val="16"/>
      <w:szCs w:val="20"/>
      <w:lang w:val="en-US"/>
    </w:rPr>
  </w:style>
  <w:style w:type="paragraph" w:customStyle="1" w:styleId="PURLMSH">
    <w:name w:val="PUR LM_SH"/>
    <w:basedOn w:val="PURBody"/>
    <w:uiPriority w:val="3"/>
    <w:qFormat/>
    <w:rsid w:val="00C31264"/>
    <w:rPr>
      <w:rFonts w:ascii="Arial Narrow" w:hAnsi="Arial Narrow"/>
    </w:rPr>
  </w:style>
  <w:style w:type="character" w:customStyle="1" w:styleId="PURFootnoteChar">
    <w:name w:val="PUR Footnote Char"/>
    <w:basedOn w:val="DefaultParagraphFont"/>
    <w:link w:val="PURFootnote"/>
    <w:uiPriority w:val="3"/>
    <w:rsid w:val="00C31264"/>
    <w:rPr>
      <w:rFonts w:ascii="Arial" w:hAnsi="Arial"/>
      <w:color w:val="404040" w:themeColor="text1" w:themeTint="BF"/>
      <w:sz w:val="16"/>
      <w:szCs w:val="20"/>
      <w:lang w:val="en-US"/>
    </w:rPr>
  </w:style>
  <w:style w:type="character" w:customStyle="1" w:styleId="PURFootnoteBulletChar">
    <w:name w:val="PUR Footnote Bullet Char"/>
    <w:basedOn w:val="PURFootnoteChar"/>
    <w:link w:val="PURFootnoteBullet"/>
    <w:uiPriority w:val="3"/>
    <w:rsid w:val="00C31264"/>
    <w:rPr>
      <w:rFonts w:ascii="Arial" w:hAnsi="Arial"/>
      <w:color w:val="404040" w:themeColor="text1" w:themeTint="BF"/>
      <w:sz w:val="16"/>
      <w:szCs w:val="20"/>
      <w:lang w:val="en-US"/>
    </w:rPr>
  </w:style>
  <w:style w:type="paragraph" w:customStyle="1" w:styleId="PURTOCHeader">
    <w:name w:val="PUR TOC Header"/>
    <w:basedOn w:val="PURSectionHeading"/>
    <w:link w:val="PURTOCHeaderChar"/>
    <w:uiPriority w:val="3"/>
    <w:qFormat/>
    <w:rsid w:val="00C31264"/>
  </w:style>
  <w:style w:type="character" w:customStyle="1" w:styleId="PURTOCHeaderChar">
    <w:name w:val="PUR TOC Header Char"/>
    <w:basedOn w:val="PURSectionHeadingChar"/>
    <w:link w:val="PURTOCHeader"/>
    <w:uiPriority w:val="3"/>
    <w:rsid w:val="00C31264"/>
    <w:rPr>
      <w:rFonts w:asciiTheme="majorHAnsi" w:hAnsiTheme="majorHAnsi"/>
      <w:b/>
      <w:color w:val="00188F"/>
      <w:sz w:val="40"/>
      <w:szCs w:val="20"/>
      <w:lang w:val="en-US"/>
    </w:rPr>
  </w:style>
  <w:style w:type="paragraph" w:customStyle="1" w:styleId="PURAddtlSoftwareProductName">
    <w:name w:val="PUR Addtl Software Product Name"/>
    <w:basedOn w:val="PURBody"/>
    <w:uiPriority w:val="3"/>
    <w:qFormat/>
    <w:rsid w:val="00C31264"/>
    <w:pPr>
      <w:keepNext/>
      <w:keepLines/>
      <w:pBdr>
        <w:top w:val="dotted" w:sz="4" w:space="6" w:color="4472C4" w:themeColor="accent1"/>
      </w:pBdr>
      <w:spacing w:before="120"/>
    </w:pPr>
    <w:rPr>
      <w:b/>
      <w:sz w:val="20"/>
    </w:rPr>
  </w:style>
  <w:style w:type="table" w:customStyle="1" w:styleId="ProductAttributesTable">
    <w:name w:val="ProductAttributesTable"/>
    <w:basedOn w:val="TableNormal"/>
    <w:uiPriority w:val="99"/>
    <w:rsid w:val="00C31264"/>
    <w:pPr>
      <w:spacing w:after="0" w:line="240" w:lineRule="auto"/>
    </w:pPr>
    <w:rPr>
      <w:rFonts w:ascii="Arial Narrow" w:hAnsi="Arial Narrow"/>
      <w:color w:val="404040" w:themeColor="text1" w:themeTint="BF"/>
      <w:sz w:val="18"/>
      <w:szCs w:val="20"/>
      <w:lang w:val="en-US"/>
    </w:rPr>
    <w:tblPr>
      <w:tblBorders>
        <w:top w:val="single" w:sz="4" w:space="0" w:color="44546A" w:themeColor="text2"/>
        <w:bottom w:val="single" w:sz="4" w:space="0" w:color="44546A" w:themeColor="text2"/>
      </w:tblBorders>
      <w:tblCellMar>
        <w:top w:w="58" w:type="dxa"/>
        <w:left w:w="115" w:type="dxa"/>
        <w:bottom w:w="58" w:type="dxa"/>
        <w:right w:w="115" w:type="dxa"/>
      </w:tblCellMar>
    </w:tblPr>
  </w:style>
  <w:style w:type="table" w:customStyle="1" w:styleId="PURTable">
    <w:name w:val="PURTable"/>
    <w:uiPriority w:val="99"/>
    <w:rsid w:val="00C31264"/>
    <w:pPr>
      <w:spacing w:after="0" w:line="240" w:lineRule="auto"/>
    </w:pPr>
    <w:rPr>
      <w:rFonts w:ascii="Arial" w:hAnsi="Arial"/>
      <w:sz w:val="18"/>
      <w:szCs w:val="20"/>
      <w:lang w:eastAsia="en-IN"/>
    </w:rPr>
    <w:tblPr>
      <w:tblInd w:w="0" w:type="dxa"/>
      <w:tblBorders>
        <w:top w:val="single" w:sz="4" w:space="0" w:color="44546A" w:themeColor="text2"/>
        <w:bottom w:val="single" w:sz="4" w:space="0" w:color="44546A" w:themeColor="text2"/>
        <w:insideH w:val="single" w:sz="4" w:space="0" w:color="44546A" w:themeColor="text2"/>
        <w:insideV w:val="single" w:sz="4" w:space="0" w:color="44546A" w:themeColor="text2"/>
      </w:tblBorders>
      <w:tblCellMar>
        <w:top w:w="14" w:type="dxa"/>
        <w:left w:w="58" w:type="dxa"/>
        <w:bottom w:w="14" w:type="dxa"/>
        <w:right w:w="58" w:type="dxa"/>
      </w:tblCellMar>
    </w:tblPr>
    <w:tcPr>
      <w:shd w:val="clear" w:color="auto" w:fill="auto"/>
    </w:tcPr>
    <w:tblStylePr w:type="firstRow">
      <w:pPr>
        <w:wordWrap/>
        <w:ind w:left="0" w:right="0" w:leftChars="0" w:rightChars="0"/>
      </w:pPr>
    </w:tblStylePr>
  </w:style>
  <w:style w:type="table" w:customStyle="1" w:styleId="PURFooterTable">
    <w:name w:val="PURFooterTable"/>
    <w:basedOn w:val="TableNormal"/>
    <w:uiPriority w:val="99"/>
    <w:rsid w:val="00C31264"/>
    <w:pPr>
      <w:spacing w:after="0" w:line="240" w:lineRule="auto"/>
    </w:pPr>
    <w:rPr>
      <w:rFonts w:ascii="Arial" w:hAnsi="Arial"/>
      <w:color w:val="E7E6E6" w:themeColor="background2"/>
      <w:sz w:val="16"/>
      <w:szCs w:val="20"/>
      <w:lang w:val="en-US"/>
    </w:rPr>
    <w:tblPr>
      <w:tblStyleColBandSize w:val="1"/>
      <w:jc w:val="center"/>
      <w:tblCellMar>
        <w:left w:w="0" w:type="dxa"/>
        <w:right w:w="0" w:type="dxa"/>
      </w:tblCellMar>
    </w:tblPr>
    <w:trPr>
      <w:jc w:val="center"/>
    </w:trPr>
    <w:tblStylePr w:type="band1Vert">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tblStylePr>
  </w:style>
  <w:style w:type="paragraph" w:customStyle="1" w:styleId="PURFooterText">
    <w:name w:val="PURFooterText"/>
    <w:basedOn w:val="Normal"/>
    <w:uiPriority w:val="3"/>
    <w:qFormat/>
    <w:rsid w:val="00C31264"/>
    <w:pPr>
      <w:spacing w:after="0"/>
    </w:pPr>
    <w:rPr>
      <w:rFonts w:ascii="Calibri" w:hAnsi="Calibri"/>
      <w:b/>
      <w:color w:val="404040" w:themeColor="text1" w:themeTint="BF"/>
      <w:sz w:val="12"/>
    </w:rPr>
  </w:style>
  <w:style w:type="paragraph" w:customStyle="1" w:styleId="PURHeaderText">
    <w:name w:val="PURHeaderText"/>
    <w:basedOn w:val="Normal"/>
    <w:uiPriority w:val="3"/>
    <w:qFormat/>
    <w:rsid w:val="00C31264"/>
    <w:pPr>
      <w:spacing w:after="0"/>
    </w:pPr>
    <w:rPr>
      <w:rFonts w:ascii="Calibri" w:hAnsi="Calibri"/>
      <w:b/>
      <w:color w:val="404040" w:themeColor="text1" w:themeTint="BF"/>
      <w:sz w:val="14"/>
    </w:rPr>
  </w:style>
  <w:style w:type="paragraph" w:customStyle="1" w:styleId="PURBlueBGHeader">
    <w:name w:val="PURBlueBGHeader"/>
    <w:basedOn w:val="PURBody"/>
    <w:uiPriority w:val="3"/>
    <w:qFormat/>
    <w:rsid w:val="00C31264"/>
    <w:pPr>
      <w:pBdr>
        <w:top w:val="single" w:sz="12" w:space="1" w:color="E5EEF7"/>
        <w:left w:val="single" w:sz="12" w:space="4" w:color="E5EEF7"/>
        <w:bottom w:val="single" w:sz="12" w:space="1" w:color="E5EEF7"/>
        <w:right w:val="single" w:sz="12" w:space="4" w:color="E5EEF7"/>
      </w:pBdr>
      <w:shd w:val="clear" w:color="auto" w:fill="E5EEF7"/>
    </w:pPr>
    <w:rPr>
      <w:b/>
    </w:rPr>
  </w:style>
  <w:style w:type="table" w:customStyle="1" w:styleId="PURTableNoBorder">
    <w:name w:val="PURTableNoBorder"/>
    <w:basedOn w:val="TableNormal"/>
    <w:uiPriority w:val="99"/>
    <w:rsid w:val="00C31264"/>
    <w:pPr>
      <w:spacing w:after="0" w:line="240" w:lineRule="auto"/>
    </w:pPr>
    <w:rPr>
      <w:rFonts w:ascii="Arial" w:hAnsi="Arial"/>
      <w:color w:val="E7E6E6" w:themeColor="background2"/>
      <w:sz w:val="20"/>
      <w:szCs w:val="20"/>
      <w:lang w:val="en-US"/>
    </w:rPr>
    <w:tblPr>
      <w:tblCellMar>
        <w:top w:w="115" w:type="dxa"/>
        <w:left w:w="115" w:type="dxa"/>
        <w:bottom w:w="115" w:type="dxa"/>
        <w:right w:w="115" w:type="dxa"/>
      </w:tblCellMar>
    </w:tblPr>
  </w:style>
  <w:style w:type="paragraph" w:customStyle="1" w:styleId="PURTOCHeader1">
    <w:name w:val="PURTOCHeader1"/>
    <w:basedOn w:val="PURBody"/>
    <w:link w:val="PURTOCHeader1Char"/>
    <w:uiPriority w:val="3"/>
    <w:qFormat/>
    <w:rsid w:val="00C31264"/>
    <w:pPr>
      <w:spacing w:before="4880"/>
    </w:pPr>
    <w:rPr>
      <w:rFonts w:ascii="Arial Black" w:hAnsi="Arial Black"/>
      <w:color w:val="44546A" w:themeColor="text2"/>
      <w:sz w:val="32"/>
    </w:rPr>
  </w:style>
  <w:style w:type="character" w:customStyle="1" w:styleId="PURTOCHeader1Char">
    <w:name w:val="PURTOCHeader1 Char"/>
    <w:basedOn w:val="PURBodyChar"/>
    <w:link w:val="PURTOCHeader1"/>
    <w:uiPriority w:val="3"/>
    <w:rsid w:val="00C31264"/>
    <w:rPr>
      <w:rFonts w:ascii="Arial Black" w:hAnsi="Arial Black"/>
      <w:color w:val="44546A" w:themeColor="text2"/>
      <w:sz w:val="32"/>
      <w:szCs w:val="20"/>
      <w:lang w:val="en-US"/>
    </w:rPr>
  </w:style>
  <w:style w:type="paragraph" w:customStyle="1" w:styleId="PURTitlePage">
    <w:name w:val="PURTitlePage"/>
    <w:basedOn w:val="Normal"/>
    <w:uiPriority w:val="3"/>
    <w:qFormat/>
    <w:rsid w:val="00C31264"/>
    <w:rPr>
      <w:color w:val="44546A" w:themeColor="text2"/>
      <w:sz w:val="72"/>
    </w:rPr>
  </w:style>
  <w:style w:type="table" w:customStyle="1" w:styleId="PURTableNoVertical">
    <w:name w:val="PURTableNoVertical"/>
    <w:basedOn w:val="PURTable"/>
    <w:uiPriority w:val="99"/>
    <w:rsid w:val="00C31264"/>
    <w:tblPr>
      <w:tblBorders>
        <w:top w:val="none" w:sz="0" w:space="0" w:color="auto"/>
        <w:bottom w:val="none" w:sz="0" w:space="0" w:color="auto"/>
        <w:insideH w:val="none" w:sz="0" w:space="0" w:color="auto"/>
        <w:insideV w:val="none" w:sz="0" w:space="0" w:color="auto"/>
      </w:tblBorders>
    </w:tblPr>
    <w:tcPr>
      <w:shd w:val="clear" w:color="auto" w:fill="auto"/>
    </w:tcPr>
    <w:tblStylePr w:type="firstRow">
      <w:pPr>
        <w:wordWrap/>
        <w:ind w:left="0" w:right="0" w:leftChars="0" w:rightChars="0"/>
      </w:pPr>
    </w:tblStylePr>
  </w:style>
  <w:style w:type="paragraph" w:customStyle="1" w:styleId="PURBodyBold">
    <w:name w:val="PURBodyBold"/>
    <w:basedOn w:val="PURBody"/>
    <w:uiPriority w:val="3"/>
    <w:qFormat/>
    <w:rsid w:val="00C31264"/>
    <w:rPr>
      <w:b/>
    </w:rPr>
  </w:style>
  <w:style w:type="paragraph" w:customStyle="1" w:styleId="PURHeading5">
    <w:name w:val="PUR Heading 5"/>
    <w:basedOn w:val="PURHeading2"/>
    <w:next w:val="PURBody-Indented"/>
    <w:uiPriority w:val="3"/>
    <w:qFormat/>
    <w:rsid w:val="00C31264"/>
    <w:pPr>
      <w:pBdr>
        <w:bottom w:val="none" w:sz="0" w:space="0" w:color="auto"/>
      </w:pBdr>
      <w:spacing w:before="0" w:after="0"/>
    </w:pPr>
    <w:rPr>
      <w:rFonts w:asciiTheme="minorHAnsi" w:hAnsiTheme="minorHAnsi"/>
      <w:b/>
      <w:sz w:val="18"/>
    </w:rPr>
  </w:style>
  <w:style w:type="paragraph" w:customStyle="1" w:styleId="PURHeading6">
    <w:name w:val="PUR Heading 6"/>
    <w:basedOn w:val="PURHeading5"/>
    <w:next w:val="PURBody"/>
    <w:uiPriority w:val="3"/>
    <w:rsid w:val="00C31264"/>
    <w:pPr>
      <w:ind w:left="360"/>
    </w:pPr>
    <w:rPr>
      <w:color w:val="0072C6"/>
    </w:rPr>
  </w:style>
  <w:style w:type="paragraph" w:customStyle="1" w:styleId="PURHeading7">
    <w:name w:val="PUR Heading 7"/>
    <w:basedOn w:val="PURHeading6"/>
    <w:next w:val="PURBody"/>
    <w:uiPriority w:val="3"/>
    <w:rsid w:val="00C31264"/>
    <w:pPr>
      <w:ind w:left="720"/>
    </w:pPr>
    <w:rPr>
      <w:color w:val="4668C5"/>
    </w:rPr>
  </w:style>
  <w:style w:type="character" w:styleId="UnresolvedMention">
    <w:name w:val="Unresolved Mention"/>
    <w:basedOn w:val="DefaultParagraphFont"/>
    <w:uiPriority w:val="99"/>
    <w:semiHidden/>
    <w:unhideWhenUsed/>
    <w:rsid w:val="00C31264"/>
    <w:rPr>
      <w:color w:val="808080"/>
      <w:shd w:val="clear" w:color="auto" w:fill="E6E6E6"/>
    </w:rPr>
  </w:style>
  <w:style w:type="paragraph" w:styleId="Index2">
    <w:name w:val="index 2"/>
    <w:basedOn w:val="Normal"/>
    <w:next w:val="Normal"/>
    <w:autoRedefine/>
    <w:uiPriority w:val="99"/>
    <w:semiHidden/>
    <w:unhideWhenUsed/>
    <w:rsid w:val="00C31264"/>
    <w:pPr>
      <w:spacing w:after="0" w:line="240" w:lineRule="auto"/>
      <w:ind w:left="400" w:hanging="200"/>
    </w:pPr>
  </w:style>
  <w:style w:type="paragraph" w:styleId="NormalWeb">
    <w:name w:val="Normal (Web)"/>
    <w:basedOn w:val="Normal"/>
    <w:uiPriority w:val="99"/>
    <w:rsid w:val="0041372D"/>
    <w:pPr>
      <w:spacing w:line="240" w:lineRule="auto"/>
    </w:pPr>
    <w:rPr>
      <w:rFonts w:ascii="Segoe UI" w:eastAsia="Times New Roman" w:hAnsi="Segoe UI" w:cs="Segoe UI"/>
      <w:color w:val="505050"/>
      <w:sz w:val="18"/>
      <w:szCs w:val="18"/>
      <w:lang w:val="en-IN"/>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paragraph" w:customStyle="1" w:styleId="cms-block-indent-1">
    <w:name w:val="cms-block-indent-1"/>
    <w:basedOn w:val="Normal"/>
    <w:pPr>
      <w:spacing w:line="240" w:lineRule="auto"/>
    </w:pPr>
    <w:rPr>
      <w:rFonts w:ascii="Segoe UI" w:eastAsia="Times New Roman" w:hAnsi="Segoe UI" w:cs="Segoe UI"/>
      <w:color w:val="505050"/>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ka.ms/customerdataexport" TargetMode="External" /><Relationship Id="rId101" Type="http://schemas.openxmlformats.org/officeDocument/2006/relationships/hyperlink" Target="https://aka.ms/governmentaccessrequests" TargetMode="External" /><Relationship Id="rId102" Type="http://schemas.openxmlformats.org/officeDocument/2006/relationships/hyperlink" Target="https://licensingterms.azurewebsites.net/licensing/terms/product/CALandMLEquivalencyLicenses/" TargetMode="External" /><Relationship Id="rId103" Type="http://schemas.openxmlformats.org/officeDocument/2006/relationships/hyperlink" Target="https://licensingterms.azurewebsites.net/licensing/terms/product/ForallSoftware/all" TargetMode="External" /><Relationship Id="rId104" Type="http://schemas.openxmlformats.org/officeDocument/2006/relationships/hyperlink" Target="https://licensingterms.azurewebsites.net/licensing/terms/product/SoftwareAssuranceBenefits/all" TargetMode="External" /><Relationship Id="rId105" Type="http://schemas.openxmlformats.org/officeDocument/2006/relationships/hyperlink" Target="http://go.microsoft.com/?linkid=9839207" TargetMode="External" /><Relationship Id="rId106" Type="http://schemas.openxmlformats.org/officeDocument/2006/relationships/hyperlink" Target="https://licensingterms.azurewebsites.net/licensing/terms/product/StudentUseBenefitsandAcademicPrograms/all" TargetMode="External" /><Relationship Id="rId107" Type="http://schemas.openxmlformats.org/officeDocument/2006/relationships/hyperlink" Target="https://licensingterms.azurewebsites.net/licensing/terms/product/Notices/all" TargetMode="External" /><Relationship Id="rId108" Type="http://schemas.openxmlformats.org/officeDocument/2006/relationships/hyperlink" Target="https://www.microsoft.com/licensing/terms/product/CALandMLEquivalencyLicenses/" TargetMode="External" /><Relationship Id="rId109" Type="http://schemas.openxmlformats.org/officeDocument/2006/relationships/hyperlink" Target="https://licensingterms.azurewebsites.net/licensing/terms/product/CALandMLEquivalencyLicenses/all" TargetMode="External" /><Relationship Id="rId11" Type="http://schemas.openxmlformats.org/officeDocument/2006/relationships/header" Target="header4.xml" /><Relationship Id="rId110" Type="http://schemas.openxmlformats.org/officeDocument/2006/relationships/hyperlink" Target="https://licensingterms.azurewebsites.net/licensing/terms/productoffering/MicrosoftIntune" TargetMode="External" /><Relationship Id="rId111" Type="http://schemas.openxmlformats.org/officeDocument/2006/relationships/hyperlink" Target="/licensing/terms/product/ForallSoftware/all" TargetMode="External" /><Relationship Id="rId112" Type="http://schemas.openxmlformats.org/officeDocument/2006/relationships/hyperlink" Target="https://aka.ms/D365TeamMembersExistingCustomer" TargetMode="External" /><Relationship Id="rId113" Type="http://schemas.openxmlformats.org/officeDocument/2006/relationships/hyperlink" Target="https://licensingterms.azurewebsites.net/licensing/terms/product/GeneralSoftwareAssuranceBenefits/all" TargetMode="External" /><Relationship Id="rId114" Type="http://schemas.openxmlformats.org/officeDocument/2006/relationships/hyperlink" Target="https://www.microsoft.com/licensing/terms/product/Notices" TargetMode="External" /><Relationship Id="rId115" Type="http://schemas.openxmlformats.org/officeDocument/2006/relationships/hyperlink" Target="https://licensingterms.azurewebsites.net/licensing/terms/productoffering/ExchangeOnline" TargetMode="External" /><Relationship Id="rId116" Type="http://schemas.openxmlformats.org/officeDocument/2006/relationships/hyperlink" Target="https://www.microsoft.com/licensing/terms/product/GeneralSoftwareAssuranceBenefits/all" TargetMode="External" /><Relationship Id="rId117" Type="http://schemas.openxmlformats.org/officeDocument/2006/relationships/hyperlink" Target="https://www.microsoftvolumelicensing.com/DocumentSearch.aspx?Mode=3&amp;DocumentTypeId=3" TargetMode="External" /><Relationship Id="rId118" Type="http://schemas.openxmlformats.org/officeDocument/2006/relationships/hyperlink" Target="https://www.microsoft.com/licensing/terms/product/ForallSoftware" TargetMode="External" /><Relationship Id="rId119" Type="http://schemas.openxmlformats.org/officeDocument/2006/relationships/hyperlink" Target="https://licensingterms.azurewebsites.net/licensing/terms/productoffering/OfficeDesktopApplicationsWindows" TargetMode="External" /><Relationship Id="rId12" Type="http://schemas.openxmlformats.org/officeDocument/2006/relationships/footer" Target="footer4.xml" /><Relationship Id="rId120" Type="http://schemas.openxmlformats.org/officeDocument/2006/relationships/hyperlink" Target="https://licensingterms.azurewebsites.net/licensing/terms/productoffering/Microsoft365Applications/all" TargetMode="External" /><Relationship Id="rId121" Type="http://schemas.openxmlformats.org/officeDocument/2006/relationships/hyperlink" Target="https://visualstudio.microsoft.com/license-terms/" TargetMode="External" /><Relationship Id="rId122" Type="http://schemas.openxmlformats.org/officeDocument/2006/relationships/hyperlink" Target="https://licensingterms.azurewebsites.net/licensing/terms/product/ForOnlineServices" TargetMode="External" /><Relationship Id="rId123" Type="http://schemas.openxmlformats.org/officeDocument/2006/relationships/hyperlink" Target="http://go.microsoft.com/fwlink/?linkid=246338" TargetMode="External" /><Relationship Id="rId124" Type="http://schemas.openxmlformats.org/officeDocument/2006/relationships/hyperlink" Target="http://xbox.com/legal/livetou" TargetMode="External" /><Relationship Id="rId125" Type="http://schemas.openxmlformats.org/officeDocument/2006/relationships/hyperlink" Target="https://docs.microsoft.com/windows/deployment/vda-subscription-activation" TargetMode="External" /><Relationship Id="rId126" Type="http://schemas.openxmlformats.org/officeDocument/2006/relationships/hyperlink" Target="http://go.microsoft.com/fwlink/?linkid=248532" TargetMode="External" /><Relationship Id="rId127" Type="http://schemas.openxmlformats.org/officeDocument/2006/relationships/hyperlink" Target="https://licensingterms.azurewebsites.net/licensing/terms/product/ForallSoftware/" TargetMode="External" /><Relationship Id="rId128" Type="http://schemas.openxmlformats.org/officeDocument/2006/relationships/hyperlink" Target="http://go.microsoft.com/fwlink/?LinkId=245856" TargetMode="External" /><Relationship Id="rId129" Type="http://schemas.openxmlformats.org/officeDocument/2006/relationships/hyperlink" Target="http://www.microsoftvolumelicensing.com/DocumentSearch.aspx?Mode=3&amp;DocumentTypeId=53" TargetMode="External" /><Relationship Id="rId13" Type="http://schemas.openxmlformats.org/officeDocument/2006/relationships/header" Target="header5.xml" /><Relationship Id="rId130" Type="http://schemas.openxmlformats.org/officeDocument/2006/relationships/hyperlink" Target="https://www.aka.ms/licensingdocs" TargetMode="External" /><Relationship Id="rId131" Type="http://schemas.openxmlformats.org/officeDocument/2006/relationships/hyperlink" Target="https://licensingterms.azurewebsites.net/licensing/terms/product/ForallOnlineServices/all" TargetMode="External" /><Relationship Id="rId132" Type="http://schemas.openxmlformats.org/officeDocument/2006/relationships/hyperlink" Target="https://www.microsoft.com/licensing/terms/productoffering/AdvancedThreatAnalytics/EES" TargetMode="External" /><Relationship Id="rId133" Type="http://schemas.openxmlformats.org/officeDocument/2006/relationships/hyperlink" Target="https://licensingterms.azurewebsites.net/licensing/terms/product/StudentUseBenefitsandAcademicPrograms" TargetMode="External" /><Relationship Id="rId134" Type="http://schemas.openxmlformats.org/officeDocument/2006/relationships/hyperlink" Target="https://licensingterms.azurewebsites.net/licensing/terms/productoffering/Office365Suites" TargetMode="External" /><Relationship Id="rId135" Type="http://schemas.openxmlformats.org/officeDocument/2006/relationships/hyperlink" Target="https://licensingterms.azurewebsites.net/licensing/terms/productoffering/EnterpriseMobilitySecurity" TargetMode="External" /><Relationship Id="rId136" Type="http://schemas.openxmlformats.org/officeDocument/2006/relationships/hyperlink" Target="https://licensingterms.azurewebsites.net/licensing/terms/productoffering/MinecraftEducationEdition" TargetMode="External" /><Relationship Id="rId137" Type="http://schemas.openxmlformats.org/officeDocument/2006/relationships/hyperlink" Target="https://docs.microsoft.com/exchange/recipients-in-exchange-online/manage-user-mailboxes/enable-or-disable-outlook-web-app" TargetMode="External" /><Relationship Id="rId138" Type="http://schemas.openxmlformats.org/officeDocument/2006/relationships/hyperlink" Target="https://learn.microsoft.com/microsoft-365/bookings/bookings-overview" TargetMode="External" /><Relationship Id="rId139" Type="http://schemas.openxmlformats.org/officeDocument/2006/relationships/hyperlink" Target="https://www.microsoft.com/licensing/terms/product/ForallSoftware/all" TargetMode="External" /><Relationship Id="rId14" Type="http://schemas.openxmlformats.org/officeDocument/2006/relationships/footer" Target="footer5.xml" /><Relationship Id="rId140" Type="http://schemas.openxmlformats.org/officeDocument/2006/relationships/hyperlink" Target="https://www.microsoft.com/licensing/terms/product/AmazonWorkspacesDeployments" TargetMode="External" /><Relationship Id="rId141" Type="http://schemas.openxmlformats.org/officeDocument/2006/relationships/hyperlink" Target="https://www.microsoft.com/licensing/terms/productoffering/MicrosoftDefenderforBusinessservers" TargetMode="External" /><Relationship Id="rId142" Type="http://schemas.openxmlformats.org/officeDocument/2006/relationships/hyperlink" Target="https://www.linkedin.com/legal/l/lsa." TargetMode="External" /><Relationship Id="rId143" Type="http://schemas.openxmlformats.org/officeDocument/2006/relationships/hyperlink" Target="https://learn.microsoft.com/copilot/security/security-copilot-inclusion" TargetMode="External" /><Relationship Id="rId144" Type="http://schemas.openxmlformats.org/officeDocument/2006/relationships/hyperlink" Target="https://www.microsoft.com/licensing/terms/product/StudentUseBenefitsandAcademicPrograms" TargetMode="External" /><Relationship Id="rId145" Type="http://schemas.openxmlformats.org/officeDocument/2006/relationships/hyperlink" Target="https://azure.microsoft.com/pricing/calculator/" TargetMode="External" /><Relationship Id="rId146" Type="http://schemas.openxmlformats.org/officeDocument/2006/relationships/hyperlink" Target="https://azure.microsoft.com/pricing/dev-test/" TargetMode="External" /><Relationship Id="rId147" Type="http://schemas.openxmlformats.org/officeDocument/2006/relationships/hyperlink" Target="http://azure.microsoft.com/support/legal/sla/" TargetMode="External" /><Relationship Id="rId148" Type="http://schemas.openxmlformats.org/officeDocument/2006/relationships/hyperlink" Target="http://azure.microsoft.com/en-us/regions" TargetMode="External" /><Relationship Id="rId149" Type="http://schemas.openxmlformats.org/officeDocument/2006/relationships/hyperlink" Target="https://learn.microsoft.com/legal/marketplace/marketplace-terms" TargetMode="External" /><Relationship Id="rId15" Type="http://schemas.openxmlformats.org/officeDocument/2006/relationships/header" Target="header6.xml" /><Relationship Id="rId150" Type="http://schemas.openxmlformats.org/officeDocument/2006/relationships/hyperlink" Target="https://www.microsoft.com/en-us/bing/apis/legal" TargetMode="External" /><Relationship Id="rId151" Type="http://schemas.openxmlformats.org/officeDocument/2006/relationships/hyperlink" Target="https://learn.microsoft.com/en-us/bing/search-apis/bing-web-search/use-display-requirements" TargetMode="External" /><Relationship Id="rId152" Type="http://schemas.openxmlformats.org/officeDocument/2006/relationships/hyperlink" Target="https://docs.microsoft.com/en-us/legal/microsoft-apis/terms-of-use" TargetMode="External" /><Relationship Id="rId153" Type="http://schemas.openxmlformats.org/officeDocument/2006/relationships/hyperlink" Target="https://www.microsoft.com/licensing/terms/product/SoftwareAssuranceBenefits/all" TargetMode="External" /><Relationship Id="rId154" Type="http://schemas.openxmlformats.org/officeDocument/2006/relationships/hyperlink" Target="https://docs.microsoft.com/azure/communication-services/concepts/telephony-sms/messaging-policy" TargetMode="External" /><Relationship Id="rId155" Type="http://schemas.openxmlformats.org/officeDocument/2006/relationships/hyperlink" Target="https://aka.ms/firmwareanalysislicensing." TargetMode="External" /><Relationship Id="rId156" Type="http://schemas.openxmlformats.org/officeDocument/2006/relationships/hyperlink" Target="https://www.microsoft.com/msrc/cvd" TargetMode="External" /><Relationship Id="rId157" Type="http://schemas.openxmlformats.org/officeDocument/2006/relationships/hyperlink" Target="https://www.cisa.gov/resources-tools/programs/coordinated-vulnerability-disclosure-program" TargetMode="External" /><Relationship Id="rId158" Type="http://schemas.openxmlformats.org/officeDocument/2006/relationships/hyperlink" Target="https://haadminstoragedev.blob.core.windows.net/docs/HBS%20Preview%20Disclaimer%20and%20Acknowledgment%20(181113).pdf" TargetMode="External" /><Relationship Id="rId159" Type="http://schemas.openxmlformats.org/officeDocument/2006/relationships/hyperlink" Target="https://aka.ms/AzureIoTOperations/pricing" TargetMode="External" /><Relationship Id="rId16" Type="http://schemas.openxmlformats.org/officeDocument/2006/relationships/footer" Target="footer6.xml" /><Relationship Id="rId160" Type="http://schemas.openxmlformats.org/officeDocument/2006/relationships/hyperlink" Target="https://aka.ms/AzureIoTOperations/Includedcomponents" TargetMode="External" /><Relationship Id="rId161" Type="http://schemas.openxmlformats.org/officeDocument/2006/relationships/hyperlink" Target="https://aka.ms/AzureIoTOperationsDocs" TargetMode="External" /><Relationship Id="rId162" Type="http://schemas.openxmlformats.org/officeDocument/2006/relationships/hyperlink" Target="https://go.microsoft.com/fwlink/?linkid=874330." TargetMode="External" /><Relationship Id="rId163" Type="http://schemas.openxmlformats.org/officeDocument/2006/relationships/hyperlink" Target="https://tomtom.com/product-attributions/" TargetMode="External" /><Relationship Id="rId164" Type="http://schemas.openxmlformats.org/officeDocument/2006/relationships/hyperlink" Target="https://opendatacommons.org/licenses/odbl/" TargetMode="External" /><Relationship Id="rId165" Type="http://schemas.openxmlformats.org/officeDocument/2006/relationships/hyperlink" Target="https://www.microsoft.com/legal/intellectualproperty/trademarks" TargetMode="External" /><Relationship Id="rId166" Type="http://schemas.openxmlformats.org/officeDocument/2006/relationships/hyperlink" Target="https://www.aka.ms/ap5gcvalidation" TargetMode="External" /><Relationship Id="rId167" Type="http://schemas.openxmlformats.org/officeDocument/2006/relationships/hyperlink" Target="https://licensingterms.azurewebsites.net/licensing/terms/product/ForallSoftware" TargetMode="External" /><Relationship Id="rId168" Type="http://schemas.openxmlformats.org/officeDocument/2006/relationships/hyperlink" Target="http://www.microsoft.com/exporting/" TargetMode="External" /><Relationship Id="rId169" Type="http://schemas.openxmlformats.org/officeDocument/2006/relationships/hyperlink" Target="https://www.microsoft.com/bing/apis/grounding-legal-enterprise" TargetMode="External" /><Relationship Id="rId17" Type="http://schemas.openxmlformats.org/officeDocument/2006/relationships/hyperlink" Target="https://www.microsoft.com/licensing/terms/" TargetMode="External" /><Relationship Id="rId170" Type="http://schemas.openxmlformats.org/officeDocument/2006/relationships/hyperlink" Target="https://learn.microsoft.com/azure/ai-services/openai/" TargetMode="External" /><Relationship Id="rId171" Type="http://schemas.openxmlformats.org/officeDocument/2006/relationships/hyperlink" Target="https://x.ai/legal/acceptable-use-policy." TargetMode="External" /><Relationship Id="rId172" Type="http://schemas.openxmlformats.org/officeDocument/2006/relationships/hyperlink" Target="https://bfl.ai/legal/usage-policy" TargetMode="External" /><Relationship Id="rId173" Type="http://schemas.openxmlformats.org/officeDocument/2006/relationships/hyperlink" Target="https://aka.ms/disclosure-voice-talent" TargetMode="External" /><Relationship Id="rId174" Type="http://schemas.openxmlformats.org/officeDocument/2006/relationships/hyperlink" Target="https://aka.ms/CommunicationServicesTerms" TargetMode="External" /><Relationship Id="rId175" Type="http://schemas.openxmlformats.org/officeDocument/2006/relationships/hyperlink" Target="https://learn.microsoft.com/dynamics365/business-central/compliance/compliance-certifications" TargetMode="External" /><Relationship Id="rId176" Type="http://schemas.openxmlformats.org/officeDocument/2006/relationships/hyperlink" Target="https://learn.microsoft.com/dynamics365/business-central/localfunctionality/spain/compliance-self-responsible-declaration-billing-spain" TargetMode="External" /><Relationship Id="rId177" Type="http://schemas.openxmlformats.org/officeDocument/2006/relationships/hyperlink" Target="https://go.microsoft.com/fwlink/?LinkId=866544&amp;clcid=0x409" TargetMode="External" /><Relationship Id="rId178" Type="http://schemas.openxmlformats.org/officeDocument/2006/relationships/hyperlink" Target="https://go.microsoft.com/fwlink/?linkid=2139145" TargetMode="External" /><Relationship Id="rId179" Type="http://schemas.openxmlformats.org/officeDocument/2006/relationships/hyperlink" Target="https://go.microsoft.com/fwlink/?LinkId=866544&amp;clcid=0x409%20and%20for" TargetMode="External" /><Relationship Id="rId18" Type="http://schemas.openxmlformats.org/officeDocument/2006/relationships/hyperlink" Target="https://aka.ms/licensingdocs" TargetMode="External" /><Relationship Id="rId180" Type="http://schemas.openxmlformats.org/officeDocument/2006/relationships/hyperlink" Target="https://www.microsoft.com/privacy/privacystatement" TargetMode="External" /><Relationship Id="rId181" Type="http://schemas.openxmlformats.org/officeDocument/2006/relationships/hyperlink" Target="https://go.microsoft.com/fwlink/?linkid=868812" TargetMode="External" /><Relationship Id="rId182" Type="http://schemas.openxmlformats.org/officeDocument/2006/relationships/hyperlink" Target="https://go.microsoft.com/fwlink/?linkid=868812." TargetMode="External" /><Relationship Id="rId183" Type="http://schemas.openxmlformats.org/officeDocument/2006/relationships/hyperlink" Target="https://go.microsoft.com/fwlink/?LinkId=521839" TargetMode="External" /><Relationship Id="rId184" Type="http://schemas.openxmlformats.org/officeDocument/2006/relationships/hyperlink" Target="https://learn.microsoft.com/microsoftteams/sms-microsoft-teams-policy." TargetMode="External" /><Relationship Id="rId185" Type="http://schemas.openxmlformats.org/officeDocument/2006/relationships/hyperlink" Target="http://licensetermsuat.azurewebsites.net/licensing/terms/product/ForallOnlineServices" TargetMode="External" /><Relationship Id="rId186" Type="http://schemas.openxmlformats.org/officeDocument/2006/relationships/hyperlink" Target="http://go.microsoft.com/?linkid=9839206" TargetMode="External" /><Relationship Id="rId187" Type="http://schemas.openxmlformats.org/officeDocument/2006/relationships/hyperlink" Target="http://azure.microsoft.com/en-us/regions/" TargetMode="External" /><Relationship Id="rId188" Type="http://schemas.openxmlformats.org/officeDocument/2006/relationships/hyperlink" Target="https://aka.ms/r1j7jq" TargetMode="External" /><Relationship Id="rId189" Type="http://schemas.openxmlformats.org/officeDocument/2006/relationships/hyperlink" Target="https://licensingterms.azurewebsites.net/licensing/terms/product/CALandMLEquivalencyLicenses" TargetMode="External" /><Relationship Id="rId19" Type="http://schemas.openxmlformats.org/officeDocument/2006/relationships/header" Target="header7.xml" /><Relationship Id="rId190" Type="http://schemas.openxmlformats.org/officeDocument/2006/relationships/hyperlink" Target="https://licensingterms.azurewebsites.net/licensing/terms/product/PrivacyandSecurityTerms" TargetMode="External" /><Relationship Id="rId191" Type="http://schemas.openxmlformats.org/officeDocument/2006/relationships/hyperlink" Target="https://aka.ms/DragonIntendedUse" TargetMode="External" /><Relationship Id="rId192" Type="http://schemas.openxmlformats.org/officeDocument/2006/relationships/hyperlink" Target="https://www.microsoft.com/en-us/licensing/licensing-programs/software-assurance-license-mobility" TargetMode="External" /><Relationship Id="rId193" Type="http://schemas.openxmlformats.org/officeDocument/2006/relationships/hyperlink" Target="http://www.microsoft.com/licensing/contracts" TargetMode="External" /><Relationship Id="rId194" Type="http://schemas.openxmlformats.org/officeDocument/2006/relationships/hyperlink" Target="http://aka.ms/listedproviders" TargetMode="External" /><Relationship Id="rId195" Type="http://schemas.openxmlformats.org/officeDocument/2006/relationships/hyperlink" Target="http://azure.microsoft.com/services/" TargetMode="External" /><Relationship Id="rId196" Type="http://schemas.openxmlformats.org/officeDocument/2006/relationships/hyperlink" Target="https://licensingterms.azurewebsites.net/licensing/terms/product/Promotions/all" TargetMode="External" /><Relationship Id="rId197" Type="http://schemas.openxmlformats.org/officeDocument/2006/relationships/hyperlink" Target="https://www.aka.ms/HEVCVirtualPatentMarking" TargetMode="External" /><Relationship Id="rId198" Type="http://schemas.openxmlformats.org/officeDocument/2006/relationships/hyperlink" Target="http://www.mpegla.com" TargetMode="External" /><Relationship Id="rId199" Type="http://schemas.openxmlformats.org/officeDocument/2006/relationships/hyperlink" Target="https://www.microsoft.com/en-us/microsoftservices/support-consulting-services-description"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www.microsoft.com/unified-support-services-description" TargetMode="External" /><Relationship Id="rId201" Type="http://schemas.openxmlformats.org/officeDocument/2006/relationships/hyperlink" Target="https://www.microsoft.com/en-us/microsoftservices/description-of-services" TargetMode="External" /><Relationship Id="rId202" Type="http://schemas.openxmlformats.org/officeDocument/2006/relationships/hyperlink" Target="https://www.linkedin.com/legal/l/lsa" TargetMode="External" /><Relationship Id="rId203" Type="http://schemas.openxmlformats.org/officeDocument/2006/relationships/hyperlink" Target="https://www.microsoft.com/licensing/terms/product/PurchasingandRenewingSoftwareAssurance" TargetMode="External" /><Relationship Id="rId204" Type="http://schemas.openxmlformats.org/officeDocument/2006/relationships/hyperlink" Target="http://www.microsoft.com/licensing" TargetMode="External" /><Relationship Id="rId205" Type="http://schemas.openxmlformats.org/officeDocument/2006/relationships/hyperlink" Target="https://aka.ms/workplacediscountprogram." TargetMode="External" /><Relationship Id="rId206" Type="http://schemas.openxmlformats.org/officeDocument/2006/relationships/hyperlink" Target="https://aka.ms/licensingbrief-stepups" TargetMode="External" /><Relationship Id="rId207" Type="http://schemas.openxmlformats.org/officeDocument/2006/relationships/hyperlink" Target="http://www.microsoft.com/licensing/software-assurance/license-mobility.aspx" TargetMode="External" /><Relationship Id="rId208" Type="http://schemas.openxmlformats.org/officeDocument/2006/relationships/hyperlink" Target="https://docs.microsoft.com/azure/databox/data-box-hardware-additional-terms" TargetMode="External" /><Relationship Id="rId209" Type="http://schemas.openxmlformats.org/officeDocument/2006/relationships/hyperlink" Target="https://azure.microsoft.com/support/legal/" TargetMode="External" /><Relationship Id="rId21" Type="http://schemas.openxmlformats.org/officeDocument/2006/relationships/hyperlink" Target="https://www.microsoft.com/licensing/terms/feed/rss" TargetMode="External" /><Relationship Id="rId210" Type="http://schemas.openxmlformats.org/officeDocument/2006/relationships/hyperlink" Target="https://docs.microsoft.com/azure/databox-online/azure-stack-edge-add-hardware-terms" TargetMode="External" /><Relationship Id="rId211" Type="http://schemas.openxmlformats.org/officeDocument/2006/relationships/hyperlink" Target="https://azure.microsoft.com/products/azure-stack/edge/" TargetMode="External" /><Relationship Id="rId212" Type="http://schemas.openxmlformats.org/officeDocument/2006/relationships/hyperlink" Target="https://aka.ms/azurestackhub" TargetMode="External" /><Relationship Id="rId213" Type="http://schemas.openxmlformats.org/officeDocument/2006/relationships/hyperlink" Target="https://azure.microsoft.com/en-us/overview/azure-stack/" TargetMode="External" /><Relationship Id="rId214" Type="http://schemas.openxmlformats.org/officeDocument/2006/relationships/hyperlink" Target="https://azure.microsoft.com/en-us/support/legal/" TargetMode="External" /><Relationship Id="rId215" Type="http://schemas.openxmlformats.org/officeDocument/2006/relationships/hyperlink" Target="http://www.microsoft.com/privacystatement/OnlineServices/Default.aspx" TargetMode="External" /><Relationship Id="rId216" Type="http://schemas.openxmlformats.org/officeDocument/2006/relationships/hyperlink" Target="http://go.microsoft.com/?linkid=9840733" TargetMode="External" /><Relationship Id="rId217" Type="http://schemas.openxmlformats.org/officeDocument/2006/relationships/hyperlink" Target="https://www.microsoft.com/licensing/terms/product/ForallOnlineServices/all" TargetMode="External" /><Relationship Id="rId218" Type="http://schemas.openxmlformats.org/officeDocument/2006/relationships/hyperlink" Target="https://www.microsoft.com/licensing/terms/productoffering/ExchangeOnline" TargetMode="External" /><Relationship Id="rId219" Type="http://schemas.openxmlformats.org/officeDocument/2006/relationships/hyperlink" Target="https://www.microsoft.com/licensing/terms/productoffering/MicrosoftCloudAppSecurity" TargetMode="External" /><Relationship Id="rId22" Type="http://schemas.openxmlformats.org/officeDocument/2006/relationships/hyperlink" Target="https://www.microsoft.com/licensing/terms/productoffering/MicrosoftPowerPlatform" TargetMode="External" /><Relationship Id="rId220" Type="http://schemas.openxmlformats.org/officeDocument/2006/relationships/hyperlink" Target="https://www.microsoft.com/licensing/terms/productoffering/MicrosoftDefenderExpertsforHunting" TargetMode="External" /><Relationship Id="rId221" Type="http://schemas.openxmlformats.org/officeDocument/2006/relationships/hyperlink" Target="https://www.microsoft.com/licensing/terms/productoffering/MicrosoftDefenderforEndpoint" TargetMode="External" /><Relationship Id="rId222" Type="http://schemas.openxmlformats.org/officeDocument/2006/relationships/hyperlink" Target="https://www.microsoft.com/licensing/terms/productoffering/ForefrontIdentityManager" TargetMode="External" /><Relationship Id="rId223" Type="http://schemas.openxmlformats.org/officeDocument/2006/relationships/hyperlink" Target="https://www.microsoft.com/licensing/terms/productoffering/MicrosoftIdentityManager" TargetMode="External" /><Relationship Id="rId224" Type="http://schemas.openxmlformats.org/officeDocument/2006/relationships/hyperlink" Target="https://www.microsoft.com/licensing/terms/productoffering/MicrosoftIntune" TargetMode="External" /><Relationship Id="rId225" Type="http://schemas.openxmlformats.org/officeDocument/2006/relationships/hyperlink" Target="https://www.microsoft.com/licensing/terms/productoffering/EnterpriseMobilitySecurity" TargetMode="External" /><Relationship Id="rId226" Type="http://schemas.openxmlformats.org/officeDocument/2006/relationships/header" Target="header8.xml" /><Relationship Id="rId227" Type="http://schemas.openxmlformats.org/officeDocument/2006/relationships/footer" Target="footer8.xml" /><Relationship Id="rId228" Type="http://schemas.openxmlformats.org/officeDocument/2006/relationships/theme" Target="theme/theme1.xml" /><Relationship Id="rId229" Type="http://schemas.openxmlformats.org/officeDocument/2006/relationships/numbering" Target="numbering.xml" /><Relationship Id="rId23" Type="http://schemas.openxmlformats.org/officeDocument/2006/relationships/hyperlink" Target="https://www.microsoft.com/licensing/terms/productoffering/Microsoft365" TargetMode="External" /><Relationship Id="rId230" Type="http://schemas.openxmlformats.org/officeDocument/2006/relationships/styles" Target="styles.xml" /><Relationship Id="rId24" Type="http://schemas.openxmlformats.org/officeDocument/2006/relationships/hyperlink" Target="https://www.microsoft.com/licensing/terms/product/changes/Microsoft%20Dragon%20Copilot" TargetMode="External" /><Relationship Id="rId25" Type="http://schemas.openxmlformats.org/officeDocument/2006/relationships/hyperlink" Target="https://www.microsoft.com/licensing/terms/product/ForOnlineServices" TargetMode="External" /><Relationship Id="rId26" Type="http://schemas.openxmlformats.org/officeDocument/2006/relationships/hyperlink" Target="https://www.microsoft.com/licensing/terms/product/PrivacyandSecurityTerms" TargetMode="External" /><Relationship Id="rId27" Type="http://schemas.openxmlformats.org/officeDocument/2006/relationships/hyperlink" Target="https://www.microsoft.com/licensing/terms/productoffering/MicrosoftAzure" TargetMode="External" /><Relationship Id="rId28" Type="http://schemas.openxmlformats.org/officeDocument/2006/relationships/hyperlink" Target="https://www.microsoft.com/licensing/terms/productoffering/Glossary" TargetMode="External" /><Relationship Id="rId29" Type="http://schemas.openxmlformats.org/officeDocument/2006/relationships/hyperlink" Target="https://www.microsoft.com/licensing/terms/product/changes/Microsoft%20Defender%20Experts" TargetMode="External" /><Relationship Id="rId3" Type="http://schemas.openxmlformats.org/officeDocument/2006/relationships/fontTable" Target="fontTable.xml" /><Relationship Id="rId30" Type="http://schemas.openxmlformats.org/officeDocument/2006/relationships/hyperlink" Target="https://www.microsoft.com/licensing/terms/productoffering/AudioServices" TargetMode="External" /><Relationship Id="rId31" Type="http://schemas.openxmlformats.org/officeDocument/2006/relationships/hyperlink" Target="https://www.microsoft.com/licensing/terms/productoffering/MicrosoftDynamics365Services" TargetMode="External" /><Relationship Id="rId32" Type="http://schemas.openxmlformats.org/officeDocument/2006/relationships/hyperlink" Target="https://www.microsoft.com/licensing/terms/productoffering/DragonCopilot" TargetMode="External" /><Relationship Id="rId33" Type="http://schemas.openxmlformats.org/officeDocument/2006/relationships/hyperlink" Target="https://www.microsoft.com/licensing/terms/productoffering/Windows365" TargetMode="External" /><Relationship Id="rId34" Type="http://schemas.openxmlformats.org/officeDocument/2006/relationships/hyperlink" Target="https://www.microsoft.com/licensing/terms/productoffering/sqlserver" TargetMode="External" /><Relationship Id="rId35" Type="http://schemas.openxmlformats.org/officeDocument/2006/relationships/hyperlink" Target="https://www.microsoft.com/licensing/terms/productoffering/VisualStudioSubscriptions" TargetMode="External" /><Relationship Id="rId36" Type="http://schemas.openxmlformats.org/officeDocument/2006/relationships/hyperlink" Target="https://www.microsoft.com/licensing/terms/productoffering/otherlegalterms" TargetMode="External" /><Relationship Id="rId37" Type="http://schemas.openxmlformats.org/officeDocument/2006/relationships/hyperlink" Target="https://www.microsoft.com/licensing/terms/productoffering/ExchangeServer" TargetMode="External" /><Relationship Id="rId38" Type="http://schemas.openxmlformats.org/officeDocument/2006/relationships/hyperlink" Target="https://www.microsoft.com/licensing/terms/productoffering/WindowsDesktopOperatingSystem" TargetMode="External" /><Relationship Id="rId39" Type="http://schemas.openxmlformats.org/officeDocument/2006/relationships/hyperlink" Target="https://www.microsoft.com/licensing/terms/productoffering/SkypeforBusinessServer" TargetMode="External" /><Relationship Id="rId4" Type="http://schemas.openxmlformats.org/officeDocument/2006/relationships/image" Target="media/image1.png" /><Relationship Id="rId40" Type="http://schemas.openxmlformats.org/officeDocument/2006/relationships/hyperlink" Target="Microsoft 365" TargetMode="External" /><Relationship Id="rId41" Type="http://schemas.openxmlformats.org/officeDocument/2006/relationships/hyperlink" Target="Microsoft Defender Experts" TargetMode="External" /><Relationship Id="rId42" Type="http://schemas.openxmlformats.org/officeDocument/2006/relationships/hyperlink" Target="https://www.microsoft.com/licensing/terms/product/CALandMLEquivalencyLicenses" TargetMode="External" /><Relationship Id="rId43" Type="http://schemas.openxmlformats.org/officeDocument/2006/relationships/hyperlink" Target="https://www.microsoft.com/licensing/terms/product/Glossary" TargetMode="External" /><Relationship Id="rId44" Type="http://schemas.openxmlformats.org/officeDocument/2006/relationships/hyperlink" Target="https://www.microsoft.com/licensing/terms/productoffering/Microsoft365Applications" TargetMode="External" /><Relationship Id="rId45" Type="http://schemas.openxmlformats.org/officeDocument/2006/relationships/hyperlink" Target="https://www.microsoft.com/licensing/terms/productoffering/WorkplaceAnalytics" TargetMode="External" /><Relationship Id="rId46" Type="http://schemas.openxmlformats.org/officeDocument/2006/relationships/hyperlink" Target="https://www.microsoft.com/licensing/terms/product/ForOnlineServices/" TargetMode="External" /><Relationship Id="rId47" Type="http://schemas.openxmlformats.org/officeDocument/2006/relationships/hyperlink" Target="https://www.microsoft.com/licensing/terms/productoffering/Microsoft365/MCA" TargetMode="External" /><Relationship Id="rId48" Type="http://schemas.openxmlformats.org/officeDocument/2006/relationships/hyperlink" Target="https://www.microsoft.com/licensing/terms/product/ProfessionalServices" TargetMode="External" /><Relationship Id="rId49" Type="http://schemas.openxmlformats.org/officeDocument/2006/relationships/hyperlink" Target="https://licensingterms.azurewebsites.net/licensing/terms/product/Glossary" TargetMode="External" /><Relationship Id="rId5" Type="http://schemas.openxmlformats.org/officeDocument/2006/relationships/header" Target="header1.xml" /><Relationship Id="rId50" Type="http://schemas.openxmlformats.org/officeDocument/2006/relationships/hyperlink" Target="https://licensingterms.azurewebsites.net/licensing/terms/product/ProfessionalServices" TargetMode="External" /><Relationship Id="rId51" Type="http://schemas.openxmlformats.org/officeDocument/2006/relationships/hyperlink" Target="https://aka.ms/CSLA" TargetMode="External" /><Relationship Id="rId52" Type="http://schemas.openxmlformats.org/officeDocument/2006/relationships/hyperlink" Target="https://aka.ms/SubscriptionSuites" TargetMode="External" /><Relationship Id="rId53" Type="http://schemas.openxmlformats.org/officeDocument/2006/relationships/hyperlink" Target="https://aka.ms/AI-CoC" TargetMode="External" /><Relationship Id="rId54" Type="http://schemas.openxmlformats.org/officeDocument/2006/relationships/hyperlink" Target="https://www.microsoft.com/licensing/terms/product/ForOnlineServices/all" TargetMode="External" /><Relationship Id="rId55" Type="http://schemas.openxmlformats.org/officeDocument/2006/relationships/hyperlink" Target="http://aka.ms/DPA" TargetMode="External" /><Relationship Id="rId56" Type="http://schemas.openxmlformats.org/officeDocument/2006/relationships/hyperlink" Target="https://www.microsoft.com/licensing/terms/product/PrivacyandSecurityTerms/all" TargetMode="External" /><Relationship Id="rId57" Type="http://schemas.openxmlformats.org/officeDocument/2006/relationships/hyperlink" Target="https://learn.microsoft.com/lifecycle/products/" TargetMode="External" /><Relationship Id="rId58" Type="http://schemas.openxmlformats.org/officeDocument/2006/relationships/hyperlink" Target="https://www.aka.ms/DPA" TargetMode="External" /><Relationship Id="rId59" Type="http://schemas.openxmlformats.org/officeDocument/2006/relationships/hyperlink" Target="https://www.microsoft.com/servicesagreement/" TargetMode="External" /><Relationship Id="rId6" Type="http://schemas.openxmlformats.org/officeDocument/2006/relationships/header" Target="header2.xml" /><Relationship Id="rId60" Type="http://schemas.openxmlformats.org/officeDocument/2006/relationships/hyperlink" Target="https://privacy.microsoft.com/privacystatement" TargetMode="External" /><Relationship Id="rId61" Type="http://schemas.openxmlformats.org/officeDocument/2006/relationships/hyperlink" Target="https://www.bingmapsportal.com/terms/EndUserTerms" TargetMode="External" /><Relationship Id="rId62" Type="http://schemas.openxmlformats.org/officeDocument/2006/relationships/hyperlink" Target="https://go.microsoft.com/fwlink/?linkid=870295" TargetMode="External" /><Relationship Id="rId63" Type="http://schemas.openxmlformats.org/officeDocument/2006/relationships/hyperlink" Target="https://www.microsoft.com/licensing/terms/productoffering/MicrosoftAzure/EAEAS" TargetMode="External" /><Relationship Id="rId64" Type="http://schemas.openxmlformats.org/officeDocument/2006/relationships/hyperlink" Target="https://learn.microsoft.com/legal/cognitive-services/openai/customer-copyright-commitment" TargetMode="External" /><Relationship Id="rId65" Type="http://schemas.openxmlformats.org/officeDocument/2006/relationships/hyperlink" Target="https://docs.microsoft.com/azure/active-directory/fundamentals/active-directory-whatis" TargetMode="External" /><Relationship Id="rId66" Type="http://schemas.openxmlformats.org/officeDocument/2006/relationships/hyperlink" Target="https://www.microsoft.com/en-us/microsoft-365/business/international-availability" TargetMode="External" /><Relationship Id="rId67" Type="http://schemas.openxmlformats.org/officeDocument/2006/relationships/hyperlink" Target="https://learn.microsoft.com/microsoft-365/commerce/subscriptions/renew-your-subscription" TargetMode="External" /><Relationship Id="rId68" Type="http://schemas.openxmlformats.org/officeDocument/2006/relationships/hyperlink" Target="https://licensingterms.azurewebsites.net/licensing/terms/productoffering/software" TargetMode="External" /><Relationship Id="rId69" Type="http://schemas.openxmlformats.org/officeDocument/2006/relationships/hyperlink" Target="https://licensingterms.azurewebsites.net/licensing/terms/product/Glossary/all" TargetMode="External" /><Relationship Id="rId7" Type="http://schemas.openxmlformats.org/officeDocument/2006/relationships/footer" Target="footer1.xml" /><Relationship Id="rId70" Type="http://schemas.openxmlformats.org/officeDocument/2006/relationships/hyperlink" Target="https://licensingterms.azurewebsites.net/licensing/terms/productoffering/WindowsDesktopOperatingSystem" TargetMode="External" /><Relationship Id="rId71" Type="http://schemas.openxmlformats.org/officeDocument/2006/relationships/hyperlink" Target="https://www.microsoft.com/maps/bing-maps/product/enduserterms" TargetMode="External" /><Relationship Id="rId72" Type="http://schemas.openxmlformats.org/officeDocument/2006/relationships/hyperlink" Target="https://www.aka.ms/privacy" TargetMode="External" /><Relationship Id="rId73" Type="http://schemas.openxmlformats.org/officeDocument/2006/relationships/hyperlink" Target="https://aka.ms/DPA" TargetMode="External" /><Relationship Id="rId74" Type="http://schemas.openxmlformats.org/officeDocument/2006/relationships/hyperlink" Target="https://aka.ms/actestprivacypolicy" TargetMode="External" /><Relationship Id="rId75" Type="http://schemas.openxmlformats.org/officeDocument/2006/relationships/hyperlink" Target="https://aka.ms/privacy" TargetMode="External" /><Relationship Id="rId76" Type="http://schemas.openxmlformats.org/officeDocument/2006/relationships/hyperlink" Target="https://software.broadinstitute.org/gatk/eula/index?p=Azure" TargetMode="External" /><Relationship Id="rId77" Type="http://schemas.openxmlformats.org/officeDocument/2006/relationships/hyperlink" Target="https://docs.broadcom.com/doc/global-customers-dpa" TargetMode="External" /><Relationship Id="rId78" Type="http://schemas.openxmlformats.org/officeDocument/2006/relationships/hyperlink" Target="https://aka.ms/github_privacy" TargetMode="External" /><Relationship Id="rId79" Type="http://schemas.openxmlformats.org/officeDocument/2006/relationships/hyperlink" Target="https://aka.ms/github_dpa" TargetMode="External" /><Relationship Id="rId8" Type="http://schemas.openxmlformats.org/officeDocument/2006/relationships/footer" Target="footer2.xml" /><Relationship Id="rId80" Type="http://schemas.openxmlformats.org/officeDocument/2006/relationships/hyperlink" Target="https://www.linkedin.com/legal/preview/user-agreement" TargetMode="External" /><Relationship Id="rId81" Type="http://schemas.openxmlformats.org/officeDocument/2006/relationships/hyperlink" Target="https://www.linkedin.com/legal/privacy-policy" TargetMode="External" /><Relationship Id="rId82" Type="http://schemas.openxmlformats.org/officeDocument/2006/relationships/hyperlink" Target="https://legal.linkedin.com/dpa" TargetMode="External" /><Relationship Id="rId83" Type="http://schemas.openxmlformats.org/officeDocument/2006/relationships/hyperlink" Target="http://aka.ms/BAA" TargetMode="External" /><Relationship Id="rId84" Type="http://schemas.openxmlformats.org/officeDocument/2006/relationships/hyperlink" Target="https://aka.ms/DragonData." TargetMode="External" /><Relationship Id="rId85" Type="http://schemas.openxmlformats.org/officeDocument/2006/relationships/hyperlink" Target="https://aka.ms/DragonSubprocessors" TargetMode="External" /><Relationship Id="rId86" Type="http://schemas.openxmlformats.org/officeDocument/2006/relationships/hyperlink" Target="https://docs.microsoft.com/visualstudio/ide/reference/connected-experiences?view=vs-2019" TargetMode="External" /><Relationship Id="rId87" Type="http://schemas.openxmlformats.org/officeDocument/2006/relationships/hyperlink" Target="http://www.aka.ms/wddprocessor" TargetMode="External" /><Relationship Id="rId88" Type="http://schemas.openxmlformats.org/officeDocument/2006/relationships/hyperlink" Target="http://www.aka.ms/privacy" TargetMode="External" /><Relationship Id="rId89" Type="http://schemas.openxmlformats.org/officeDocument/2006/relationships/hyperlink" Target="http://www.aka.ms/DPA" TargetMode="External" /><Relationship Id="rId9" Type="http://schemas.openxmlformats.org/officeDocument/2006/relationships/header" Target="header3.xml" /><Relationship Id="rId90" Type="http://schemas.openxmlformats.org/officeDocument/2006/relationships/hyperlink" Target="https://aka.ms/adroverview" TargetMode="External" /><Relationship Id="rId91" Type="http://schemas.openxmlformats.org/officeDocument/2006/relationships/hyperlink" Target="https://learn.microsoft.com/intune/intune-service/protect/privacy-data-store-process" TargetMode="External" /><Relationship Id="rId92" Type="http://schemas.openxmlformats.org/officeDocument/2006/relationships/hyperlink" Target="https://azure.microsoft.com/explore/global-infrastructure/products-by-region/table" TargetMode="External" /><Relationship Id="rId93" Type="http://schemas.openxmlformats.org/officeDocument/2006/relationships/hyperlink" Target="https://www.microsoft.com/trust-center" TargetMode="External" /><Relationship Id="rId94" Type="http://schemas.openxmlformats.org/officeDocument/2006/relationships/hyperlink" Target="https://azure.microsoft.com/explore/global-infrastructure/data-residency" TargetMode="External" /><Relationship Id="rId95" Type="http://schemas.openxmlformats.org/officeDocument/2006/relationships/hyperlink" Target="https://learn.microsoft.com/privacy/eudb/eu-data-boundary-configure-azure-nonregional-services" TargetMode="External" /><Relationship Id="rId96" Type="http://schemas.openxmlformats.org/officeDocument/2006/relationships/hyperlink" Target="https://learn.microsoft.com/en-us/microsoft-365/enterprise/microsoft-365-multi-geo" TargetMode="External" /><Relationship Id="rId97" Type="http://schemas.openxmlformats.org/officeDocument/2006/relationships/hyperlink" Target="https://learn.microsoft.com/microsoft-365/enterprise/microsoft-365-multi-geo?view=o365-worldwide" TargetMode="External" /><Relationship Id="rId98" Type="http://schemas.openxmlformats.org/officeDocument/2006/relationships/hyperlink" Target="https://learn.microsoft.com/en-us/privacy/eudb/eu-data-boundary-learn" TargetMode="External" /><Relationship Id="rId99" Type="http://schemas.openxmlformats.org/officeDocument/2006/relationships/hyperlink" Target="https://learn.microsoft.com/" TargetMode="Externa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201</Pages>
  <Words>5295</Words>
  <Characters>30183</Characters>
  <Application>Microsoft Office Word</Application>
  <DocSecurity>8</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pplication">
    <vt:lpwstr>Microsoft Azure Information Protection</vt:lpwstr>
  </property>
  <property fmtid="{D5CDD505-2E9C-101B-9397-08002B2CF9AE}" pid="3" name="MSIP_Label_f42aa342-8706-4288-bd11-ebb85995028c_Enabled">
    <vt:lpwstr>True</vt:lpwstr>
  </property>
  <property fmtid="{D5CDD505-2E9C-101B-9397-08002B2CF9AE}" pid="4" name="MSIP_Label_f42aa342-8706-4288-bd11-ebb85995028c_Extended_MSFT_Method">
    <vt:lpwstr>Automatic</vt:lpwstr>
  </property>
  <property fmtid="{D5CDD505-2E9C-101B-9397-08002B2CF9AE}" pid="5" name="MSIP_Label_f42aa342-8706-4288-bd11-ebb85995028c_Name">
    <vt:lpwstr>General</vt:lpwstr>
  </property>
  <property fmtid="{D5CDD505-2E9C-101B-9397-08002B2CF9AE}" pid="6" name="MSIP_Label_f42aa342-8706-4288-bd11-ebb85995028c_Owner">
    <vt:lpwstr>v-smparm@microsoft.com</vt:lpwstr>
  </property>
  <property fmtid="{D5CDD505-2E9C-101B-9397-08002B2CF9AE}" pid="7" name="MSIP_Label_f42aa342-8706-4288-bd11-ebb85995028c_SetDate">
    <vt:lpwstr>2018-12-21T07:29:12.7237294Z</vt:lpwstr>
  </property>
  <property fmtid="{D5CDD505-2E9C-101B-9397-08002B2CF9AE}" pid="8" name="MSIP_Label_f42aa342-8706-4288-bd11-ebb85995028c_SiteId">
    <vt:lpwstr>72f988bf-86f1-41af-91ab-2d7cd011db47</vt:lpwstr>
  </property>
  <property fmtid="{D5CDD505-2E9C-101B-9397-08002B2CF9AE}" pid="9" name="Sensitivity">
    <vt:lpwstr>General</vt:lpwstr>
  </property>
</Properties>
</file>