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B8CB" w14:textId="77777777" w:rsidR="001D220E" w:rsidRDefault="00000000">
      <w:pPr>
        <w:rPr>
          <w:b/>
          <w:color w:val="595959"/>
          <w:sz w:val="40"/>
          <w:szCs w:val="40"/>
        </w:rPr>
      </w:pPr>
      <w:bookmarkStart w:id="0" w:name="_c3ivzn9qhfz6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11311C8" wp14:editId="74E0FF58">
            <wp:simplePos x="0" y="0"/>
            <wp:positionH relativeFrom="column">
              <wp:posOffset>3794716</wp:posOffset>
            </wp:positionH>
            <wp:positionV relativeFrom="paragraph">
              <wp:posOffset>-247207</wp:posOffset>
            </wp:positionV>
            <wp:extent cx="983050" cy="98964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050" cy="989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26035D" w14:textId="77777777" w:rsidR="001D220E" w:rsidRDefault="00000000">
      <w:pPr>
        <w:rPr>
          <w:b/>
          <w:color w:val="808080"/>
          <w:sz w:val="36"/>
          <w:szCs w:val="36"/>
        </w:rPr>
      </w:pPr>
      <w:bookmarkStart w:id="1" w:name="_v00si68orv7k" w:colFirst="0" w:colLast="0"/>
      <w:bookmarkEnd w:id="1"/>
      <w:r>
        <w:rPr>
          <w:b/>
          <w:color w:val="595959"/>
          <w:sz w:val="40"/>
          <w:szCs w:val="40"/>
        </w:rPr>
        <w:t>PROJECT CHARTER</w:t>
      </w:r>
    </w:p>
    <w:p w14:paraId="275BC26E" w14:textId="77777777" w:rsidR="001D220E" w:rsidRDefault="0000000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GENERAL PROJECT INFORMATION</w:t>
      </w:r>
    </w:p>
    <w:tbl>
      <w:tblPr>
        <w:tblStyle w:val="a5"/>
        <w:tblW w:w="1459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860"/>
        <w:gridCol w:w="3315"/>
        <w:gridCol w:w="3255"/>
        <w:gridCol w:w="3165"/>
      </w:tblGrid>
      <w:tr w:rsidR="001D220E" w14:paraId="2E84079E" w14:textId="77777777">
        <w:trPr>
          <w:trHeight w:val="359"/>
        </w:trPr>
        <w:tc>
          <w:tcPr>
            <w:tcW w:w="8175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63EBFEB" w14:textId="77777777" w:rsidR="001D220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0555890" w14:textId="77777777" w:rsidR="001D220E" w:rsidRDefault="00000000">
            <w:pPr>
              <w:jc w:val="center"/>
              <w:rPr>
                <w:color w:val="000000"/>
              </w:rPr>
            </w:pPr>
            <w:r>
              <w:t>COURSE PROFESSOR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5335D02" w14:textId="77777777" w:rsidR="001D220E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PROJECT PI/SPONSOR</w:t>
            </w:r>
          </w:p>
        </w:tc>
      </w:tr>
      <w:tr w:rsidR="001D220E" w14:paraId="51BC4886" w14:textId="77777777">
        <w:trPr>
          <w:trHeight w:val="576"/>
        </w:trPr>
        <w:tc>
          <w:tcPr>
            <w:tcW w:w="8175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8" w:space="0" w:color="BFBFBF"/>
            </w:tcBorders>
            <w:shd w:val="clear" w:color="auto" w:fill="F9F9F9"/>
            <w:vAlign w:val="center"/>
          </w:tcPr>
          <w:p w14:paraId="1A2515D6" w14:textId="0BC2D1D9" w:rsidR="001D220E" w:rsidRDefault="00E86F67">
            <w:pPr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DroneRanger Hardware</w:t>
            </w:r>
          </w:p>
        </w:tc>
        <w:tc>
          <w:tcPr>
            <w:tcW w:w="3255" w:type="dxa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BC379A0" w14:textId="728212E6" w:rsidR="001D220E" w:rsidRDefault="00E86F67">
            <w:pPr>
              <w:jc w:val="center"/>
              <w:rPr>
                <w:color w:val="000000"/>
                <w:sz w:val="24"/>
                <w:szCs w:val="24"/>
              </w:rPr>
            </w:pPr>
            <w:r w:rsidRPr="00E86F67">
              <w:rPr>
                <w:color w:val="000000"/>
                <w:sz w:val="24"/>
                <w:szCs w:val="24"/>
              </w:rPr>
              <w:t>Tehmina Amjad</w:t>
            </w:r>
          </w:p>
        </w:tc>
        <w:tc>
          <w:tcPr>
            <w:tcW w:w="3165" w:type="dxa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351DC285" w14:textId="00C3EAAE" w:rsidR="001D220E" w:rsidRDefault="00E86F67">
            <w:pPr>
              <w:jc w:val="center"/>
              <w:rPr>
                <w:color w:val="000000"/>
                <w:sz w:val="24"/>
                <w:szCs w:val="24"/>
              </w:rPr>
            </w:pPr>
            <w:r w:rsidRPr="00E86F67">
              <w:rPr>
                <w:color w:val="000000"/>
                <w:sz w:val="24"/>
                <w:szCs w:val="24"/>
              </w:rPr>
              <w:t>Ilmi Yoon</w:t>
            </w:r>
          </w:p>
        </w:tc>
      </w:tr>
      <w:tr w:rsidR="001D220E" w14:paraId="660BEBB7" w14:textId="77777777">
        <w:trPr>
          <w:trHeight w:val="359"/>
        </w:trPr>
        <w:tc>
          <w:tcPr>
            <w:tcW w:w="4860" w:type="dxa"/>
            <w:tcBorders>
              <w:top w:val="single" w:sz="18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F371F36" w14:textId="77777777" w:rsidR="001D220E" w:rsidRDefault="00000000">
            <w:pPr>
              <w:rPr>
                <w:color w:val="000000"/>
              </w:rPr>
            </w:pPr>
            <w:r>
              <w:t xml:space="preserve">STUDENT </w:t>
            </w:r>
          </w:p>
        </w:tc>
        <w:tc>
          <w:tcPr>
            <w:tcW w:w="3315" w:type="dxa"/>
            <w:tcBorders>
              <w:top w:val="single" w:sz="18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0B52EFD" w14:textId="77777777" w:rsidR="001D220E" w:rsidRDefault="00000000">
            <w:pPr>
              <w:rPr>
                <w:color w:val="000000"/>
              </w:rPr>
            </w:pPr>
            <w:r>
              <w:t>EMAIL</w:t>
            </w:r>
          </w:p>
        </w:tc>
        <w:tc>
          <w:tcPr>
            <w:tcW w:w="6420" w:type="dxa"/>
            <w:gridSpan w:val="2"/>
            <w:tcBorders>
              <w:top w:val="single" w:sz="18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1D8679F" w14:textId="77777777" w:rsidR="001D220E" w:rsidRDefault="00000000">
            <w:pPr>
              <w:rPr>
                <w:color w:val="000000"/>
              </w:rPr>
            </w:pPr>
            <w:r>
              <w:t>Expertise</w:t>
            </w:r>
          </w:p>
        </w:tc>
      </w:tr>
      <w:tr w:rsidR="001D220E" w14:paraId="5A7648B3" w14:textId="77777777">
        <w:trPr>
          <w:trHeight w:val="390"/>
        </w:trPr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725ECB15" w14:textId="384AE67C" w:rsidR="001D220E" w:rsidRDefault="00E86F67">
            <w:pPr>
              <w:rPr>
                <w:rFonts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Jiarui Zha</w:t>
            </w:r>
          </w:p>
        </w:tc>
        <w:tc>
          <w:tcPr>
            <w:tcW w:w="3315" w:type="dxa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F7F9FB"/>
            <w:vAlign w:val="center"/>
          </w:tcPr>
          <w:p w14:paraId="39A1E249" w14:textId="7D2498FD" w:rsidR="001D220E" w:rsidRDefault="00E86F67">
            <w:pPr>
              <w:jc w:val="center"/>
              <w:rPr>
                <w:rFonts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zha.j@northeastern.edu</w:t>
            </w:r>
          </w:p>
        </w:tc>
        <w:tc>
          <w:tcPr>
            <w:tcW w:w="6420" w:type="dxa"/>
            <w:gridSpan w:val="2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EAEEF3"/>
            <w:vAlign w:val="center"/>
          </w:tcPr>
          <w:p w14:paraId="1272D587" w14:textId="3969A6B7" w:rsidR="001D220E" w:rsidRDefault="00E86F67">
            <w:pPr>
              <w:rPr>
                <w:rFonts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Northeastern University</w:t>
            </w:r>
          </w:p>
        </w:tc>
      </w:tr>
      <w:tr w:rsidR="001D220E" w14:paraId="64DD2EC6" w14:textId="77777777">
        <w:trPr>
          <w:trHeight w:val="359"/>
        </w:trPr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06CFDEC3" w14:textId="77777777" w:rsidR="001D220E" w:rsidRDefault="001D220E">
            <w:pPr>
              <w:rPr>
                <w:sz w:val="22"/>
                <w:szCs w:val="22"/>
              </w:rPr>
            </w:pPr>
          </w:p>
        </w:tc>
        <w:tc>
          <w:tcPr>
            <w:tcW w:w="3315" w:type="dxa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F7F9FB"/>
            <w:vAlign w:val="center"/>
          </w:tcPr>
          <w:p w14:paraId="6FA1893F" w14:textId="77777777" w:rsidR="001D220E" w:rsidRDefault="001D22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20" w:type="dxa"/>
            <w:gridSpan w:val="2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EAEEF3"/>
            <w:vAlign w:val="center"/>
          </w:tcPr>
          <w:p w14:paraId="231B2EC0" w14:textId="77777777" w:rsidR="001D220E" w:rsidRDefault="001D220E">
            <w:pPr>
              <w:rPr>
                <w:sz w:val="22"/>
                <w:szCs w:val="22"/>
              </w:rPr>
            </w:pPr>
          </w:p>
        </w:tc>
      </w:tr>
      <w:tr w:rsidR="001D220E" w14:paraId="436326D6" w14:textId="77777777">
        <w:trPr>
          <w:trHeight w:val="359"/>
        </w:trPr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14585685" w14:textId="77777777" w:rsidR="001D220E" w:rsidRDefault="001D220E">
            <w:pPr>
              <w:rPr>
                <w:sz w:val="22"/>
                <w:szCs w:val="22"/>
              </w:rPr>
            </w:pPr>
          </w:p>
        </w:tc>
        <w:tc>
          <w:tcPr>
            <w:tcW w:w="3315" w:type="dxa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F7F9FB"/>
            <w:vAlign w:val="center"/>
          </w:tcPr>
          <w:p w14:paraId="1BFBF812" w14:textId="77777777" w:rsidR="001D220E" w:rsidRDefault="001D220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20" w:type="dxa"/>
            <w:gridSpan w:val="2"/>
            <w:tcBorders>
              <w:top w:val="single" w:sz="4" w:space="0" w:color="BFBFBF"/>
              <w:left w:val="nil"/>
              <w:bottom w:val="single" w:sz="18" w:space="0" w:color="BFBFBF"/>
              <w:right w:val="single" w:sz="8" w:space="0" w:color="BFBFBF"/>
            </w:tcBorders>
            <w:shd w:val="clear" w:color="auto" w:fill="EAEEF3"/>
            <w:vAlign w:val="center"/>
          </w:tcPr>
          <w:p w14:paraId="2C689685" w14:textId="77777777" w:rsidR="001D220E" w:rsidRDefault="001D220E">
            <w:pPr>
              <w:rPr>
                <w:sz w:val="22"/>
                <w:szCs w:val="22"/>
              </w:rPr>
            </w:pPr>
          </w:p>
        </w:tc>
      </w:tr>
    </w:tbl>
    <w:p w14:paraId="4DD5B443" w14:textId="77777777" w:rsidR="001D220E" w:rsidRDefault="001D220E">
      <w:pPr>
        <w:rPr>
          <w:color w:val="000000"/>
        </w:rPr>
      </w:pPr>
    </w:p>
    <w:p w14:paraId="1A7143FC" w14:textId="77777777" w:rsidR="001D220E" w:rsidRDefault="00000000">
      <w:pP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PROJECT OVERVIEW</w:t>
      </w:r>
    </w:p>
    <w:tbl>
      <w:tblPr>
        <w:tblStyle w:val="a6"/>
        <w:tblW w:w="1460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1890"/>
        <w:gridCol w:w="12710"/>
      </w:tblGrid>
      <w:tr w:rsidR="001D220E" w14:paraId="7022ECD4" w14:textId="77777777">
        <w:trPr>
          <w:trHeight w:val="864"/>
        </w:trPr>
        <w:tc>
          <w:tcPr>
            <w:tcW w:w="189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vAlign w:val="center"/>
          </w:tcPr>
          <w:p w14:paraId="0649E5A1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PROBLEM </w:t>
            </w:r>
          </w:p>
          <w:p w14:paraId="5BFB051D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000925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Low-cost autonomous patrol drones could make residential security affordable, but only if the hardware is safe, reliable, and accurately positioned [1-3].</w:t>
            </w:r>
          </w:p>
          <w:p w14:paraId="446BA197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The Spring 2026 Drone Ranger prototype (Holybro X500 V2, Pixhawk 6C/PX4, Jetson Orin Nano, OAK-D Lite) has flown basic offboard missions, but it still has a power-wiring fire hazard, a fragile flight-controller link, up to 0.5 m altitude error, untested failsafes, and no approved autonomous outdoor flight [4-6].</w:t>
            </w:r>
          </w:p>
        </w:tc>
      </w:tr>
      <w:tr w:rsidR="001D220E" w14:paraId="6AF59267" w14:textId="7777777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vAlign w:val="center"/>
          </w:tcPr>
          <w:p w14:paraId="06E46C18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4137790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The hardware group will harden and integrate the Drone Ranger platform so it flies safely, reliably, and measurably outdoors: a rebuilt power system and flight-controller link, a downward rangefinder and improved GNSS fused in PX4's EKF2 estimator, verified failsafes, and a simulation twin for rehearsal [5-8].</w:t>
            </w:r>
          </w:p>
          <w:p w14:paraId="79DE948B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The semester ends with an approved autonomous waypoint patrol over a household garden near the Silicon Valley campus [14-16].</w:t>
            </w:r>
          </w:p>
        </w:tc>
      </w:tr>
      <w:tr w:rsidR="001D220E" w14:paraId="3FF20CEF" w14:textId="77777777">
        <w:trPr>
          <w:trHeight w:val="1277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vAlign w:val="center"/>
          </w:tcPr>
          <w:p w14:paraId="69FE67A3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DAB98C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Security and surveillance drones are a multi-billion-dollar market, estimated to grow 13-20% per year [9-10]. A residential patrol drone system costs about $10k [11], and enterprise patrol drones $15-25k each [12].</w:t>
            </w:r>
          </w:p>
          <w:p w14:paraId="650D07D3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Drone Ranger is built from about $1.5k of open parts. A safe, documented, outdoor-validated hardware baseline makes it a reusable testbed for the PI's lab and for the algorithm group's future autonomy work.</w:t>
            </w:r>
          </w:p>
        </w:tc>
      </w:tr>
      <w:tr w:rsidR="001D220E" w14:paraId="2695750E" w14:textId="7777777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vAlign w:val="center"/>
          </w:tcPr>
          <w:p w14:paraId="43E6FA26" w14:textId="77777777" w:rsidR="00073D13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GOALS / </w:t>
            </w:r>
          </w:p>
          <w:p w14:paraId="0F176F08" w14:textId="77777777" w:rsidR="00073D13" w:rsidRDefault="00073D13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METHODS /</w:t>
            </w:r>
          </w:p>
          <w:p w14:paraId="110B369D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METRICS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3ADB0E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Goal: </w:t>
            </w:r>
            <w:r>
              <w:rPr>
                <w:color w:val="000000"/>
              </w:rPr>
              <w:t>Deliver a hardened, outdoor-ready Drone Ranger platform and complete at least one approved autonomous garden-patrol flight by December 2026.</w:t>
            </w:r>
          </w:p>
          <w:p w14:paraId="4AF2A6DD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Methods: </w:t>
            </w:r>
            <w:r>
              <w:rPr>
                <w:color w:val="000000"/>
              </w:rPr>
              <w:t>Fused, insulated power distribution; FTDI serial link with a fixed PX4 port map; TFmini Plus rangefinder and relocated GNSS/compass (RTK if funded) fused in EKF2; RC kill switch plus geofence, return-to-launch, battery and link-loss failsafes; PX4 SITL rehearsal before every flight; staged tests from bench to indoor to outdoor O1 (manual) and O2 (PX4 Mission-mode patrol) [6-8], [13].</w:t>
            </w:r>
          </w:p>
          <w:p w14:paraId="59F85303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Metrics: </w:t>
            </w:r>
            <w:r>
              <w:rPr>
                <w:color w:val="000000"/>
              </w:rPr>
              <w:t>0 electrical incidents and 0 link drops; 100% of failsafes verified; hover altitude RMSE ≤ 0.15 m (from 0.5 m); waypoint error vs. surveyed ground markers measured and reported (≤ 0.3 m with RTK) [3]; ≥ 1 autonomous outdoor patrol loop (≥ 4 waypoints + return) with no pilot takeover; ≥ 10 min usable flight time.</w:t>
            </w:r>
          </w:p>
        </w:tc>
      </w:tr>
      <w:tr w:rsidR="001D220E" w14:paraId="7779FCCD" w14:textId="77777777">
        <w:trPr>
          <w:trHeight w:val="810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vAlign w:val="center"/>
          </w:tcPr>
          <w:p w14:paraId="4EB86131" w14:textId="77777777" w:rsidR="001D220E" w:rsidRDefault="0000000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757D1B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1. Hardened Platform: </w:t>
            </w:r>
            <w:r>
              <w:rPr>
                <w:color w:val="000000"/>
              </w:rPr>
              <w:t>Rebuilt power system, RC kill switch, and installed rangefinder, GNSS mast, and Remote ID module, with a wiring diagram and bill of materials.</w:t>
            </w:r>
          </w:p>
          <w:p w14:paraId="404D224A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2. Configuration &amp; Test Toolkit: </w:t>
            </w:r>
            <w:r>
              <w:rPr>
                <w:color w:val="000000"/>
              </w:rPr>
              <w:t>Versioned PX4 parameter file, SITL digital twin, one-command launch, and post-flight log-analysis scripts.</w:t>
            </w:r>
          </w:p>
          <w:p w14:paraId="6A295489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3. Outdoor Flight Package: </w:t>
            </w:r>
            <w:r>
              <w:rPr>
                <w:color w:val="000000"/>
              </w:rPr>
              <w:t>Approved flight-safety plan with homeowner permission, pre-flight checklists, compliance records, and O1/O2 flight logs and video.</w:t>
            </w:r>
          </w:p>
          <w:p w14:paraId="4E9CFBF0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4. Evaluation Report &amp; Handover: </w:t>
            </w:r>
            <w:r>
              <w:rPr>
                <w:color w:val="000000"/>
              </w:rPr>
              <w:t>Baseline-vs-final metrics and a handover guide, including the camera/TF interface for the algorithm group.</w:t>
            </w:r>
          </w:p>
        </w:tc>
      </w:tr>
    </w:tbl>
    <w:p w14:paraId="1DE443C7" w14:textId="77777777" w:rsidR="00FD3B27" w:rsidRDefault="00FD3B27">
      <w:pPr>
        <w:spacing w:line="276" w:lineRule="auto"/>
        <w:rPr>
          <w:color w:val="000000"/>
          <w:sz w:val="28"/>
          <w:szCs w:val="28"/>
        </w:rPr>
      </w:pPr>
    </w:p>
    <w:p w14:paraId="5908F425" w14:textId="77777777" w:rsidR="001D220E" w:rsidRDefault="00000000">
      <w:pP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PROJECT SCOPE</w:t>
      </w:r>
    </w:p>
    <w:tbl>
      <w:tblPr>
        <w:tblStyle w:val="a7"/>
        <w:tblW w:w="1460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1806"/>
        <w:gridCol w:w="12794"/>
      </w:tblGrid>
      <w:tr w:rsidR="001D220E" w14:paraId="4E65D493" w14:textId="77777777">
        <w:trPr>
          <w:trHeight w:val="864"/>
        </w:trPr>
        <w:tc>
          <w:tcPr>
            <w:tcW w:w="1806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6D7A8"/>
            <w:vAlign w:val="center"/>
          </w:tcPr>
          <w:p w14:paraId="478B1AE3" w14:textId="77777777" w:rsidR="001D220E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6270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Hardware repair and integration on the existing X500 V2: power, wiring, flight-controller link, and sensors (TFmini Plus, GNSS/compass, Remote ID; RTK if funded).</w:t>
            </w:r>
          </w:p>
          <w:p w14:paraId="373432B6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PX4 configuration (ports, EKF2 sensor fusion, failsafes, geofence), PX4 SITL rehearsal, and flight-log analysis tools.</w:t>
            </w:r>
          </w:p>
          <w:p w14:paraId="688A49A8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Staged testing: bench → indoor regression → outdoor O1 (manual, at an approved field or the garden) → O2 (autonomous PX4 Mission-mode patrol) over a household garden.</w:t>
            </w:r>
          </w:p>
          <w:p w14:paraId="1C388E32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Daylight, visual-line-of-sight, low-altitude flights under NU UAS Review Board approval, FAA Part 107 and Remote ID, and California privacy law, with written homeowner permission and a geofence inside the property line [14-16].</w:t>
            </w:r>
          </w:p>
          <w:p w14:paraId="40B3D7AD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A documented depth-camera and TF interface handed to the algorithm group.</w:t>
            </w:r>
          </w:p>
        </w:tc>
      </w:tr>
      <w:tr w:rsidR="001D220E" w14:paraId="7139CB4C" w14:textId="77777777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6D7A8"/>
            <w:vAlign w:val="center"/>
          </w:tcPr>
          <w:p w14:paraId="3398E53E" w14:textId="77777777" w:rsidR="001D220E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9F4D33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Obstacle-avoidance, mapping, and path-planning algorithms (algorithm group), and ROS 2 offboard autonomy outdoors.</w:t>
            </w:r>
          </w:p>
          <w:p w14:paraId="7961508D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Flights beyond visual line of sight, at night, over people, or in controlled airspace without authorization.</w:t>
            </w:r>
          </w:p>
          <w:p w14:paraId="255C25D0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Multi-drone operation, learning-based control (RL / Isaac Sim), and custom flight-controller firmware.</w:t>
            </w:r>
          </w:p>
          <w:p w14:paraId="5B236850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Docking/charging stations, payloads, and product certification.</w:t>
            </w:r>
          </w:p>
          <w:p w14:paraId="7865B766" w14:textId="77777777" w:rsidR="003627C2" w:rsidRDefault="00000000">
            <w:pPr>
              <w:spacing w:before="20" w:after="60"/>
              <w:rPr>
                <w:color w:val="000000"/>
              </w:rPr>
            </w:pPr>
            <w:r>
              <w:rPr>
                <w:color w:val="000000"/>
              </w:rPr>
              <w:t>Recording or storing imagery of neighboring properties or bystanders.</w:t>
            </w:r>
          </w:p>
        </w:tc>
      </w:tr>
    </w:tbl>
    <w:p w14:paraId="51391D91" w14:textId="77777777" w:rsidR="001D220E" w:rsidRDefault="001D220E">
      <w:pPr>
        <w:rPr>
          <w:color w:val="000000"/>
        </w:rPr>
      </w:pPr>
    </w:p>
    <w:p w14:paraId="1730205D" w14:textId="77777777" w:rsidR="001D220E" w:rsidRDefault="00000000">
      <w:pPr>
        <w:spacing w:line="276" w:lineRule="auto"/>
        <w:rPr>
          <w:color w:val="000000"/>
        </w:rPr>
      </w:pPr>
      <w:r>
        <w:rPr>
          <w:color w:val="000000"/>
          <w:sz w:val="28"/>
          <w:szCs w:val="28"/>
        </w:rPr>
        <w:t>TENTATIVE SCHEDULE</w:t>
      </w:r>
    </w:p>
    <w:tbl>
      <w:tblPr>
        <w:tblStyle w:val="a8"/>
        <w:tblW w:w="1460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8183"/>
        <w:gridCol w:w="3257"/>
        <w:gridCol w:w="3160"/>
      </w:tblGrid>
      <w:tr w:rsidR="001D220E" w14:paraId="38DC7B7C" w14:textId="77777777">
        <w:trPr>
          <w:trHeight w:val="494"/>
        </w:trPr>
        <w:tc>
          <w:tcPr>
            <w:tcW w:w="8183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D6DCE4"/>
            <w:vAlign w:val="center"/>
          </w:tcPr>
          <w:p w14:paraId="2C565DB6" w14:textId="77777777" w:rsidR="001D220E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KEY MILESTONE</w:t>
            </w:r>
          </w:p>
        </w:tc>
        <w:tc>
          <w:tcPr>
            <w:tcW w:w="3257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auto" w:fill="D6DCE4"/>
            <w:vAlign w:val="center"/>
          </w:tcPr>
          <w:p w14:paraId="0855E55D" w14:textId="77777777" w:rsidR="001D220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auto" w:fill="D6DCE4"/>
            <w:vAlign w:val="center"/>
          </w:tcPr>
          <w:p w14:paraId="624CD6E2" w14:textId="77777777" w:rsidR="001D220E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FINISH</w:t>
            </w:r>
          </w:p>
        </w:tc>
      </w:tr>
      <w:tr w:rsidR="001D220E" w14:paraId="78E5B0A0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7D7A26A6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Form Project Team / Preliminary Review / Scope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5229B001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09/28/2026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24520064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10/04/2026</w:t>
            </w:r>
          </w:p>
        </w:tc>
      </w:tr>
      <w:tr w:rsidR="001D220E" w14:paraId="258462D4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1EB5E216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Finalize Project Plan / Charter / Kick Off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42AF387D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10/01/2026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5716ECB9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10/09/2026</w:t>
            </w:r>
          </w:p>
        </w:tc>
      </w:tr>
      <w:tr w:rsidR="001D220E" w14:paraId="5A84C4E9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62D02EE3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Define Phase (requirements, safety plan, UAS Review Board filing)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67A3AC6E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10/05/2026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0D1ADC5E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10/16/2026</w:t>
            </w:r>
          </w:p>
        </w:tc>
      </w:tr>
      <w:tr w:rsidR="001D220E" w14:paraId="37EB9599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3282F26A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Measurement Phase (power/link rebuild, SITL twin, indoor baseline)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649AA931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10/12/2026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1C59B118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10/30/2026</w:t>
            </w:r>
          </w:p>
        </w:tc>
      </w:tr>
      <w:tr w:rsidR="001D220E" w14:paraId="43671CCE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63D6EB0B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Analysis Phase (root causes, EKF2 and failsafe setup)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4703E461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10/26/2026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7B5D3FD7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11/06/2026</w:t>
            </w:r>
          </w:p>
        </w:tc>
      </w:tr>
      <w:tr w:rsidR="001D220E" w14:paraId="24BB86C7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65C8F4DC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Improvement Phase (sensor integration, outdoor O1 → O2)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69667695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11/02/2026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1AE02A17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12/04/2026</w:t>
            </w:r>
          </w:p>
        </w:tc>
      </w:tr>
      <w:tr w:rsidR="001D220E" w14:paraId="12B639FE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492E52A4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Phase (final metric runs, checklists)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112528F6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11/30/2026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59A10E80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12/15/2026</w:t>
            </w:r>
          </w:p>
        </w:tc>
      </w:tr>
      <w:tr w:rsidR="001D220E" w14:paraId="597443A0" w14:textId="77777777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EAEEF3"/>
            <w:vAlign w:val="center"/>
          </w:tcPr>
          <w:p w14:paraId="73DB718E" w14:textId="77777777" w:rsidR="001D220E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Project Summary Report and Close Out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44A03BD6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12/14/2026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9FB"/>
            <w:vAlign w:val="center"/>
          </w:tcPr>
          <w:p w14:paraId="52246645" w14:textId="77777777" w:rsidR="001D220E" w:rsidRDefault="0000000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12/25/2026</w:t>
            </w:r>
          </w:p>
        </w:tc>
      </w:tr>
    </w:tbl>
    <w:p w14:paraId="5C5333CE" w14:textId="77777777" w:rsidR="00D37BFD" w:rsidRDefault="00D37BFD">
      <w:pPr>
        <w:rPr>
          <w:b/>
          <w:color w:val="000000"/>
          <w:sz w:val="32"/>
          <w:szCs w:val="32"/>
        </w:rPr>
      </w:pPr>
    </w:p>
    <w:p w14:paraId="7EF74823" w14:textId="77777777" w:rsidR="00D37BFD" w:rsidRDefault="00D37BFD" w:rsidP="00D37BFD">
      <w:pP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REFERENCES</w:t>
      </w:r>
    </w:p>
    <w:p w14:paraId="6F9772E7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[1]</w:t>
      </w:r>
      <w:r>
        <w:rPr>
          <w:color w:val="000000"/>
        </w:rPr>
        <w:tab/>
        <w:t>N. Basilico, “Recent trends in robotic patrolling,” Current Robotics Reports, vol. 3, pp. 65–76, 2022, doi: 10.1007/s43154-022-00078-5.</w:t>
      </w:r>
    </w:p>
    <w:p w14:paraId="2020026E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ab/>
        <w:t>Y. Chang, Y. Cheng, U. Manzoor, and J. Murray, “A review of UAV autonomous navigation in GPS-denied environments,” Robotics and Autonomous Systems, vol. 170, Art. no. 104533, 2023, doi: 10.1016/j.robot.2023.104533.</w:t>
      </w:r>
    </w:p>
    <w:p w14:paraId="0709E8D7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ab/>
        <w:t>N. Joubert, J. L. E, D. B. Goldman, F. Berthouzoz, M. Roberts, J. A. Landay, and P. Hanrahan, “Towards a drone cinematographer: Guiding quadrotor cameras using visual composition principles,” arXiv:1610.01691, 2016.</w:t>
      </w:r>
    </w:p>
    <w:p w14:paraId="22364065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[4]</w:t>
      </w:r>
      <w:r>
        <w:rPr>
          <w:color w:val="000000"/>
        </w:rPr>
        <w:tab/>
        <w:t>R. Yin, “Drone Project Technical Handover: PX4 / ROS 2 / OAK-D Lite autonomous flight and obstacle-aware planning system,” Northeastern University, internal technical report, 2026.</w:t>
      </w:r>
    </w:p>
    <w:p w14:paraId="165136B0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[5]</w:t>
      </w:r>
      <w:r>
        <w:rPr>
          <w:color w:val="000000"/>
        </w:rPr>
        <w:tab/>
        <w:t>NVIDIA, “Jetson Orin Nano Developer Kit Carrier Board Specification,” SP-11324-001_v1.3, Dec. 2024.</w:t>
      </w:r>
    </w:p>
    <w:p w14:paraId="44ABC92A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[6]</w:t>
      </w:r>
      <w:r>
        <w:rPr>
          <w:color w:val="000000"/>
        </w:rPr>
        <w:tab/>
        <w:t>PX4 Autopilot, “PX4 User Guide (v1.17): EKF2, safety and failsafes, RTK GNSS, and Mission mode,” 2026. [Online]. Available: https://docs.px4.io/main/en/</w:t>
      </w:r>
    </w:p>
    <w:p w14:paraId="0D513830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[7]</w:t>
      </w:r>
      <w:r>
        <w:rPr>
          <w:color w:val="000000"/>
        </w:rPr>
        <w:tab/>
        <w:t>Benewake, “TFmini Plus LiDAR Module User Manual,” 2024.</w:t>
      </w:r>
    </w:p>
    <w:p w14:paraId="7FE53A70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[8]</w:t>
      </w:r>
      <w:r>
        <w:rPr>
          <w:color w:val="000000"/>
        </w:rPr>
        <w:tab/>
        <w:t>Holybro, “PX4 Development Kit – X500 v2,” 2026. [Online]. Available: https://holybro.com/products/px4-development-kit-x500-v2</w:t>
      </w:r>
    </w:p>
    <w:p w14:paraId="17FFD2F3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[9]</w:t>
      </w:r>
      <w:r>
        <w:rPr>
          <w:color w:val="000000"/>
        </w:rPr>
        <w:tab/>
        <w:t>MarketsandMarkets, “Surveillance and Security Drones Market – Global Forecast to 2031,” 2025. [Online]. Available: https://www.marketsandmarkets.com/Market-Reports/surveillance-security-drones-market-43310074.html</w:t>
      </w:r>
    </w:p>
    <w:p w14:paraId="4C4C7C48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[10]</w:t>
      </w:r>
      <w:r>
        <w:rPr>
          <w:color w:val="000000"/>
        </w:rPr>
        <w:tab/>
        <w:t>The Business Research Company, “Safety and Security Drones Global Market Report 2026,” 2026. [Online]. Available: https://www.thebusinessresearchcompany.com/report/safety-and-security-drones-global-market-report</w:t>
      </w:r>
    </w:p>
    <w:p w14:paraId="2D48C55A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[11]</w:t>
      </w:r>
      <w:r>
        <w:rPr>
          <w:color w:val="000000"/>
        </w:rPr>
        <w:tab/>
        <w:t>Engadget, “Sunflower’s $9,950 security drone aims to protect your home autonomously,” Jan. 7, 2020. [Online]. Available: https://www.engadget.com/2020-01-07-sunflower-residential-security-drone.html</w:t>
      </w:r>
    </w:p>
    <w:p w14:paraId="5BC7D673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[12]</w:t>
      </w:r>
      <w:r>
        <w:rPr>
          <w:color w:val="000000"/>
        </w:rPr>
        <w:tab/>
        <w:t>DroneXL, “Skydio X10: Specs, price, DFR programs and the X10D (2026),” 2026. [Online]. Available: https://dronexl.co/drone-companies/skydio/skydio-x10/</w:t>
      </w:r>
    </w:p>
    <w:p w14:paraId="1C7AE1EE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lastRenderedPageBreak/>
        <w:t>[13]</w:t>
      </w:r>
      <w:r>
        <w:rPr>
          <w:color w:val="000000"/>
        </w:rPr>
        <w:tab/>
        <w:t>A. Jacoff et al., “Standard Test Methods for Small Unmanned Aircraft Systems: Maneuvering (MAN 1-5) and Payload Functionality (PAY 1-5),” NIST / ASTM E54.09, 2019.</w:t>
      </w:r>
    </w:p>
    <w:p w14:paraId="313A2D5F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[14]</w:t>
      </w:r>
      <w:r>
        <w:rPr>
          <w:color w:val="000000"/>
        </w:rPr>
        <w:tab/>
        <w:t>Federal Aviation Administration, “14 CFR Part 107: Small Unmanned Aircraft Systems” and “Remote Identification of Drones,” 2026. [Online]. Available: https://www.ecfr.gov/current/title-14/chapter-I/subchapter-F/part-107</w:t>
      </w:r>
    </w:p>
    <w:p w14:paraId="1FEB5B0C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[15]</w:t>
      </w:r>
      <w:r>
        <w:rPr>
          <w:color w:val="000000"/>
        </w:rPr>
        <w:tab/>
        <w:t>Northeastern University, “Policy 615: Use of Unmanned Aircraft Systems” and “sUAS Guidelines,” rev. Sep. 30, 2025. [Online]. Available: https://policies.northeastern.edu/policy615</w:t>
      </w:r>
    </w:p>
    <w:p w14:paraId="2310A46B" w14:textId="77777777" w:rsidR="003627C2" w:rsidRDefault="00000000">
      <w:pPr>
        <w:spacing w:after="80"/>
        <w:ind w:left="540" w:hanging="540"/>
        <w:rPr>
          <w:color w:val="000000"/>
        </w:rPr>
      </w:pPr>
      <w:r>
        <w:rPr>
          <w:color w:val="000000"/>
        </w:rPr>
        <w:t>[16]</w:t>
      </w:r>
      <w:r>
        <w:rPr>
          <w:color w:val="000000"/>
        </w:rPr>
        <w:tab/>
        <w:t>California Civil Code §1708.8, “Physical invasion of privacy” (airspace provision added by AB 856, 2015). [Online]. Available: https://leginfo.legislature.ca.gov/faces/codes_displaySection.xhtml?lawCode=CIV&amp;sectionNum=1708.8</w:t>
      </w:r>
    </w:p>
    <w:sectPr w:rsidR="003627C2">
      <w:footerReference w:type="even" r:id="rId7"/>
      <w:footerReference w:type="default" r:id="rId8"/>
      <w:headerReference w:type="first" r:id="rId9"/>
      <w:pgSz w:w="15840" w:h="12240" w:orient="landscape"/>
      <w:pgMar w:top="459" w:right="720" w:bottom="189" w:left="576" w:header="720" w:footer="51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CCC1" w14:textId="77777777" w:rsidR="005D0788" w:rsidRDefault="005D0788">
      <w:r>
        <w:separator/>
      </w:r>
    </w:p>
  </w:endnote>
  <w:endnote w:type="continuationSeparator" w:id="0">
    <w:p w14:paraId="20175846" w14:textId="77777777" w:rsidR="005D0788" w:rsidRDefault="005D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9BF07565-43DB-4B12-8562-AC4E94038C47}"/>
    <w:embedBold r:id="rId2" w:fontKey="{8640D32F-3167-4DA3-B0C9-21568383456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A9314FF-1809-4156-AB6E-342C74CD91B1}"/>
    <w:embedItalic r:id="rId4" w:fontKey="{DEF0069D-5774-487C-A302-040D4B2796AA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1D99F1-225C-4693-82FA-9EF022DDA2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4646BD-2DEA-4EE4-BFE2-D3D42333A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15AE" w14:textId="77777777" w:rsidR="001D22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0538536" w14:textId="77777777" w:rsidR="001D220E" w:rsidRDefault="001D2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CDEFB" w14:textId="77777777" w:rsidR="001D220E" w:rsidRDefault="001D2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84825" w14:textId="77777777" w:rsidR="005D0788" w:rsidRDefault="005D0788">
      <w:r>
        <w:separator/>
      </w:r>
    </w:p>
  </w:footnote>
  <w:footnote w:type="continuationSeparator" w:id="0">
    <w:p w14:paraId="272A9DCC" w14:textId="77777777" w:rsidR="005D0788" w:rsidRDefault="005D0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3CC6" w14:textId="77777777" w:rsidR="001D220E" w:rsidRDefault="00000000">
    <w:pPr>
      <w:jc w:val="right"/>
      <w:rPr>
        <w:b/>
        <w:sz w:val="24"/>
        <w:szCs w:val="24"/>
      </w:rPr>
    </w:pPr>
    <w:r>
      <w:rPr>
        <w:b/>
        <w:sz w:val="24"/>
        <w:szCs w:val="24"/>
      </w:rPr>
      <w:t>CS 7980 Research Capstone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20E"/>
    <w:rsid w:val="00073D13"/>
    <w:rsid w:val="00156F49"/>
    <w:rsid w:val="001D220E"/>
    <w:rsid w:val="003627C2"/>
    <w:rsid w:val="005D0788"/>
    <w:rsid w:val="00AD2314"/>
    <w:rsid w:val="00CD375B"/>
    <w:rsid w:val="00D37BFD"/>
    <w:rsid w:val="00D6200D"/>
    <w:rsid w:val="00DF7718"/>
    <w:rsid w:val="00E86F67"/>
    <w:rsid w:val="00F26E9A"/>
    <w:rsid w:val="00F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A23A8"/>
  <w15:docId w15:val="{9FA62EBA-9331-3444-A85F-15C926D2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宋体" w:hAnsi="Century Gothic" w:cs="Century Gothi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mallCaps/>
      <w:color w:val="44546A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jc w:val="right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jc w:val="center"/>
      <w:outlineLvl w:val="2"/>
    </w:pPr>
    <w:rPr>
      <w:rFonts w:ascii="Arial" w:eastAsia="Arial" w:hAnsi="Arial" w:cs="Arial"/>
      <w:b/>
      <w:smallCap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jc w:val="center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Arial" w:eastAsia="Arial" w:hAnsi="Arial" w:cs="Arial"/>
      <w:b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1099</Words>
  <Characters>6797</Characters>
  <Application>Microsoft Office Word</Application>
  <DocSecurity>0</DocSecurity>
  <Lines>283</Lines>
  <Paragraphs>82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Jiarui Zha</cp:lastModifiedBy>
  <cp:revision>5</cp:revision>
  <dcterms:created xsi:type="dcterms:W3CDTF">2024-09-03T05:17:00Z</dcterms:created>
  <dcterms:modified xsi:type="dcterms:W3CDTF">2026-09-28T02:05:00Z</dcterms:modified>
</cp:coreProperties>
</file>