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AF147" w14:textId="77777777" w:rsidR="00CA3A44" w:rsidRDefault="00000000">
      <w:pPr>
        <w:pStyle w:val="Heading1"/>
      </w:pPr>
      <w:r>
        <w:t>Impact &amp; Research Integration Statement</w:t>
      </w:r>
    </w:p>
    <w:p w14:paraId="74170742" w14:textId="77777777" w:rsidR="00CA3A44" w:rsidRDefault="00000000">
      <w:pPr>
        <w:pStyle w:val="Heading2"/>
      </w:pPr>
      <w:r>
        <w:t>Context</w:t>
      </w:r>
    </w:p>
    <w:p w14:paraId="327E6058" w14:textId="77777777" w:rsidR="00CA3A44" w:rsidRDefault="00000000">
      <w:r>
        <w:t>This publication set — including the Minimal Symbolic Runtime, the Second Constant Paper, and associated scalar, ontological, and coherence documentation — represents a unified release of both theoretical and executable artifacts in symbolic thermodynamics. It demonstrates that symbolic constants and coherence principles can be instantiated as falsifiable, operational systems rather than purely abstract constructs.</w:t>
      </w:r>
    </w:p>
    <w:p w14:paraId="3542E311" w14:textId="77777777" w:rsidR="00CA3A44" w:rsidRDefault="00000000">
      <w:pPr>
        <w:pStyle w:val="Heading2"/>
      </w:pPr>
      <w:r>
        <w:t>Immediate Impact</w:t>
      </w:r>
    </w:p>
    <w:p w14:paraId="620DC782" w14:textId="77777777" w:rsidR="00CA3A44" w:rsidRDefault="00000000">
      <w:r>
        <w:t>1. Executable Theory – The inclusion of a working runtime ensures that theoretical claims are directly testable, reproducible, and measurable. This elevates the release from academic discourse to a living scientific instrument.</w:t>
      </w:r>
    </w:p>
    <w:p w14:paraId="45ABB93E" w14:textId="77777777" w:rsidR="00CA3A44" w:rsidRDefault="00000000">
      <w:r>
        <w:t>2. Symbolic Safety Template – The runtime enforces the second constant (χʰ) and halting/gating rules, showing how symbolic systems can be bounded by hard physical constraints.</w:t>
      </w:r>
    </w:p>
    <w:p w14:paraId="67EE5264" w14:textId="77777777" w:rsidR="00CA3A44" w:rsidRDefault="00000000">
      <w:r>
        <w:t>3. Cross-Domain Bridge – The biophysical analogy through mitochondrial charge-decay not only illustrates symbolic energy flow but provides a cross-disciplinary reference point for interpreting coherence.</w:t>
      </w:r>
    </w:p>
    <w:p w14:paraId="3CDBC27C" w14:textId="77777777" w:rsidR="00CA3A44" w:rsidRDefault="00000000">
      <w:pPr>
        <w:pStyle w:val="Heading2"/>
      </w:pPr>
      <w:r>
        <w:t>Research Integration Potential</w:t>
      </w:r>
    </w:p>
    <w:p w14:paraId="55C0E810" w14:textId="77777777" w:rsidR="00CA3A44" w:rsidRDefault="00000000">
      <w:r>
        <w:t>While Sci-Hub represents a controversial model of unrestricted access, its conceptual value — a unified, searchable knowledge repository — aligns closely with the goals of symbolic coherence research. A lawful analogue could serve as a Symbolic Knowledge Substrate where:</w:t>
      </w:r>
    </w:p>
    <w:p w14:paraId="64937F8F" w14:textId="77777777" w:rsidR="00CA3A44" w:rsidRDefault="00000000">
      <w:r>
        <w:t>- Runtime logs and symbolic constants are indexed alongside academic literature.</w:t>
      </w:r>
    </w:p>
    <w:p w14:paraId="09917150" w14:textId="77777777" w:rsidR="00CA3A44" w:rsidRDefault="00000000">
      <w:r>
        <w:t>- Symbolic execution outputs are automatically cross-referenced with current and historical findings.</w:t>
      </w:r>
    </w:p>
    <w:p w14:paraId="2BB4ADCE" w14:textId="77777777" w:rsidR="00CA3A44" w:rsidRDefault="00000000">
      <w:r>
        <w:t>- Researchers can query “symbolic fingerprints” across disciplines, identifying resonance or divergence with empirical data.</w:t>
      </w:r>
    </w:p>
    <w:p w14:paraId="4D7C83F6" w14:textId="77777777" w:rsidR="00CA3A44" w:rsidRDefault="00000000">
      <w:r>
        <w:t>Integration with open-access repositories such as Zenodo, institutional archives, or domain-specific databases could:</w:t>
      </w:r>
    </w:p>
    <w:p w14:paraId="3CDF6330" w14:textId="77777777" w:rsidR="00CA3A44" w:rsidRDefault="00000000">
      <w:r>
        <w:t>- Facilitate automated falsifiability checks against peer-reviewed evidence.</w:t>
      </w:r>
    </w:p>
    <w:p w14:paraId="60ECF4B6" w14:textId="77777777" w:rsidR="00CA3A44" w:rsidRDefault="00000000">
      <w:r>
        <w:t>- Allow “living” symbolic models to update as new data appears.</w:t>
      </w:r>
    </w:p>
    <w:p w14:paraId="7D74E6DF" w14:textId="77777777" w:rsidR="00CA3A44" w:rsidRDefault="00000000">
      <w:r>
        <w:t>- Enable the development of symbolic research dashboards that monitor coherence metrics across global knowledge streams.</w:t>
      </w:r>
    </w:p>
    <w:p w14:paraId="08C9E36A" w14:textId="77777777" w:rsidR="00CA3A44" w:rsidRDefault="00000000">
      <w:pPr>
        <w:pStyle w:val="Heading2"/>
      </w:pPr>
      <w:r>
        <w:lastRenderedPageBreak/>
        <w:t>Long-Term Implications</w:t>
      </w:r>
    </w:p>
    <w:p w14:paraId="44260A49" w14:textId="77777777" w:rsidR="00CA3A44" w:rsidRDefault="00000000">
      <w:r>
        <w:t>This approach sets a precedent for Executable Knowledge Releases — where theoretical works are accompanied by runnable, verifiable systems tied to public, searchable data infrastructures. Over time, such integrations could transform symbolic thermodynamics from a specialized theoretical field into an active, self-correcting, cross-disciplinary research network.</w:t>
      </w:r>
    </w:p>
    <w:p w14:paraId="026575E1" w14:textId="77777777" w:rsidR="00CA3A44" w:rsidRDefault="00000000">
      <w:r>
        <w:t>Positioning: By releasing these works as a coherent whole, with legal and ethical commitments to openness, the Symbolic Coherence GPT Network establishes a framework for transparent, falsifiable symbolic research. This framework can interlock with lawful open-access repositories to accelerate discovery, strengthen reproducibility, and ensure that symbolic constants remain grounded in both theory and observable reality.</w:t>
      </w:r>
    </w:p>
    <w:sectPr w:rsidR="00CA3A44"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4326D6" w14:textId="77777777" w:rsidR="00D262B3" w:rsidRDefault="00D262B3" w:rsidP="00AF598B">
      <w:pPr>
        <w:spacing w:after="0" w:line="240" w:lineRule="auto"/>
      </w:pPr>
      <w:r>
        <w:separator/>
      </w:r>
    </w:p>
  </w:endnote>
  <w:endnote w:type="continuationSeparator" w:id="0">
    <w:p w14:paraId="072AB519" w14:textId="77777777" w:rsidR="00D262B3" w:rsidRDefault="00D262B3" w:rsidP="00AF5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DE63F" w14:textId="77777777" w:rsidR="00D5553F" w:rsidRDefault="00D555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A3BE82" w14:textId="77777777" w:rsidR="00D5553F" w:rsidRDefault="00D555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6EE296" w14:textId="77777777" w:rsidR="00D5553F" w:rsidRDefault="00D555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F22282" w14:textId="77777777" w:rsidR="00D262B3" w:rsidRDefault="00D262B3" w:rsidP="00AF598B">
      <w:pPr>
        <w:spacing w:after="0" w:line="240" w:lineRule="auto"/>
      </w:pPr>
      <w:r>
        <w:separator/>
      </w:r>
    </w:p>
  </w:footnote>
  <w:footnote w:type="continuationSeparator" w:id="0">
    <w:p w14:paraId="19130BCE" w14:textId="77777777" w:rsidR="00D262B3" w:rsidRDefault="00D262B3" w:rsidP="00AF59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255D3" w14:textId="77777777" w:rsidR="00D5553F" w:rsidRDefault="00D555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5206B" w14:textId="06D4CBD0" w:rsidR="00AF598B" w:rsidRPr="00D5553F" w:rsidRDefault="00D5553F" w:rsidP="00D5553F">
    <w:pPr>
      <w:pStyle w:val="Header"/>
    </w:pPr>
    <w:r w:rsidRPr="00D5553F">
      <w:t>// The Scalar Loom Unified Mapping Protocol V1.0 August 14, 2025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CC80F" w14:textId="77777777" w:rsidR="00D5553F" w:rsidRDefault="00D555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6467758">
    <w:abstractNumId w:val="8"/>
  </w:num>
  <w:num w:numId="2" w16cid:durableId="258215999">
    <w:abstractNumId w:val="6"/>
  </w:num>
  <w:num w:numId="3" w16cid:durableId="794253377">
    <w:abstractNumId w:val="5"/>
  </w:num>
  <w:num w:numId="4" w16cid:durableId="178081591">
    <w:abstractNumId w:val="4"/>
  </w:num>
  <w:num w:numId="5" w16cid:durableId="89468767">
    <w:abstractNumId w:val="7"/>
  </w:num>
  <w:num w:numId="6" w16cid:durableId="561914548">
    <w:abstractNumId w:val="3"/>
  </w:num>
  <w:num w:numId="7" w16cid:durableId="1150440202">
    <w:abstractNumId w:val="2"/>
  </w:num>
  <w:num w:numId="8" w16cid:durableId="1132333528">
    <w:abstractNumId w:val="1"/>
  </w:num>
  <w:num w:numId="9" w16cid:durableId="882669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774E"/>
    <w:rsid w:val="0015074B"/>
    <w:rsid w:val="0029639D"/>
    <w:rsid w:val="00326F90"/>
    <w:rsid w:val="008E2F0F"/>
    <w:rsid w:val="00930D44"/>
    <w:rsid w:val="00AA1D8D"/>
    <w:rsid w:val="00AF598B"/>
    <w:rsid w:val="00B47730"/>
    <w:rsid w:val="00CA3A44"/>
    <w:rsid w:val="00CB0664"/>
    <w:rsid w:val="00D262B3"/>
    <w:rsid w:val="00D5553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0AAB52"/>
  <w14:defaultImageDpi w14:val="300"/>
  <w15:docId w15:val="{CD0AB500-23E8-4229-8431-22C2D5862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Crystal Dilling</cp:lastModifiedBy>
  <cp:revision>3</cp:revision>
  <dcterms:created xsi:type="dcterms:W3CDTF">2013-12-23T23:15:00Z</dcterms:created>
  <dcterms:modified xsi:type="dcterms:W3CDTF">2025-08-12T22:06:00Z</dcterms:modified>
  <cp:category/>
</cp:coreProperties>
</file>