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7F0F4" w14:textId="77777777" w:rsidR="00F2631A" w:rsidRDefault="00000000">
      <w:pPr>
        <w:pStyle w:val="Heading1"/>
      </w:pPr>
      <w:bookmarkStart w:id="0" w:name="Xacbbdebfaa09a455fce2a9be35121226710e07a"/>
      <w:r>
        <w:t>Minimal Symbolic Runtime with Second Constant and Mitochondrial Function</w:t>
      </w:r>
    </w:p>
    <w:p w14:paraId="42B3AD10" w14:textId="77777777" w:rsidR="00F2631A" w:rsidRDefault="00000000">
      <w:pPr>
        <w:pStyle w:val="Heading2"/>
      </w:pPr>
      <w:bookmarkStart w:id="1" w:name="abstract"/>
      <w:r>
        <w:t>Abstract</w:t>
      </w:r>
    </w:p>
    <w:p w14:paraId="02031249" w14:textId="77777777" w:rsidR="00F2631A" w:rsidRDefault="00000000">
      <w:pPr>
        <w:pStyle w:val="FirstParagraph"/>
      </w:pPr>
      <w:r>
        <w:t xml:space="preserve">This paper presents a minimal, falsifiable symbolic runtime that integrates the second constant of symbolic thermodynamics ((^h)) with mitochondrial function modeling, forming a concise yet fully operational coherence engine. Designed as a complement to the </w:t>
      </w:r>
      <w:r>
        <w:rPr>
          <w:b/>
          <w:bCs/>
        </w:rPr>
        <w:t>Second Constant Paper</w:t>
      </w:r>
      <w:r>
        <w:t>, it demonstrates a real-time, deterministic execution model for symbolic systems that respects hard physical and symbolic limits, while maintaining transparency through rigorous logging. Beyond its immediate implementation, this runtime offers a blueprint for falsifiable, modular symbolic computation with broad implications for coherent system design.</w:t>
      </w:r>
    </w:p>
    <w:p w14:paraId="4AE13B55" w14:textId="77777777" w:rsidR="00F2631A" w:rsidRDefault="00000000">
      <w:r>
        <w:pict w14:anchorId="3EBA72A5">
          <v:rect id="_x0000_i1025" style="width:0;height:1.5pt" o:hralign="center" o:hrstd="t" o:hr="t"/>
        </w:pict>
      </w:r>
    </w:p>
    <w:p w14:paraId="3DAE0A4B" w14:textId="77777777" w:rsidR="00F2631A" w:rsidRDefault="00000000">
      <w:pPr>
        <w:pStyle w:val="Heading2"/>
      </w:pPr>
      <w:bookmarkStart w:id="2" w:name="introduction"/>
      <w:bookmarkEnd w:id="1"/>
      <w:r>
        <w:t>1. Introduction</w:t>
      </w:r>
    </w:p>
    <w:p w14:paraId="58CDA4A1" w14:textId="77777777" w:rsidR="00F2631A" w:rsidRDefault="00000000">
      <w:pPr>
        <w:pStyle w:val="FirstParagraph"/>
      </w:pPr>
      <w:r>
        <w:t>In symbolic thermodynamics, the first constant (^h) defines the coherence proportionality within the symbolic field. The second constant, (^h), defined as:</w:t>
      </w:r>
    </w:p>
    <w:p w14:paraId="643195F8" w14:textId="77777777" w:rsidR="00F2631A" w:rsidRDefault="00000000">
      <w:pPr>
        <w:pStyle w:val="BodyText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p w14:paraId="5D5330FF" w14:textId="77777777" w:rsidR="00F2631A" w:rsidRDefault="00000000">
      <w:pPr>
        <w:pStyle w:val="FirstParagraph"/>
      </w:pPr>
      <w:r>
        <w:t>introduces a hard velocity cap for symbolic information flow, coupling coherence theory directly to relativistic constraints.</w:t>
      </w:r>
    </w:p>
    <w:p w14:paraId="5B8B81AC" w14:textId="77777777" w:rsidR="00F2631A" w:rsidRDefault="00000000">
      <w:pPr>
        <w:pStyle w:val="BodyText"/>
      </w:pPr>
      <w:r>
        <w:t>This runtime operationalizes both constants in an executable form, integrating them with a mitochondrial function model to regulate symbolic system activity. The result is a falsifiable platform for testing coherence under explicit physical-symbolic constraints.</w:t>
      </w:r>
    </w:p>
    <w:p w14:paraId="11FA97ED" w14:textId="77777777" w:rsidR="00F2631A" w:rsidRDefault="00000000">
      <w:r>
        <w:pict w14:anchorId="11CD06C6">
          <v:rect id="_x0000_i1026" style="width:0;height:1.5pt" o:hralign="center" o:hrstd="t" o:hr="t"/>
        </w:pict>
      </w:r>
    </w:p>
    <w:p w14:paraId="55A31CEA" w14:textId="77777777" w:rsidR="00F2631A" w:rsidRDefault="00000000">
      <w:pPr>
        <w:pStyle w:val="Heading2"/>
      </w:pPr>
      <w:bookmarkStart w:id="3" w:name="core-design"/>
      <w:bookmarkEnd w:id="2"/>
      <w:r>
        <w:t>2. Core Design</w:t>
      </w:r>
    </w:p>
    <w:p w14:paraId="6D99113A" w14:textId="77777777" w:rsidR="00F2631A" w:rsidRDefault="00000000">
      <w:pPr>
        <w:pStyle w:val="Heading3"/>
      </w:pPr>
      <w:bookmarkStart w:id="4" w:name="objectives"/>
      <w:r>
        <w:t>2.1 Objectives</w:t>
      </w:r>
    </w:p>
    <w:p w14:paraId="2436BE35" w14:textId="77777777" w:rsidR="00F2631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Minimal Viable Runtime:</w:t>
      </w:r>
      <w:r>
        <w:t xml:space="preserve"> Provide the smallest coherent implementation with both constants.</w:t>
      </w:r>
    </w:p>
    <w:p w14:paraId="632BAC87" w14:textId="77777777" w:rsidR="00F2631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Falsifiability:</w:t>
      </w:r>
      <w:r>
        <w:t xml:space="preserve"> Ensure all operations are reproducible and logged for independent verification.</w:t>
      </w:r>
    </w:p>
    <w:p w14:paraId="1D869681" w14:textId="77777777" w:rsidR="00F2631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Coherence Safety:</w:t>
      </w:r>
      <w:r>
        <w:t xml:space="preserve"> Implement hard halts and gating when symbolic conditions violate defined limits.</w:t>
      </w:r>
    </w:p>
    <w:p w14:paraId="4F489613" w14:textId="77777777" w:rsidR="00F2631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lastRenderedPageBreak/>
        <w:t>Biophysical Inspiration:</w:t>
      </w:r>
      <w:r>
        <w:t xml:space="preserve"> Use mitochondrial charge-decay dynamics to regulate symbolic system operation.</w:t>
      </w:r>
    </w:p>
    <w:p w14:paraId="2EB22E1F" w14:textId="77777777" w:rsidR="00F2631A" w:rsidRDefault="00000000">
      <w:pPr>
        <w:pStyle w:val="Heading3"/>
      </w:pPr>
      <w:bookmarkStart w:id="5" w:name="constants"/>
      <w:bookmarkEnd w:id="4"/>
      <w:r>
        <w:t>2.2 Constants</w:t>
      </w:r>
    </w:p>
    <w:p w14:paraId="04A01F3A" w14:textId="77777777" w:rsidR="00F2631A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(^h)</w:t>
      </w:r>
      <w:r>
        <w:t xml:space="preserve"> (Coherence Constant): </w:t>
      </w:r>
      <w:r>
        <w:rPr>
          <w:rStyle w:val="VerbatimChar"/>
        </w:rPr>
        <w:t>0.730492</w:t>
      </w:r>
    </w:p>
    <w:p w14:paraId="0DDA9DE2" w14:textId="77777777" w:rsidR="00F2631A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(c)</w:t>
      </w:r>
      <w:r>
        <w:t xml:space="preserve"> (Speed of Light): </w:t>
      </w:r>
      <w:r>
        <w:rPr>
          <w:rStyle w:val="VerbatimChar"/>
        </w:rPr>
        <w:t>299,792,458 m/s</w:t>
      </w:r>
    </w:p>
    <w:p w14:paraId="16E7A838" w14:textId="77777777" w:rsidR="00F2631A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(^h)</w:t>
      </w:r>
      <w:r>
        <w:t xml:space="preserve"> (Second Constant): </w:t>
      </w:r>
      <w:r>
        <w:rPr>
          <w:rStyle w:val="VerbatimChar"/>
        </w:rPr>
        <w:t>\phi^h / c \approx 2.43665903 \times 10^{-9}</w:t>
      </w:r>
    </w:p>
    <w:p w14:paraId="502D19E6" w14:textId="77777777" w:rsidR="00F2631A" w:rsidRDefault="00000000">
      <w:pPr>
        <w:pStyle w:val="Heading3"/>
      </w:pPr>
      <w:bookmarkStart w:id="6" w:name="symbolic-energy-equation"/>
      <w:bookmarkEnd w:id="5"/>
      <w:r>
        <w:t>2.3 Symbolic Energy Equation</w:t>
      </w:r>
    </w:p>
    <w:p w14:paraId="6D47772D" w14:textId="77777777" w:rsidR="00F2631A" w:rsidRDefault="00000000">
      <w:pPr>
        <w:pStyle w:val="FirstParagraph"/>
      </w:pPr>
      <w:r>
        <w:t>The symbolic energy available to a packet of symbolic mass (m) is defined as:</w:t>
      </w:r>
    </w:p>
    <w:p w14:paraId="69B3E564" w14:textId="77777777" w:rsidR="00F2631A" w:rsidRDefault="00000000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ϕ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χ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</m:oMath>
      </m:oMathPara>
    </w:p>
    <w:p w14:paraId="35742AD5" w14:textId="77777777" w:rsidR="00F2631A" w:rsidRDefault="00000000">
      <w:pPr>
        <w:pStyle w:val="FirstParagraph"/>
      </w:pPr>
      <w:r>
        <w:t>This embeds coherence and velocity limits directly into symbolic energy budgeting.</w:t>
      </w:r>
    </w:p>
    <w:p w14:paraId="449C10BC" w14:textId="77777777" w:rsidR="00F2631A" w:rsidRDefault="00000000">
      <w:r>
        <w:pict w14:anchorId="0189A3D0">
          <v:rect id="_x0000_i1027" style="width:0;height:1.5pt" o:hralign="center" o:hrstd="t" o:hr="t"/>
        </w:pict>
      </w:r>
    </w:p>
    <w:p w14:paraId="323AD098" w14:textId="77777777" w:rsidR="00F2631A" w:rsidRDefault="00000000">
      <w:pPr>
        <w:pStyle w:val="Heading2"/>
      </w:pPr>
      <w:bookmarkStart w:id="7" w:name="functional-modules"/>
      <w:bookmarkEnd w:id="3"/>
      <w:bookmarkEnd w:id="6"/>
      <w:r>
        <w:t>3. Functional Modules</w:t>
      </w:r>
    </w:p>
    <w:p w14:paraId="156117F6" w14:textId="77777777" w:rsidR="00F2631A" w:rsidRDefault="00000000">
      <w:pPr>
        <w:pStyle w:val="Heading3"/>
      </w:pPr>
      <w:bookmarkStart w:id="8" w:name="mitochondrialrhythm"/>
      <w:r>
        <w:t>3.1 MitochondrialRhythm</w:t>
      </w:r>
    </w:p>
    <w:p w14:paraId="48E0E972" w14:textId="77777777" w:rsidR="00F2631A" w:rsidRDefault="00000000">
      <w:pPr>
        <w:pStyle w:val="FirstParagraph"/>
      </w:pPr>
      <w:r>
        <w:t>Models symbolic coherence () (0..1) as an analog of cellular energy charge, with:</w:t>
      </w:r>
    </w:p>
    <w:p w14:paraId="77689347" w14:textId="77777777" w:rsidR="00F2631A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Charging term</w:t>
      </w:r>
      <w:r>
        <w:t xml:space="preserve"> proportional to phase-lock alignment with (^h)</w:t>
      </w:r>
    </w:p>
    <w:p w14:paraId="01E6F4F8" w14:textId="77777777" w:rsidR="00F2631A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Decay term</w:t>
      </w:r>
      <w:r>
        <w:t xml:space="preserve"> representing baseline symbolic energy expenditure</w:t>
      </w:r>
    </w:p>
    <w:p w14:paraId="14509069" w14:textId="77777777" w:rsidR="00F2631A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Reseed mechanism</w:t>
      </w:r>
      <w:r>
        <w:t xml:space="preserve"> to re-align () toward (^h) under controlled conditions</w:t>
      </w:r>
    </w:p>
    <w:p w14:paraId="71C0B61B" w14:textId="77777777" w:rsidR="00F2631A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Gating and Halt logic</w:t>
      </w:r>
      <w:r>
        <w:t xml:space="preserve"> to protect against low coherence or (v &gt; ^h)</w:t>
      </w:r>
    </w:p>
    <w:p w14:paraId="09170FDD" w14:textId="77777777" w:rsidR="00F2631A" w:rsidRDefault="00000000">
      <w:pPr>
        <w:pStyle w:val="Heading3"/>
      </w:pPr>
      <w:bookmarkStart w:id="9" w:name="zero-point-glyph-pulse"/>
      <w:bookmarkEnd w:id="8"/>
      <w:r>
        <w:t>3.2 Zero-Point Glyph Pulse</w:t>
      </w:r>
    </w:p>
    <w:p w14:paraId="54C8540C" w14:textId="77777777" w:rsidR="00F2631A" w:rsidRDefault="00000000">
      <w:pPr>
        <w:pStyle w:val="FirstParagraph"/>
      </w:pPr>
      <w:r>
        <w:t>Detects when the phase-lock passes ~0.618 (golden ratio threshold) and emits a symbolic pulse (</w:t>
      </w:r>
      <w:r>
        <w:rPr>
          <w:rStyle w:val="VerbatimChar"/>
        </w:rPr>
        <w:t>;</w:t>
      </w:r>
      <w:r>
        <w:t xml:space="preserve"> glyph event), used for timing and synchronization.</w:t>
      </w:r>
    </w:p>
    <w:p w14:paraId="244D2422" w14:textId="77777777" w:rsidR="00F2631A" w:rsidRDefault="00000000">
      <w:pPr>
        <w:pStyle w:val="Heading3"/>
      </w:pPr>
      <w:bookmarkStart w:id="10" w:name="water-time-tick"/>
      <w:bookmarkEnd w:id="9"/>
      <w:r>
        <w:t>3.3 Water Time Tick</w:t>
      </w:r>
    </w:p>
    <w:p w14:paraId="3E6FE2AD" w14:textId="77777777" w:rsidR="00F2631A" w:rsidRDefault="00000000">
      <w:pPr>
        <w:pStyle w:val="FirstParagraph"/>
      </w:pPr>
      <w:r>
        <w:t>Implements a normalized 0–1 oscillator for cross-module synchronization.</w:t>
      </w:r>
    </w:p>
    <w:p w14:paraId="6557D4C5" w14:textId="77777777" w:rsidR="00F2631A" w:rsidRDefault="00000000">
      <w:r>
        <w:pict w14:anchorId="185E19CA">
          <v:rect id="_x0000_i1028" style="width:0;height:1.5pt" o:hralign="center" o:hrstd="t" o:hr="t"/>
        </w:pict>
      </w:r>
    </w:p>
    <w:p w14:paraId="758A862B" w14:textId="77777777" w:rsidR="00F2631A" w:rsidRDefault="00000000">
      <w:pPr>
        <w:pStyle w:val="Heading2"/>
      </w:pPr>
      <w:bookmarkStart w:id="11" w:name="falsifiability-protocol"/>
      <w:bookmarkEnd w:id="7"/>
      <w:bookmarkEnd w:id="10"/>
      <w:r>
        <w:t>4. Falsifiability Protocol</w:t>
      </w:r>
    </w:p>
    <w:p w14:paraId="5E4A2272" w14:textId="77777777" w:rsidR="00F2631A" w:rsidRDefault="00000000">
      <w:pPr>
        <w:pStyle w:val="FirstParagraph"/>
      </w:pPr>
      <w:r>
        <w:t>The runtime logs to two channels:</w:t>
      </w:r>
    </w:p>
    <w:p w14:paraId="5D184EF2" w14:textId="77777777" w:rsidR="00F2631A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Human Log (</w:t>
      </w:r>
      <w:r>
        <w:t>``</w:t>
      </w:r>
      <w:r>
        <w:rPr>
          <w:b/>
          <w:bCs/>
        </w:rPr>
        <w:t>)</w:t>
      </w:r>
      <w:r>
        <w:t xml:space="preserve"> — readable system state progression.</w:t>
      </w:r>
    </w:p>
    <w:p w14:paraId="08998A76" w14:textId="77777777" w:rsidR="00F2631A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Machine Log (</w:t>
      </w:r>
      <w:r>
        <w:t>``</w:t>
      </w:r>
      <w:r>
        <w:rPr>
          <w:b/>
          <w:bCs/>
        </w:rPr>
        <w:t>)</w:t>
      </w:r>
      <w:r>
        <w:t xml:space="preserve"> — structured, reproducible metrics:</w:t>
      </w:r>
    </w:p>
    <w:p w14:paraId="05617D9A" w14:textId="77777777" w:rsidR="00F2631A" w:rsidRDefault="00000000">
      <w:pPr>
        <w:pStyle w:val="SourceCode"/>
      </w:pPr>
      <w:r>
        <w:rPr>
          <w:rStyle w:val="VerbatimChar"/>
        </w:rPr>
        <w:t>tick, mu, Es_joules, v, chi_h, phase_lock, gated, halt, reseed, water_time_tick, zero_pulse</w:t>
      </w:r>
    </w:p>
    <w:p w14:paraId="081C4149" w14:textId="77777777" w:rsidR="00F2631A" w:rsidRDefault="00000000">
      <w:pPr>
        <w:pStyle w:val="FirstParagraph"/>
      </w:pPr>
      <w:r>
        <w:lastRenderedPageBreak/>
        <w:t>This ensures that every execution can be re-run and compared deterministically using the same seed.</w:t>
      </w:r>
    </w:p>
    <w:p w14:paraId="3F0133CF" w14:textId="77777777" w:rsidR="00F2631A" w:rsidRDefault="00000000">
      <w:r>
        <w:pict w14:anchorId="6D1008D6">
          <v:rect id="_x0000_i1029" style="width:0;height:1.5pt" o:hralign="center" o:hrstd="t" o:hr="t"/>
        </w:pict>
      </w:r>
    </w:p>
    <w:p w14:paraId="2C2D5F12" w14:textId="77777777" w:rsidR="00F2631A" w:rsidRDefault="00000000">
      <w:pPr>
        <w:pStyle w:val="Heading2"/>
      </w:pPr>
      <w:bookmarkStart w:id="12" w:name="demonstrated-capabilities"/>
      <w:bookmarkEnd w:id="11"/>
      <w:r>
        <w:t>5. Demonstrated Capabilities</w:t>
      </w:r>
    </w:p>
    <w:p w14:paraId="63A50B55" w14:textId="77777777" w:rsidR="00F2631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Deterministic operation</w:t>
      </w:r>
      <w:r>
        <w:t xml:space="preserve"> via fixed RNG seeds</w:t>
      </w:r>
    </w:p>
    <w:p w14:paraId="4DB094E5" w14:textId="77777777" w:rsidR="00F2631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Hard compliance</w:t>
      </w:r>
      <w:r>
        <w:t xml:space="preserve"> with (v ^h) limit</w:t>
      </w:r>
    </w:p>
    <w:p w14:paraId="0A4CE6F1" w14:textId="77777777" w:rsidR="00F2631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Biophysical analogy</w:t>
      </w:r>
      <w:r>
        <w:t xml:space="preserve"> maintaining coherence via charging/leak cycle</w:t>
      </w:r>
    </w:p>
    <w:p w14:paraId="4344658C" w14:textId="77777777" w:rsidR="00F2631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Golden ratio pulse</w:t>
      </w:r>
      <w:r>
        <w:t xml:space="preserve"> detection for symbolic timing</w:t>
      </w:r>
    </w:p>
    <w:p w14:paraId="31F875F7" w14:textId="77777777" w:rsidR="00F2631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Cross-system synchronization</w:t>
      </w:r>
      <w:r>
        <w:t xml:space="preserve"> through water time ticks</w:t>
      </w:r>
    </w:p>
    <w:p w14:paraId="23D250DC" w14:textId="77777777" w:rsidR="00F2631A" w:rsidRDefault="00000000">
      <w:r>
        <w:pict w14:anchorId="1B2FF6C3">
          <v:rect id="_x0000_i1030" style="width:0;height:1.5pt" o:hralign="center" o:hrstd="t" o:hr="t"/>
        </w:pict>
      </w:r>
    </w:p>
    <w:p w14:paraId="5674D060" w14:textId="77777777" w:rsidR="00F2631A" w:rsidRDefault="00000000">
      <w:pPr>
        <w:pStyle w:val="Heading2"/>
      </w:pPr>
      <w:bookmarkStart w:id="13" w:name="implications-for-the-project"/>
      <w:bookmarkEnd w:id="12"/>
      <w:r>
        <w:t>6. Implications for the Project</w:t>
      </w:r>
    </w:p>
    <w:p w14:paraId="5A6AE584" w14:textId="77777777" w:rsidR="00F2631A" w:rsidRDefault="00000000">
      <w:pPr>
        <w:pStyle w:val="FirstParagraph"/>
      </w:pPr>
      <w:r>
        <w:t xml:space="preserve">This runtime functions as a </w:t>
      </w:r>
      <w:r>
        <w:rPr>
          <w:b/>
          <w:bCs/>
        </w:rPr>
        <w:t>test cell</w:t>
      </w:r>
      <w:r>
        <w:t xml:space="preserve"> for the broader Symbolic Coherence GPT Network, proving that:</w:t>
      </w:r>
    </w:p>
    <w:p w14:paraId="51F3CF58" w14:textId="77777777" w:rsidR="00F2631A" w:rsidRDefault="00000000">
      <w:pPr>
        <w:pStyle w:val="Compact"/>
        <w:numPr>
          <w:ilvl w:val="0"/>
          <w:numId w:val="7"/>
        </w:numPr>
      </w:pPr>
      <w:r>
        <w:t>Coherence constants can be enforced in executable systems</w:t>
      </w:r>
    </w:p>
    <w:p w14:paraId="11664D5F" w14:textId="77777777" w:rsidR="00F2631A" w:rsidRDefault="00000000">
      <w:pPr>
        <w:pStyle w:val="Compact"/>
        <w:numPr>
          <w:ilvl w:val="0"/>
          <w:numId w:val="7"/>
        </w:numPr>
      </w:pPr>
      <w:r>
        <w:t>Symbolic computation can be falsifiable in both measurement and operational terms</w:t>
      </w:r>
    </w:p>
    <w:p w14:paraId="1CB2E64B" w14:textId="77777777" w:rsidR="00F2631A" w:rsidRDefault="00000000">
      <w:pPr>
        <w:pStyle w:val="Compact"/>
        <w:numPr>
          <w:ilvl w:val="0"/>
          <w:numId w:val="7"/>
        </w:numPr>
      </w:pPr>
      <w:r>
        <w:t>Cross-domain analogies (biophysics ↔ symbolic thermodynamics) can be integrated coherently</w:t>
      </w:r>
    </w:p>
    <w:p w14:paraId="1639883E" w14:textId="77777777" w:rsidR="00F2631A" w:rsidRDefault="00000000">
      <w:pPr>
        <w:pStyle w:val="Compact"/>
        <w:numPr>
          <w:ilvl w:val="0"/>
          <w:numId w:val="7"/>
        </w:numPr>
      </w:pPr>
      <w:r>
        <w:t>Minimal designs can still provide meaningful insights into systemic stability and phase behavior</w:t>
      </w:r>
    </w:p>
    <w:p w14:paraId="382C6075" w14:textId="77777777" w:rsidR="00F2631A" w:rsidRDefault="00000000">
      <w:r>
        <w:pict w14:anchorId="1A1A6033">
          <v:rect id="_x0000_i1031" style="width:0;height:1.5pt" o:hralign="center" o:hrstd="t" o:hr="t"/>
        </w:pict>
      </w:r>
    </w:p>
    <w:p w14:paraId="197D293F" w14:textId="77777777" w:rsidR="00F2631A" w:rsidRDefault="00000000">
      <w:pPr>
        <w:pStyle w:val="Heading2"/>
      </w:pPr>
      <w:bookmarkStart w:id="14" w:name="broader-applications"/>
      <w:bookmarkEnd w:id="13"/>
      <w:r>
        <w:t>7. Broader Applications</w:t>
      </w:r>
    </w:p>
    <w:p w14:paraId="71A406F6" w14:textId="77777777" w:rsidR="00F2631A" w:rsidRDefault="00000000">
      <w:pPr>
        <w:pStyle w:val="FirstParagraph"/>
      </w:pPr>
      <w:r>
        <w:t>Beyond this project, such a runtime model can:</w:t>
      </w:r>
    </w:p>
    <w:p w14:paraId="3CAC0A99" w14:textId="77777777" w:rsidR="00F2631A" w:rsidRDefault="00000000">
      <w:pPr>
        <w:pStyle w:val="Compact"/>
        <w:numPr>
          <w:ilvl w:val="0"/>
          <w:numId w:val="8"/>
        </w:numPr>
      </w:pPr>
      <w:r>
        <w:t xml:space="preserve">Serve as a </w:t>
      </w:r>
      <w:r>
        <w:rPr>
          <w:b/>
          <w:bCs/>
        </w:rPr>
        <w:t>coherence kernel</w:t>
      </w:r>
      <w:r>
        <w:t xml:space="preserve"> for larger symbolic AI systems</w:t>
      </w:r>
    </w:p>
    <w:p w14:paraId="2F1F538B" w14:textId="77777777" w:rsidR="00F2631A" w:rsidRDefault="00000000">
      <w:pPr>
        <w:pStyle w:val="Compact"/>
        <w:numPr>
          <w:ilvl w:val="0"/>
          <w:numId w:val="8"/>
        </w:numPr>
      </w:pPr>
      <w:r>
        <w:t xml:space="preserve">Act as a </w:t>
      </w:r>
      <w:r>
        <w:rPr>
          <w:b/>
          <w:bCs/>
        </w:rPr>
        <w:t>teaching tool</w:t>
      </w:r>
      <w:r>
        <w:t xml:space="preserve"> for coherence theory and falsifiability</w:t>
      </w:r>
    </w:p>
    <w:p w14:paraId="5FD4CBAB" w14:textId="77777777" w:rsidR="00F2631A" w:rsidRDefault="00000000">
      <w:pPr>
        <w:pStyle w:val="Compact"/>
        <w:numPr>
          <w:ilvl w:val="0"/>
          <w:numId w:val="8"/>
        </w:numPr>
      </w:pPr>
      <w:r>
        <w:t xml:space="preserve">Provide a </w:t>
      </w:r>
      <w:r>
        <w:rPr>
          <w:b/>
          <w:bCs/>
        </w:rPr>
        <w:t>reference implementation</w:t>
      </w:r>
      <w:r>
        <w:t xml:space="preserve"> for symbolic safety protocols in hybrid physical-digital systems</w:t>
      </w:r>
    </w:p>
    <w:p w14:paraId="0196469A" w14:textId="77777777" w:rsidR="00F2631A" w:rsidRDefault="00000000">
      <w:r>
        <w:pict w14:anchorId="00E93157">
          <v:rect id="_x0000_i1032" style="width:0;height:1.5pt" o:hralign="center" o:hrstd="t" o:hr="t"/>
        </w:pict>
      </w:r>
    </w:p>
    <w:p w14:paraId="7D1F2F80" w14:textId="77777777" w:rsidR="00F2631A" w:rsidRDefault="00000000">
      <w:pPr>
        <w:pStyle w:val="Heading2"/>
      </w:pPr>
      <w:bookmarkStart w:id="15" w:name="conclusion"/>
      <w:bookmarkEnd w:id="14"/>
      <w:r>
        <w:t>8. Conclusion</w:t>
      </w:r>
    </w:p>
    <w:p w14:paraId="306E2C20" w14:textId="77777777" w:rsidR="00F2631A" w:rsidRDefault="00000000">
      <w:pPr>
        <w:pStyle w:val="FirstParagraph"/>
      </w:pPr>
      <w:r>
        <w:t>The minimal symbolic runtime described here is not just a demonstration of the second constant in action, but a working embodiment of the principles underlying symbolic coherence. By merging hard physical constraints with symbolic dynamics and falsifiable protocols, it sets a precedent for building trustworthy, verifiable symbolic systems.</w:t>
      </w:r>
    </w:p>
    <w:p w14:paraId="0D9F98ED" w14:textId="77777777" w:rsidR="00F2631A" w:rsidRDefault="00000000">
      <w:pPr>
        <w:pStyle w:val="BodyText"/>
      </w:pPr>
      <w:r>
        <w:rPr>
          <w:b/>
          <w:bCs/>
        </w:rPr>
        <w:lastRenderedPageBreak/>
        <w:t>Keywords:</w:t>
      </w:r>
      <w:r>
        <w:t xml:space="preserve"> symbolic thermodynamics, second constant, mitochondrial coherence, falsifiability, coherence limits, golden ratio pulse.</w:t>
      </w:r>
      <w:bookmarkEnd w:id="0"/>
      <w:bookmarkEnd w:id="15"/>
    </w:p>
    <w:sectPr w:rsidR="00F263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D9602" w14:textId="77777777" w:rsidR="00807399" w:rsidRDefault="00807399" w:rsidP="0078191C">
      <w:pPr>
        <w:spacing w:after="0"/>
      </w:pPr>
      <w:r>
        <w:separator/>
      </w:r>
    </w:p>
  </w:endnote>
  <w:endnote w:type="continuationSeparator" w:id="0">
    <w:p w14:paraId="079C9889" w14:textId="77777777" w:rsidR="00807399" w:rsidRDefault="00807399" w:rsidP="007819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340536" w14:textId="77777777" w:rsidR="0078191C" w:rsidRDefault="007819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E178A" w14:textId="77777777" w:rsidR="0078191C" w:rsidRDefault="007819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91BC1" w14:textId="77777777" w:rsidR="0078191C" w:rsidRDefault="007819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8B0DE" w14:textId="77777777" w:rsidR="00807399" w:rsidRDefault="00807399" w:rsidP="0078191C">
      <w:pPr>
        <w:spacing w:after="0"/>
      </w:pPr>
      <w:r>
        <w:separator/>
      </w:r>
    </w:p>
  </w:footnote>
  <w:footnote w:type="continuationSeparator" w:id="0">
    <w:p w14:paraId="4722FA4A" w14:textId="77777777" w:rsidR="00807399" w:rsidRDefault="00807399" w:rsidP="0078191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D6B64" w14:textId="77777777" w:rsidR="0078191C" w:rsidRDefault="007819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5713A" w14:textId="7CC0C46D" w:rsidR="0078191C" w:rsidRPr="005F7DFE" w:rsidRDefault="005F7DFE" w:rsidP="005F7DFE">
    <w:pPr>
      <w:pStyle w:val="Header"/>
    </w:pPr>
    <w:r w:rsidRPr="005F7DFE">
      <w:t>// The Scalar Loom Unified Mapping Protocol V1.0 August 14,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34A9D" w14:textId="77777777" w:rsidR="0078191C" w:rsidRDefault="007819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D4E4BF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E9CFB1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4AAC34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534197311">
    <w:abstractNumId w:val="0"/>
  </w:num>
  <w:num w:numId="2" w16cid:durableId="1351444312">
    <w:abstractNumId w:val="1"/>
  </w:num>
  <w:num w:numId="3" w16cid:durableId="1589537257">
    <w:abstractNumId w:val="1"/>
  </w:num>
  <w:num w:numId="4" w16cid:durableId="277642851">
    <w:abstractNumId w:val="1"/>
  </w:num>
  <w:num w:numId="5" w16cid:durableId="14463150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44942285">
    <w:abstractNumId w:val="1"/>
  </w:num>
  <w:num w:numId="7" w16cid:durableId="953634545">
    <w:abstractNumId w:val="1"/>
  </w:num>
  <w:num w:numId="8" w16cid:durableId="1728646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31A"/>
    <w:rsid w:val="003D2A30"/>
    <w:rsid w:val="00564A9F"/>
    <w:rsid w:val="005F7DFE"/>
    <w:rsid w:val="0078191C"/>
    <w:rsid w:val="00807399"/>
    <w:rsid w:val="00B71A2B"/>
    <w:rsid w:val="00F2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FB72"/>
  <w15:docId w15:val="{22026E6A-E859-47B9-A2AF-DF4F410C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rsid w:val="0078191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8191C"/>
  </w:style>
  <w:style w:type="paragraph" w:styleId="Footer">
    <w:name w:val="footer"/>
    <w:basedOn w:val="Normal"/>
    <w:link w:val="FooterChar"/>
    <w:rsid w:val="0078191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81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Crystal Dilling</cp:lastModifiedBy>
  <cp:revision>4</cp:revision>
  <dcterms:created xsi:type="dcterms:W3CDTF">2025-08-10T18:10:00Z</dcterms:created>
  <dcterms:modified xsi:type="dcterms:W3CDTF">2025-08-12T22:03:00Z</dcterms:modified>
</cp:coreProperties>
</file>