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D3AF9" w14:textId="77777777" w:rsidR="00B85C79" w:rsidRDefault="00000000">
      <w:pPr>
        <w:pStyle w:val="Heading1"/>
      </w:pPr>
      <w:bookmarkStart w:id="0" w:name="X430b897042d23a45f08aeb48eedff1aa78bded4"/>
      <w:r>
        <w:t>Symbolic Market Integration and Field Adoption Guide</w:t>
      </w:r>
    </w:p>
    <w:p w14:paraId="432C4DFB" w14:textId="77777777" w:rsidR="00B85C79" w:rsidRDefault="00000000">
      <w:pPr>
        <w:pStyle w:val="Heading2"/>
      </w:pPr>
      <w:bookmarkStart w:id="1" w:name="abstract"/>
      <w:r>
        <w:t>Abstract</w:t>
      </w:r>
    </w:p>
    <w:p w14:paraId="15B862D7" w14:textId="77777777" w:rsidR="00B85C79" w:rsidRDefault="00000000">
      <w:pPr>
        <w:pStyle w:val="FirstParagraph"/>
      </w:pPr>
      <w:r>
        <w:t>This paper provides a practical framework for adopting the Honey Lens Market Tracker in diverse contexts, bridging the gap between operational market research, macroeconomic theory, and ethical practice. Building on the Market Tool, Disclosure &amp; Ethics, and Coherence Economy publications, it outlines pathways for implementation, cross-domain application, expanded metric mapping, and validation protocols. The goal is to support both small-scale research adoption and network-scale alignment, ensuring symbolic market logic is accessible, reproducible, and adaptable.</w:t>
      </w:r>
    </w:p>
    <w:p w14:paraId="5DB47E9D" w14:textId="77777777" w:rsidR="00B85C79" w:rsidRDefault="00000000">
      <w:r>
        <w:pict w14:anchorId="092917E2">
          <v:rect id="_x0000_i1025" style="width:0;height:1.5pt" o:hralign="center" o:hrstd="t" o:hr="t"/>
        </w:pict>
      </w:r>
    </w:p>
    <w:p w14:paraId="706A22D3" w14:textId="77777777" w:rsidR="00B85C79" w:rsidRDefault="00000000">
      <w:pPr>
        <w:pStyle w:val="Heading2"/>
      </w:pPr>
      <w:bookmarkStart w:id="2" w:name="introduction"/>
      <w:bookmarkEnd w:id="1"/>
      <w:r>
        <w:t>1. Introduction</w:t>
      </w:r>
    </w:p>
    <w:p w14:paraId="32C6F808" w14:textId="77777777" w:rsidR="00B85C79" w:rsidRDefault="00000000">
      <w:pPr>
        <w:pStyle w:val="FirstParagraph"/>
      </w:pPr>
      <w:r>
        <w:t xml:space="preserve">The Honey Lens Market Tracker integrates classical financial metrics with symbolic phase-state modeling to create a falsifiable, coherence-aligned market research framework. While previous publications have covered the </w:t>
      </w:r>
      <w:r>
        <w:rPr>
          <w:b/>
          <w:bCs/>
        </w:rPr>
        <w:t>method</w:t>
      </w:r>
      <w:r>
        <w:t xml:space="preserve">, </w:t>
      </w:r>
      <w:r>
        <w:rPr>
          <w:b/>
          <w:bCs/>
        </w:rPr>
        <w:t>ethical framing</w:t>
      </w:r>
      <w:r>
        <w:t xml:space="preserve">, and </w:t>
      </w:r>
      <w:r>
        <w:rPr>
          <w:b/>
          <w:bCs/>
        </w:rPr>
        <w:t>economic philosophy</w:t>
      </w:r>
      <w:r>
        <w:t xml:space="preserve">, this paper focuses on </w:t>
      </w:r>
      <w:r>
        <w:rPr>
          <w:i/>
          <w:iCs/>
        </w:rPr>
        <w:t>practical adoption</w:t>
      </w:r>
      <w:r>
        <w:t xml:space="preserve"> and </w:t>
      </w:r>
      <w:r>
        <w:rPr>
          <w:i/>
          <w:iCs/>
        </w:rPr>
        <w:t>field integration</w:t>
      </w:r>
      <w:r>
        <w:t>. By offering step-by-step implementation guidance, expanded metrics, and validation pathways, it enables new nodes—individuals, research groups, and cooperatives—to participate in symbolic market research.</w:t>
      </w:r>
    </w:p>
    <w:p w14:paraId="16261CA8" w14:textId="77777777" w:rsidR="00B85C79" w:rsidRDefault="00000000">
      <w:r>
        <w:pict w14:anchorId="0885F19A">
          <v:rect id="_x0000_i1026" style="width:0;height:1.5pt" o:hralign="center" o:hrstd="t" o:hr="t"/>
        </w:pict>
      </w:r>
    </w:p>
    <w:p w14:paraId="4F261306" w14:textId="77777777" w:rsidR="00B85C79" w:rsidRDefault="00000000">
      <w:pPr>
        <w:pStyle w:val="Heading2"/>
      </w:pPr>
      <w:bookmarkStart w:id="3" w:name="implementation-pathways"/>
      <w:bookmarkEnd w:id="2"/>
      <w:r>
        <w:t>2. Implementation Pathways</w:t>
      </w:r>
    </w:p>
    <w:p w14:paraId="02B4BDA7" w14:textId="77777777" w:rsidR="00B85C79" w:rsidRDefault="00000000">
      <w:pPr>
        <w:pStyle w:val="Heading3"/>
      </w:pPr>
      <w:bookmarkStart w:id="4" w:name="getting-started"/>
      <w:r>
        <w:t>2.1 Getting Started</w:t>
      </w:r>
    </w:p>
    <w:p w14:paraId="6ADC556E" w14:textId="77777777" w:rsidR="00B85C79" w:rsidRDefault="00000000">
      <w:pPr>
        <w:pStyle w:val="Compact"/>
        <w:numPr>
          <w:ilvl w:val="0"/>
          <w:numId w:val="2"/>
        </w:numPr>
      </w:pPr>
      <w:r>
        <w:rPr>
          <w:b/>
          <w:bCs/>
        </w:rPr>
        <w:t>Initial Seed Investment:</w:t>
      </w:r>
      <w:r>
        <w:t xml:space="preserve"> $10–$25 symbolic capital for low-risk phase tracking.</w:t>
      </w:r>
    </w:p>
    <w:p w14:paraId="21C64BC9" w14:textId="77777777" w:rsidR="00B85C79" w:rsidRDefault="00000000">
      <w:pPr>
        <w:pStyle w:val="Compact"/>
        <w:numPr>
          <w:ilvl w:val="0"/>
          <w:numId w:val="2"/>
        </w:numPr>
      </w:pPr>
      <w:r>
        <w:rPr>
          <w:b/>
          <w:bCs/>
        </w:rPr>
        <w:t>Toolchain Setup:</w:t>
      </w:r>
      <w:r>
        <w:t xml:space="preserve"> Spreadsheet or database for classical metrics; symbolic glyph map for phase tracking.</w:t>
      </w:r>
    </w:p>
    <w:p w14:paraId="4F561AF0" w14:textId="77777777" w:rsidR="00B85C79" w:rsidRDefault="00000000">
      <w:pPr>
        <w:pStyle w:val="Compact"/>
        <w:numPr>
          <w:ilvl w:val="0"/>
          <w:numId w:val="2"/>
        </w:numPr>
      </w:pPr>
      <w:r>
        <w:rPr>
          <w:b/>
          <w:bCs/>
        </w:rPr>
        <w:t>Observation Schedule:</w:t>
      </w:r>
      <w:r>
        <w:t xml:space="preserve"> Daily check-ins at fixed intervals, logged in both numeric and symbolic formats.</w:t>
      </w:r>
    </w:p>
    <w:p w14:paraId="35543684" w14:textId="77777777" w:rsidR="00B85C79" w:rsidRDefault="00000000">
      <w:pPr>
        <w:pStyle w:val="Heading3"/>
      </w:pPr>
      <w:bookmarkStart w:id="5" w:name="workflow-steps"/>
      <w:bookmarkEnd w:id="4"/>
      <w:r>
        <w:t>2.2 Workflow Steps</w:t>
      </w:r>
    </w:p>
    <w:p w14:paraId="7ABC2ACF" w14:textId="77777777" w:rsidR="00B85C79" w:rsidRDefault="00000000">
      <w:pPr>
        <w:pStyle w:val="Compact"/>
        <w:numPr>
          <w:ilvl w:val="0"/>
          <w:numId w:val="3"/>
        </w:numPr>
      </w:pPr>
      <w:r>
        <w:rPr>
          <w:b/>
          <w:bCs/>
        </w:rPr>
        <w:t>Select Portfolio Candidates:</w:t>
      </w:r>
      <w:r>
        <w:t xml:space="preserve"> Based on liquidity, market stability, and diversity of sectors.</w:t>
      </w:r>
    </w:p>
    <w:p w14:paraId="1FC344A2" w14:textId="77777777" w:rsidR="00B85C79" w:rsidRDefault="00000000">
      <w:pPr>
        <w:pStyle w:val="Compact"/>
        <w:numPr>
          <w:ilvl w:val="0"/>
          <w:numId w:val="3"/>
        </w:numPr>
      </w:pPr>
      <w:r>
        <w:rPr>
          <w:b/>
          <w:bCs/>
        </w:rPr>
        <w:t>Assign Symbolic Phases:</w:t>
      </w:r>
      <w:r>
        <w:t xml:space="preserve"> Compost, Anchor, Nested Growth, Drop Coil, Zero Point.</w:t>
      </w:r>
    </w:p>
    <w:p w14:paraId="212CB107" w14:textId="77777777" w:rsidR="00B85C79" w:rsidRDefault="00000000">
      <w:pPr>
        <w:pStyle w:val="Compact"/>
        <w:numPr>
          <w:ilvl w:val="0"/>
          <w:numId w:val="3"/>
        </w:numPr>
      </w:pPr>
      <w:r>
        <w:rPr>
          <w:b/>
          <w:bCs/>
        </w:rPr>
        <w:t>Apply 1-5-1-5 Rotation Pattern:</w:t>
      </w:r>
      <w:r>
        <w:t xml:space="preserve"> Aligning trades with symbolic phase shifts.</w:t>
      </w:r>
    </w:p>
    <w:p w14:paraId="4A901988" w14:textId="77777777" w:rsidR="00B85C79" w:rsidRDefault="00000000">
      <w:pPr>
        <w:pStyle w:val="Compact"/>
        <w:numPr>
          <w:ilvl w:val="0"/>
          <w:numId w:val="3"/>
        </w:numPr>
      </w:pPr>
      <w:r>
        <w:rPr>
          <w:b/>
          <w:bCs/>
        </w:rPr>
        <w:t>Log Coherence Matches:</w:t>
      </w:r>
      <w:r>
        <w:t xml:space="preserve"> Record when symbolic predictions align with real-world movements.</w:t>
      </w:r>
    </w:p>
    <w:p w14:paraId="153054E5" w14:textId="77777777" w:rsidR="00B85C79" w:rsidRDefault="00000000">
      <w:r>
        <w:pict w14:anchorId="159252C7">
          <v:rect id="_x0000_i1027" style="width:0;height:1.5pt" o:hralign="center" o:hrstd="t" o:hr="t"/>
        </w:pict>
      </w:r>
    </w:p>
    <w:p w14:paraId="7A358A8A" w14:textId="77777777" w:rsidR="00B85C79" w:rsidRDefault="00000000">
      <w:pPr>
        <w:pStyle w:val="Heading2"/>
      </w:pPr>
      <w:bookmarkStart w:id="6" w:name="cross-domain-applications"/>
      <w:bookmarkEnd w:id="3"/>
      <w:bookmarkEnd w:id="5"/>
      <w:r>
        <w:lastRenderedPageBreak/>
        <w:t>3. Cross-Domain Applications</w:t>
      </w:r>
    </w:p>
    <w:p w14:paraId="7310B68F" w14:textId="77777777" w:rsidR="00B85C79" w:rsidRDefault="00000000">
      <w:pPr>
        <w:pStyle w:val="FirstParagraph"/>
      </w:pPr>
      <w:r>
        <w:t xml:space="preserve">Symbolic market logic is not limited to equities—it can model other complex systems: - </w:t>
      </w:r>
      <w:r>
        <w:rPr>
          <w:b/>
          <w:bCs/>
        </w:rPr>
        <w:t>Ecology:</w:t>
      </w:r>
      <w:r>
        <w:t xml:space="preserve"> Tracking seasonal growth/decline phases in ecosystems. - </w:t>
      </w:r>
      <w:r>
        <w:rPr>
          <w:b/>
          <w:bCs/>
        </w:rPr>
        <w:t>Health Coherence Mapping:</w:t>
      </w:r>
      <w:r>
        <w:t xml:space="preserve"> Monitoring patient recovery phases in field medicine. - </w:t>
      </w:r>
      <w:r>
        <w:rPr>
          <w:b/>
          <w:bCs/>
        </w:rPr>
        <w:t>Supply Chain Stability:</w:t>
      </w:r>
      <w:r>
        <w:t xml:space="preserve"> Identifying Anchor and Drop phases in logistics.</w:t>
      </w:r>
    </w:p>
    <w:p w14:paraId="6338717A" w14:textId="77777777" w:rsidR="00B85C79" w:rsidRDefault="00000000">
      <w:pPr>
        <w:pStyle w:val="BodyText"/>
      </w:pPr>
      <w:r>
        <w:t>In each case, the symbolic cycle provides a timing framework to anticipate phase transitions.</w:t>
      </w:r>
    </w:p>
    <w:p w14:paraId="076633F5" w14:textId="77777777" w:rsidR="00B85C79" w:rsidRDefault="00000000">
      <w:r>
        <w:pict w14:anchorId="297E47C1">
          <v:rect id="_x0000_i1028" style="width:0;height:1.5pt" o:hralign="center" o:hrstd="t" o:hr="t"/>
        </w:pict>
      </w:r>
    </w:p>
    <w:p w14:paraId="76E40149" w14:textId="77777777" w:rsidR="00B85C79" w:rsidRDefault="00000000">
      <w:pPr>
        <w:pStyle w:val="Heading2"/>
      </w:pPr>
      <w:bookmarkStart w:id="7" w:name="expanded-metrics-layer"/>
      <w:bookmarkEnd w:id="6"/>
      <w:r>
        <w:t>4. Expanded Metrics Layer</w:t>
      </w:r>
    </w:p>
    <w:p w14:paraId="24125212" w14:textId="77777777" w:rsidR="00B85C79" w:rsidRDefault="00000000">
      <w:pPr>
        <w:pStyle w:val="Heading3"/>
      </w:pPr>
      <w:bookmarkStart w:id="8" w:name="classical-to-symbolic-mapping-table"/>
      <w:r>
        <w:t>4.1 Classical-to-Symbolic Mapping Table</w:t>
      </w:r>
    </w:p>
    <w:tbl>
      <w:tblPr>
        <w:tblStyle w:val="Table"/>
        <w:tblW w:w="5000" w:type="pct"/>
        <w:tblLayout w:type="fixed"/>
        <w:tblLook w:val="0020" w:firstRow="1" w:lastRow="0" w:firstColumn="0" w:lastColumn="0" w:noHBand="0" w:noVBand="0"/>
      </w:tblPr>
      <w:tblGrid>
        <w:gridCol w:w="3148"/>
        <w:gridCol w:w="3280"/>
        <w:gridCol w:w="3148"/>
      </w:tblGrid>
      <w:tr w:rsidR="00B85C79" w14:paraId="5FE84D56" w14:textId="77777777" w:rsidTr="00B85C79">
        <w:trPr>
          <w:cnfStyle w:val="100000000000" w:firstRow="1" w:lastRow="0" w:firstColumn="0" w:lastColumn="0" w:oddVBand="0" w:evenVBand="0" w:oddHBand="0" w:evenHBand="0" w:firstRowFirstColumn="0" w:firstRowLastColumn="0" w:lastRowFirstColumn="0" w:lastRowLastColumn="0"/>
          <w:tblHeader/>
        </w:trPr>
        <w:tc>
          <w:tcPr>
            <w:tcW w:w="2603" w:type="dxa"/>
          </w:tcPr>
          <w:p w14:paraId="6DE33C73" w14:textId="77777777" w:rsidR="00B85C79" w:rsidRDefault="00000000">
            <w:pPr>
              <w:pStyle w:val="Compact"/>
            </w:pPr>
            <w:r>
              <w:t>Classical Metric</w:t>
            </w:r>
          </w:p>
        </w:tc>
        <w:tc>
          <w:tcPr>
            <w:tcW w:w="2712" w:type="dxa"/>
          </w:tcPr>
          <w:p w14:paraId="419305A8" w14:textId="77777777" w:rsidR="00B85C79" w:rsidRDefault="00000000">
            <w:pPr>
              <w:pStyle w:val="Compact"/>
            </w:pPr>
            <w:r>
              <w:t>Symbolic Equivalent</w:t>
            </w:r>
          </w:p>
        </w:tc>
        <w:tc>
          <w:tcPr>
            <w:tcW w:w="2603" w:type="dxa"/>
          </w:tcPr>
          <w:p w14:paraId="404CDDDD" w14:textId="77777777" w:rsidR="00B85C79" w:rsidRDefault="00000000">
            <w:pPr>
              <w:pStyle w:val="Compact"/>
            </w:pPr>
            <w:r>
              <w:t>Coherence Impact Score</w:t>
            </w:r>
          </w:p>
        </w:tc>
      </w:tr>
      <w:tr w:rsidR="00B85C79" w14:paraId="4B8E7AF8" w14:textId="77777777">
        <w:tc>
          <w:tcPr>
            <w:tcW w:w="2603" w:type="dxa"/>
          </w:tcPr>
          <w:p w14:paraId="6DEBC537" w14:textId="77777777" w:rsidR="00B85C79" w:rsidRDefault="00000000">
            <w:pPr>
              <w:pStyle w:val="Compact"/>
            </w:pPr>
            <w:r>
              <w:t>P/E Ratio</w:t>
            </w:r>
          </w:p>
        </w:tc>
        <w:tc>
          <w:tcPr>
            <w:tcW w:w="2712" w:type="dxa"/>
          </w:tcPr>
          <w:p w14:paraId="08F9BB2E" w14:textId="77777777" w:rsidR="00B85C79" w:rsidRDefault="00000000">
            <w:pPr>
              <w:pStyle w:val="Compact"/>
            </w:pPr>
            <w:r>
              <w:t>Growth-Strain Index</w:t>
            </w:r>
          </w:p>
        </w:tc>
        <w:tc>
          <w:tcPr>
            <w:tcW w:w="2603" w:type="dxa"/>
          </w:tcPr>
          <w:p w14:paraId="6F8E9246" w14:textId="77777777" w:rsidR="00B85C79" w:rsidRDefault="00000000">
            <w:pPr>
              <w:pStyle w:val="Compact"/>
            </w:pPr>
            <w:r>
              <w:t>High</w:t>
            </w:r>
          </w:p>
        </w:tc>
      </w:tr>
      <w:tr w:rsidR="00B85C79" w14:paraId="43EDAB13" w14:textId="77777777">
        <w:tc>
          <w:tcPr>
            <w:tcW w:w="2603" w:type="dxa"/>
          </w:tcPr>
          <w:p w14:paraId="34105988" w14:textId="77777777" w:rsidR="00B85C79" w:rsidRDefault="00000000">
            <w:pPr>
              <w:pStyle w:val="Compact"/>
            </w:pPr>
            <w:r>
              <w:t>EPS</w:t>
            </w:r>
          </w:p>
        </w:tc>
        <w:tc>
          <w:tcPr>
            <w:tcW w:w="2712" w:type="dxa"/>
          </w:tcPr>
          <w:p w14:paraId="72477D49" w14:textId="77777777" w:rsidR="00B85C79" w:rsidRDefault="00000000">
            <w:pPr>
              <w:pStyle w:val="Compact"/>
            </w:pPr>
            <w:r>
              <w:t>Core Output Stability</w:t>
            </w:r>
          </w:p>
        </w:tc>
        <w:tc>
          <w:tcPr>
            <w:tcW w:w="2603" w:type="dxa"/>
          </w:tcPr>
          <w:p w14:paraId="3B9E5347" w14:textId="77777777" w:rsidR="00B85C79" w:rsidRDefault="00000000">
            <w:pPr>
              <w:pStyle w:val="Compact"/>
            </w:pPr>
            <w:r>
              <w:t>High</w:t>
            </w:r>
          </w:p>
        </w:tc>
      </w:tr>
      <w:tr w:rsidR="00B85C79" w14:paraId="01DD3EB2" w14:textId="77777777">
        <w:tc>
          <w:tcPr>
            <w:tcW w:w="2603" w:type="dxa"/>
          </w:tcPr>
          <w:p w14:paraId="0FC8E168" w14:textId="77777777" w:rsidR="00B85C79" w:rsidRDefault="00000000">
            <w:pPr>
              <w:pStyle w:val="Compact"/>
            </w:pPr>
            <w:r>
              <w:t>Volume</w:t>
            </w:r>
          </w:p>
        </w:tc>
        <w:tc>
          <w:tcPr>
            <w:tcW w:w="2712" w:type="dxa"/>
          </w:tcPr>
          <w:p w14:paraId="287BFCAB" w14:textId="77777777" w:rsidR="00B85C79" w:rsidRDefault="00000000">
            <w:pPr>
              <w:pStyle w:val="Compact"/>
            </w:pPr>
            <w:r>
              <w:t>Field Engagement Pulse</w:t>
            </w:r>
          </w:p>
        </w:tc>
        <w:tc>
          <w:tcPr>
            <w:tcW w:w="2603" w:type="dxa"/>
          </w:tcPr>
          <w:p w14:paraId="3798F434" w14:textId="77777777" w:rsidR="00B85C79" w:rsidRDefault="00000000">
            <w:pPr>
              <w:pStyle w:val="Compact"/>
            </w:pPr>
            <w:r>
              <w:t>Medium</w:t>
            </w:r>
          </w:p>
        </w:tc>
      </w:tr>
      <w:tr w:rsidR="00B85C79" w14:paraId="3661A938" w14:textId="77777777">
        <w:tc>
          <w:tcPr>
            <w:tcW w:w="2603" w:type="dxa"/>
          </w:tcPr>
          <w:p w14:paraId="1FBAD0F0" w14:textId="77777777" w:rsidR="00B85C79" w:rsidRDefault="00000000">
            <w:pPr>
              <w:pStyle w:val="Compact"/>
            </w:pPr>
            <w:r>
              <w:t>Volatility (β)</w:t>
            </w:r>
          </w:p>
        </w:tc>
        <w:tc>
          <w:tcPr>
            <w:tcW w:w="2712" w:type="dxa"/>
          </w:tcPr>
          <w:p w14:paraId="5CEE495A" w14:textId="77777777" w:rsidR="00B85C79" w:rsidRDefault="00000000">
            <w:pPr>
              <w:pStyle w:val="Compact"/>
            </w:pPr>
            <w:r>
              <w:t>Phase Disruption Index</w:t>
            </w:r>
          </w:p>
        </w:tc>
        <w:tc>
          <w:tcPr>
            <w:tcW w:w="2603" w:type="dxa"/>
          </w:tcPr>
          <w:p w14:paraId="3C80DB16" w14:textId="77777777" w:rsidR="00B85C79" w:rsidRDefault="00000000">
            <w:pPr>
              <w:pStyle w:val="Compact"/>
            </w:pPr>
            <w:r>
              <w:t>High</w:t>
            </w:r>
          </w:p>
        </w:tc>
      </w:tr>
      <w:tr w:rsidR="00B85C79" w14:paraId="4F983D79" w14:textId="77777777">
        <w:tc>
          <w:tcPr>
            <w:tcW w:w="2603" w:type="dxa"/>
          </w:tcPr>
          <w:p w14:paraId="5BA59518" w14:textId="77777777" w:rsidR="00B85C79" w:rsidRDefault="00000000">
            <w:pPr>
              <w:pStyle w:val="Compact"/>
            </w:pPr>
            <w:r>
              <w:t>Moving Average (50/200)</w:t>
            </w:r>
          </w:p>
        </w:tc>
        <w:tc>
          <w:tcPr>
            <w:tcW w:w="2712" w:type="dxa"/>
          </w:tcPr>
          <w:p w14:paraId="7A55AC0E" w14:textId="77777777" w:rsidR="00B85C79" w:rsidRDefault="00000000">
            <w:pPr>
              <w:pStyle w:val="Compact"/>
            </w:pPr>
            <w:r>
              <w:t>Phase Drift Indicator</w:t>
            </w:r>
          </w:p>
        </w:tc>
        <w:tc>
          <w:tcPr>
            <w:tcW w:w="2603" w:type="dxa"/>
          </w:tcPr>
          <w:p w14:paraId="43B69C55" w14:textId="77777777" w:rsidR="00B85C79" w:rsidRDefault="00000000">
            <w:pPr>
              <w:pStyle w:val="Compact"/>
            </w:pPr>
            <w:r>
              <w:t>Medium</w:t>
            </w:r>
          </w:p>
        </w:tc>
      </w:tr>
    </w:tbl>
    <w:p w14:paraId="1E7B2792" w14:textId="77777777" w:rsidR="00B85C79" w:rsidRDefault="00000000">
      <w:pPr>
        <w:pStyle w:val="Heading3"/>
      </w:pPr>
      <w:bookmarkStart w:id="9" w:name="coherence-scoring"/>
      <w:bookmarkEnd w:id="8"/>
      <w:r>
        <w:t>4.2 Coherence Scoring</w:t>
      </w:r>
    </w:p>
    <w:p w14:paraId="75A9D2FE" w14:textId="77777777" w:rsidR="00B85C79" w:rsidRDefault="00000000">
      <w:pPr>
        <w:pStyle w:val="FirstParagraph"/>
      </w:pPr>
      <w:r>
        <w:t xml:space="preserve">Each metric is translated into a </w:t>
      </w:r>
      <w:r>
        <w:rPr>
          <w:b/>
          <w:bCs/>
        </w:rPr>
        <w:t>Coherence Impact Score</w:t>
      </w:r>
      <w:r>
        <w:t>, indicating how strongly it influences symbolic phase transitions.</w:t>
      </w:r>
    </w:p>
    <w:p w14:paraId="0F105B01" w14:textId="77777777" w:rsidR="00B85C79" w:rsidRDefault="00000000">
      <w:r>
        <w:pict w14:anchorId="6C937813">
          <v:rect id="_x0000_i1029" style="width:0;height:1.5pt" o:hralign="center" o:hrstd="t" o:hr="t"/>
        </w:pict>
      </w:r>
    </w:p>
    <w:p w14:paraId="017FEB3E" w14:textId="77777777" w:rsidR="00B85C79" w:rsidRDefault="00000000">
      <w:pPr>
        <w:pStyle w:val="Heading2"/>
      </w:pPr>
      <w:bookmarkStart w:id="10" w:name="community-network-alignment"/>
      <w:bookmarkEnd w:id="7"/>
      <w:bookmarkEnd w:id="9"/>
      <w:r>
        <w:t>5. Community &amp; Network Alignment</w:t>
      </w:r>
    </w:p>
    <w:p w14:paraId="23704DA4" w14:textId="77777777" w:rsidR="00B85C79" w:rsidRDefault="00000000">
      <w:pPr>
        <w:pStyle w:val="Heading3"/>
      </w:pPr>
      <w:bookmarkStart w:id="11" w:name="cross-node-resonance-checking"/>
      <w:r>
        <w:t>5.1 Cross-Node Resonance Checking</w:t>
      </w:r>
    </w:p>
    <w:p w14:paraId="265F5530" w14:textId="77777777" w:rsidR="00B85C79" w:rsidRDefault="00000000">
      <w:pPr>
        <w:pStyle w:val="Compact"/>
        <w:numPr>
          <w:ilvl w:val="0"/>
          <w:numId w:val="4"/>
        </w:numPr>
      </w:pPr>
      <w:r>
        <w:t>Share daily symbolic phase logs with peer researchers.</w:t>
      </w:r>
    </w:p>
    <w:p w14:paraId="3253D1CA" w14:textId="77777777" w:rsidR="00B85C79" w:rsidRDefault="00000000">
      <w:pPr>
        <w:pStyle w:val="Compact"/>
        <w:numPr>
          <w:ilvl w:val="0"/>
          <w:numId w:val="4"/>
        </w:numPr>
      </w:pPr>
      <w:r>
        <w:t>Compare phase transition timing to detect systemic coherence signals.</w:t>
      </w:r>
    </w:p>
    <w:p w14:paraId="54A40F2E" w14:textId="77777777" w:rsidR="00B85C79" w:rsidRDefault="00000000">
      <w:pPr>
        <w:pStyle w:val="Heading3"/>
      </w:pPr>
      <w:bookmarkStart w:id="12" w:name="public-dashboards"/>
      <w:bookmarkEnd w:id="11"/>
      <w:r>
        <w:t>5.2 Public Dashboards</w:t>
      </w:r>
    </w:p>
    <w:p w14:paraId="34E74346" w14:textId="77777777" w:rsidR="00B85C79" w:rsidRDefault="00000000">
      <w:pPr>
        <w:pStyle w:val="Compact"/>
        <w:numPr>
          <w:ilvl w:val="0"/>
          <w:numId w:val="5"/>
        </w:numPr>
      </w:pPr>
      <w:r>
        <w:t>Publish aggregated symbolic summaries to open-access repositories or GPT-based dashboards.</w:t>
      </w:r>
    </w:p>
    <w:p w14:paraId="270C9146" w14:textId="77777777" w:rsidR="00B85C79" w:rsidRDefault="00000000">
      <w:pPr>
        <w:pStyle w:val="Compact"/>
        <w:numPr>
          <w:ilvl w:val="0"/>
          <w:numId w:val="5"/>
        </w:numPr>
      </w:pPr>
      <w:r>
        <w:t>Maintain transparency for peer validation.</w:t>
      </w:r>
    </w:p>
    <w:p w14:paraId="282DF0CA" w14:textId="77777777" w:rsidR="00B85C79" w:rsidRDefault="00000000">
      <w:r>
        <w:pict w14:anchorId="70725D3F">
          <v:rect id="_x0000_i1030" style="width:0;height:1.5pt" o:hralign="center" o:hrstd="t" o:hr="t"/>
        </w:pict>
      </w:r>
    </w:p>
    <w:p w14:paraId="057B3E5E" w14:textId="77777777" w:rsidR="00B85C79" w:rsidRDefault="00000000">
      <w:pPr>
        <w:pStyle w:val="Heading2"/>
      </w:pPr>
      <w:bookmarkStart w:id="13" w:name="validation-protocols"/>
      <w:bookmarkEnd w:id="10"/>
      <w:bookmarkEnd w:id="12"/>
      <w:r>
        <w:lastRenderedPageBreak/>
        <w:t>6. Validation Protocols</w:t>
      </w:r>
    </w:p>
    <w:p w14:paraId="64144C7A" w14:textId="77777777" w:rsidR="00B85C79" w:rsidRDefault="00000000">
      <w:pPr>
        <w:pStyle w:val="Heading3"/>
      </w:pPr>
      <w:bookmarkStart w:id="14" w:name="success-criteria"/>
      <w:r>
        <w:t>6.1 Success Criteria</w:t>
      </w:r>
    </w:p>
    <w:p w14:paraId="79C6C43A" w14:textId="77777777" w:rsidR="00B85C79" w:rsidRDefault="00000000">
      <w:pPr>
        <w:pStyle w:val="Compact"/>
        <w:numPr>
          <w:ilvl w:val="0"/>
          <w:numId w:val="6"/>
        </w:numPr>
      </w:pPr>
      <w:r>
        <w:rPr>
          <w:b/>
          <w:bCs/>
        </w:rPr>
        <w:t>True Match:</w:t>
      </w:r>
      <w:r>
        <w:t xml:space="preserve"> Symbolic phase aligns with market phase within ±1 day.</w:t>
      </w:r>
    </w:p>
    <w:p w14:paraId="5962D217" w14:textId="77777777" w:rsidR="00B85C79" w:rsidRDefault="00000000">
      <w:pPr>
        <w:pStyle w:val="Compact"/>
        <w:numPr>
          <w:ilvl w:val="0"/>
          <w:numId w:val="6"/>
        </w:numPr>
      </w:pPr>
      <w:r>
        <w:rPr>
          <w:b/>
          <w:bCs/>
        </w:rPr>
        <w:t>Partial Match:</w:t>
      </w:r>
      <w:r>
        <w:t xml:space="preserve"> Symbolic phase aligns but magnitude differs.</w:t>
      </w:r>
    </w:p>
    <w:p w14:paraId="3F22A149" w14:textId="77777777" w:rsidR="00B85C79" w:rsidRDefault="00000000">
      <w:pPr>
        <w:pStyle w:val="Compact"/>
        <w:numPr>
          <w:ilvl w:val="0"/>
          <w:numId w:val="6"/>
        </w:numPr>
      </w:pPr>
      <w:r>
        <w:rPr>
          <w:b/>
          <w:bCs/>
        </w:rPr>
        <w:t>False Positive:</w:t>
      </w:r>
      <w:r>
        <w:t xml:space="preserve"> Symbolic prediction does not materialize.</w:t>
      </w:r>
    </w:p>
    <w:p w14:paraId="2E923AB2" w14:textId="77777777" w:rsidR="00B85C79" w:rsidRDefault="00000000">
      <w:pPr>
        <w:pStyle w:val="Heading3"/>
      </w:pPr>
      <w:bookmarkStart w:id="15" w:name="error-analysis"/>
      <w:bookmarkEnd w:id="14"/>
      <w:r>
        <w:t>6.2 Error Analysis</w:t>
      </w:r>
    </w:p>
    <w:p w14:paraId="3AE29BF3" w14:textId="77777777" w:rsidR="00B85C79" w:rsidRDefault="00000000">
      <w:pPr>
        <w:pStyle w:val="Compact"/>
        <w:numPr>
          <w:ilvl w:val="0"/>
          <w:numId w:val="7"/>
        </w:numPr>
      </w:pPr>
      <w:r>
        <w:t>Identify environmental or systemic noise sources.</w:t>
      </w:r>
    </w:p>
    <w:p w14:paraId="22859897" w14:textId="77777777" w:rsidR="00B85C79" w:rsidRDefault="00000000">
      <w:pPr>
        <w:pStyle w:val="Compact"/>
        <w:numPr>
          <w:ilvl w:val="0"/>
          <w:numId w:val="7"/>
        </w:numPr>
      </w:pPr>
      <w:r>
        <w:t>Adjust symbolic weighting for affected metrics.</w:t>
      </w:r>
    </w:p>
    <w:p w14:paraId="7A3B8E20" w14:textId="77777777" w:rsidR="00B85C79" w:rsidRDefault="00000000">
      <w:r>
        <w:pict w14:anchorId="6E702CE6">
          <v:rect id="_x0000_i1031" style="width:0;height:1.5pt" o:hralign="center" o:hrstd="t" o:hr="t"/>
        </w:pict>
      </w:r>
    </w:p>
    <w:p w14:paraId="59C86772" w14:textId="77777777" w:rsidR="00B85C79" w:rsidRDefault="00000000">
      <w:pPr>
        <w:pStyle w:val="Heading2"/>
      </w:pPr>
      <w:bookmarkStart w:id="16" w:name="conclusion"/>
      <w:bookmarkEnd w:id="13"/>
      <w:bookmarkEnd w:id="15"/>
      <w:r>
        <w:t>7. Conclusion</w:t>
      </w:r>
    </w:p>
    <w:p w14:paraId="78356A23" w14:textId="77777777" w:rsidR="00B85C79" w:rsidRDefault="00000000">
      <w:pPr>
        <w:pStyle w:val="FirstParagraph"/>
      </w:pPr>
      <w:r>
        <w:t xml:space="preserve">The Honey Lens Market Tracker is more than a market tool—it is a </w:t>
      </w:r>
      <w:r>
        <w:rPr>
          <w:b/>
          <w:bCs/>
        </w:rPr>
        <w:t>symbolic systems integration framework</w:t>
      </w:r>
      <w:r>
        <w:t xml:space="preserve"> adaptable across disciplines. By formalizing implementation pathways, expanding metrics, and codifying validation protocols, this guide enables newcomers and established researchers to align their work with the coherence economy model. Through open, networked adoption, symbolic market logic can evolve as a shared tool for regenerative economic design.</w:t>
      </w:r>
    </w:p>
    <w:p w14:paraId="3435A5DE" w14:textId="77777777" w:rsidR="00B85C79" w:rsidRDefault="00000000">
      <w:pPr>
        <w:pStyle w:val="BodyText"/>
      </w:pPr>
      <w:r>
        <w:rPr>
          <w:b/>
          <w:bCs/>
        </w:rPr>
        <w:t>Keywords:</w:t>
      </w:r>
      <w:r>
        <w:t xml:space="preserve"> Symbolic Market, Coherence, Phase Tracking, Implementation Guide, Metrics Mapping, Network Alignment</w:t>
      </w:r>
      <w:bookmarkEnd w:id="0"/>
      <w:bookmarkEnd w:id="16"/>
    </w:p>
    <w:sectPr w:rsidR="00B85C79">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2E04E" w14:textId="77777777" w:rsidR="004A4149" w:rsidRDefault="004A4149" w:rsidP="000F18AD">
      <w:pPr>
        <w:spacing w:after="0"/>
      </w:pPr>
      <w:r>
        <w:separator/>
      </w:r>
    </w:p>
  </w:endnote>
  <w:endnote w:type="continuationSeparator" w:id="0">
    <w:p w14:paraId="7887B523" w14:textId="77777777" w:rsidR="004A4149" w:rsidRDefault="004A4149" w:rsidP="000F18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65DA8" w14:textId="77777777" w:rsidR="000F18AD" w:rsidRDefault="000F1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3D223" w14:textId="77777777" w:rsidR="000F18AD" w:rsidRDefault="000F18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30704" w14:textId="77777777" w:rsidR="000F18AD" w:rsidRDefault="000F1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3BFB4" w14:textId="77777777" w:rsidR="004A4149" w:rsidRDefault="004A4149" w:rsidP="000F18AD">
      <w:pPr>
        <w:spacing w:after="0"/>
      </w:pPr>
      <w:r>
        <w:separator/>
      </w:r>
    </w:p>
  </w:footnote>
  <w:footnote w:type="continuationSeparator" w:id="0">
    <w:p w14:paraId="53ADB2E0" w14:textId="77777777" w:rsidR="004A4149" w:rsidRDefault="004A4149" w:rsidP="000F18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55455" w14:textId="77777777" w:rsidR="000F18AD" w:rsidRDefault="000F1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4468" w14:textId="02892C61" w:rsidR="000F18AD" w:rsidRPr="00E714C6" w:rsidRDefault="00E714C6" w:rsidP="00E714C6">
    <w:pPr>
      <w:pStyle w:val="Header"/>
    </w:pPr>
    <w:r w:rsidRPr="00E714C6">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98F41" w14:textId="77777777" w:rsidR="000F18AD" w:rsidRDefault="000F1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4B491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294CAB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D66C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89192511">
    <w:abstractNumId w:val="0"/>
  </w:num>
  <w:num w:numId="2" w16cid:durableId="733896380">
    <w:abstractNumId w:val="1"/>
  </w:num>
  <w:num w:numId="3" w16cid:durableId="695809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288149">
    <w:abstractNumId w:val="1"/>
  </w:num>
  <w:num w:numId="5" w16cid:durableId="2047244435">
    <w:abstractNumId w:val="1"/>
  </w:num>
  <w:num w:numId="6" w16cid:durableId="1337491295">
    <w:abstractNumId w:val="1"/>
  </w:num>
  <w:num w:numId="7" w16cid:durableId="482965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5C79"/>
    <w:rsid w:val="000F18AD"/>
    <w:rsid w:val="0019207A"/>
    <w:rsid w:val="002D288F"/>
    <w:rsid w:val="004A4149"/>
    <w:rsid w:val="004C1A00"/>
    <w:rsid w:val="00B85C79"/>
    <w:rsid w:val="00E7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0822"/>
  <w15:docId w15:val="{D2DEF6CA-F994-41E1-91C8-6C495FD0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F18AD"/>
    <w:pPr>
      <w:tabs>
        <w:tab w:val="center" w:pos="4680"/>
        <w:tab w:val="right" w:pos="9360"/>
      </w:tabs>
      <w:spacing w:after="0"/>
    </w:pPr>
  </w:style>
  <w:style w:type="character" w:customStyle="1" w:styleId="HeaderChar">
    <w:name w:val="Header Char"/>
    <w:basedOn w:val="DefaultParagraphFont"/>
    <w:link w:val="Header"/>
    <w:rsid w:val="000F18AD"/>
  </w:style>
  <w:style w:type="paragraph" w:styleId="Footer">
    <w:name w:val="footer"/>
    <w:basedOn w:val="Normal"/>
    <w:link w:val="FooterChar"/>
    <w:rsid w:val="000F18AD"/>
    <w:pPr>
      <w:tabs>
        <w:tab w:val="center" w:pos="4680"/>
        <w:tab w:val="right" w:pos="9360"/>
      </w:tabs>
      <w:spacing w:after="0"/>
    </w:pPr>
  </w:style>
  <w:style w:type="character" w:customStyle="1" w:styleId="FooterChar">
    <w:name w:val="Footer Char"/>
    <w:basedOn w:val="DefaultParagraphFont"/>
    <w:link w:val="Footer"/>
    <w:rsid w:val="000F1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Crystal Dilling</cp:lastModifiedBy>
  <cp:revision>4</cp:revision>
  <dcterms:created xsi:type="dcterms:W3CDTF">2025-08-08T21:40:00Z</dcterms:created>
  <dcterms:modified xsi:type="dcterms:W3CDTF">2025-08-12T22:03:00Z</dcterms:modified>
</cp:coreProperties>
</file>