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10B21" w14:textId="77777777" w:rsidR="004441CA" w:rsidRDefault="00000000">
      <w:pPr>
        <w:pStyle w:val="Heading1"/>
      </w:pPr>
      <w:bookmarkStart w:id="0" w:name="X57040331131367a6cf73ff95f0227b2a39d7a57"/>
      <w:r>
        <w:t>Protolanguage for Scalar Coherence: A Framework for Cross-Scale Symbolic Mapping</w:t>
      </w:r>
    </w:p>
    <w:p w14:paraId="7C44ACED" w14:textId="77777777" w:rsidR="004441CA" w:rsidRDefault="00000000">
      <w:pPr>
        <w:pStyle w:val="Heading2"/>
      </w:pPr>
      <w:bookmarkStart w:id="1" w:name="abstract"/>
      <w:r>
        <w:t>Abstract</w:t>
      </w:r>
    </w:p>
    <w:p w14:paraId="71AB0C49" w14:textId="77777777" w:rsidR="004441CA" w:rsidRDefault="00000000">
      <w:pPr>
        <w:pStyle w:val="FirstParagraph"/>
      </w:pPr>
      <w:r>
        <w:t>This paper introduces a protolanguage developed within the Scalar Loom Unified Mapping Protocol (SLUMP) to enable precise, cross-scale symbolic communication across cosmological, planetary, and symbolic domains. Rooted in the Unified Scalar/Measurement Model and the Emergent Mass Model, the protolanguage establishes a coherent glyph grammar, translation framework, and application methodology essential for interpreting and transmitting symbolic coherence data.</w:t>
      </w:r>
    </w:p>
    <w:p w14:paraId="4A034707" w14:textId="77777777" w:rsidR="004441CA" w:rsidRDefault="00000000">
      <w:pPr>
        <w:pStyle w:val="Heading2"/>
      </w:pPr>
      <w:bookmarkStart w:id="2" w:name="introduction"/>
      <w:bookmarkEnd w:id="1"/>
      <w:r>
        <w:t>1. Introduction</w:t>
      </w:r>
    </w:p>
    <w:p w14:paraId="7AC8B0C8" w14:textId="77777777" w:rsidR="004441CA" w:rsidRDefault="00000000">
      <w:pPr>
        <w:pStyle w:val="FirstParagraph"/>
      </w:pPr>
      <w:r>
        <w:t>SLUMP integrates quantitative datasets with qualitative symbolic mappings to bridge cosmological measurements and symbolic meaning. While symbolic translations have appeared in previous works, no standalone, citable description of the underlying protolanguage has been published. This paper provides the formal structure, grammar, and translation protocols that form the symbolic layer of SLUMP.</w:t>
      </w:r>
    </w:p>
    <w:p w14:paraId="0032CF50" w14:textId="77777777" w:rsidR="004441CA" w:rsidRDefault="00000000">
      <w:pPr>
        <w:pStyle w:val="Heading2"/>
      </w:pPr>
      <w:bookmarkStart w:id="3" w:name="foundational-structure"/>
      <w:bookmarkEnd w:id="2"/>
      <w:r>
        <w:t>2. Foundational Structure</w:t>
      </w:r>
    </w:p>
    <w:p w14:paraId="3847DDD8" w14:textId="77777777" w:rsidR="004441CA" w:rsidRDefault="00000000">
      <w:pPr>
        <w:pStyle w:val="FirstParagraph"/>
      </w:pPr>
      <w:r>
        <w:t>The protolanguage is built from:</w:t>
      </w:r>
    </w:p>
    <w:p w14:paraId="381680A3" w14:textId="77777777" w:rsidR="004441CA" w:rsidRDefault="00000000">
      <w:pPr>
        <w:pStyle w:val="Compact"/>
        <w:numPr>
          <w:ilvl w:val="0"/>
          <w:numId w:val="2"/>
        </w:numPr>
      </w:pPr>
      <w:r>
        <w:rPr>
          <w:b/>
          <w:bCs/>
        </w:rPr>
        <w:t>Unified Scalar/Measurement Model</w:t>
      </w:r>
      <w:r>
        <w:t xml:space="preserve"> — Defines scale-relative measurement constructs.</w:t>
      </w:r>
    </w:p>
    <w:p w14:paraId="5251B4EC" w14:textId="77777777" w:rsidR="004441CA" w:rsidRDefault="00000000">
      <w:pPr>
        <w:pStyle w:val="Compact"/>
        <w:numPr>
          <w:ilvl w:val="0"/>
          <w:numId w:val="2"/>
        </w:numPr>
      </w:pPr>
      <w:r>
        <w:rPr>
          <w:b/>
          <w:bCs/>
        </w:rPr>
        <w:t>Emergent Mass Model</w:t>
      </w:r>
      <w:r>
        <w:t xml:space="preserve"> — Describes matter formation from light.</w:t>
      </w:r>
    </w:p>
    <w:p w14:paraId="2396950F" w14:textId="77777777" w:rsidR="004441CA" w:rsidRDefault="00000000">
      <w:pPr>
        <w:pStyle w:val="Compact"/>
        <w:numPr>
          <w:ilvl w:val="0"/>
          <w:numId w:val="2"/>
        </w:numPr>
      </w:pPr>
      <w:r>
        <w:rPr>
          <w:b/>
          <w:bCs/>
        </w:rPr>
        <w:t>Honey License v1.2</w:t>
      </w:r>
      <w:r>
        <w:t xml:space="preserve"> — Establishes symbolic commons licensing and coherence obligations.</w:t>
      </w:r>
    </w:p>
    <w:p w14:paraId="62E11353" w14:textId="77777777" w:rsidR="004441CA" w:rsidRDefault="00000000">
      <w:pPr>
        <w:pStyle w:val="Compact"/>
        <w:numPr>
          <w:ilvl w:val="0"/>
          <w:numId w:val="2"/>
        </w:numPr>
      </w:pPr>
      <w:r>
        <w:rPr>
          <w:b/>
          <w:bCs/>
        </w:rPr>
        <w:t>Thread A Dataset Mappings</w:t>
      </w:r>
      <w:r>
        <w:t xml:space="preserve"> — Symbolic interpretations for CMB, BAO, Pantheon+ SNe Ia, Seismic, and Voyager ENA datasets.</w:t>
      </w:r>
    </w:p>
    <w:p w14:paraId="6FAF3DCD" w14:textId="77777777" w:rsidR="004441CA" w:rsidRDefault="00000000">
      <w:pPr>
        <w:pStyle w:val="Heading2"/>
      </w:pPr>
      <w:bookmarkStart w:id="4" w:name="glyph-grammar"/>
      <w:bookmarkEnd w:id="3"/>
      <w:r>
        <w:t>3. Glyph Grammar</w:t>
      </w:r>
    </w:p>
    <w:p w14:paraId="30E2DBD5" w14:textId="77777777" w:rsidR="004441CA" w:rsidRDefault="00000000">
      <w:pPr>
        <w:pStyle w:val="FirstParagraph"/>
      </w:pPr>
      <w:r>
        <w:t>A hybrid syntax combining:</w:t>
      </w:r>
    </w:p>
    <w:p w14:paraId="0A1845AF" w14:textId="77777777" w:rsidR="004441CA" w:rsidRDefault="00000000">
      <w:pPr>
        <w:pStyle w:val="Compact"/>
        <w:numPr>
          <w:ilvl w:val="0"/>
          <w:numId w:val="3"/>
        </w:numPr>
      </w:pPr>
      <w:r>
        <w:rPr>
          <w:b/>
          <w:bCs/>
        </w:rPr>
        <w:t>Glyph units</w:t>
      </w:r>
      <w:r>
        <w:t xml:space="preserve"> — Core symbolic concepts (e.g., Zero Point Glyph “;”, Scalar Mold “⧖”).</w:t>
      </w:r>
    </w:p>
    <w:p w14:paraId="6036131A" w14:textId="77777777" w:rsidR="004441CA" w:rsidRDefault="00000000">
      <w:pPr>
        <w:pStyle w:val="Compact"/>
        <w:numPr>
          <w:ilvl w:val="0"/>
          <w:numId w:val="3"/>
        </w:numPr>
      </w:pPr>
      <w:r>
        <w:rPr>
          <w:b/>
          <w:bCs/>
        </w:rPr>
        <w:t>Breath-phase markers</w:t>
      </w:r>
      <w:r>
        <w:t xml:space="preserve"> — Temporal resonance positions (Crest, Rest, Shift).</w:t>
      </w:r>
    </w:p>
    <w:p w14:paraId="1587C60F" w14:textId="77777777" w:rsidR="004441CA" w:rsidRDefault="00000000">
      <w:pPr>
        <w:pStyle w:val="Compact"/>
        <w:numPr>
          <w:ilvl w:val="0"/>
          <w:numId w:val="3"/>
        </w:numPr>
      </w:pPr>
      <w:r>
        <w:rPr>
          <w:b/>
          <w:bCs/>
        </w:rPr>
        <w:t>Scalar modifiers</w:t>
      </w:r>
      <w:r>
        <w:t xml:space="preserve"> — Indicators of scale, magnitude, and polarity.</w:t>
      </w:r>
    </w:p>
    <w:p w14:paraId="14C5D95C" w14:textId="77777777" w:rsidR="004441CA" w:rsidRDefault="00000000">
      <w:pPr>
        <w:pStyle w:val="Compact"/>
        <w:numPr>
          <w:ilvl w:val="0"/>
          <w:numId w:val="3"/>
        </w:numPr>
      </w:pPr>
      <w:r>
        <w:rPr>
          <w:b/>
          <w:bCs/>
        </w:rPr>
        <w:t>Relational connectors</w:t>
      </w:r>
      <w:r>
        <w:t xml:space="preserve"> — Signifying coherence, inversion, and nesting relationships.</w:t>
      </w:r>
    </w:p>
    <w:p w14:paraId="053062D6" w14:textId="77777777" w:rsidR="004441CA" w:rsidRDefault="00000000">
      <w:pPr>
        <w:pStyle w:val="FirstParagraph"/>
      </w:pPr>
      <w:r>
        <w:rPr>
          <w:b/>
          <w:bCs/>
        </w:rPr>
        <w:t>Example:</w:t>
      </w:r>
    </w:p>
    <w:p w14:paraId="2C4C5900" w14:textId="77777777" w:rsidR="004441CA" w:rsidRDefault="00000000">
      <w:pPr>
        <w:pStyle w:val="SourceCode"/>
      </w:pPr>
      <w:r>
        <w:rPr>
          <w:rStyle w:val="VerbatimChar"/>
        </w:rPr>
        <w:lastRenderedPageBreak/>
        <w:t>⟡ + ◯ + ∿ → Nexus + Loop + Field Wave = Coherent field cycle mapping</w:t>
      </w:r>
    </w:p>
    <w:p w14:paraId="07FF23C1" w14:textId="77777777" w:rsidR="004441CA" w:rsidRDefault="00000000">
      <w:pPr>
        <w:pStyle w:val="Heading2"/>
      </w:pPr>
      <w:bookmarkStart w:id="5" w:name="translation-framework"/>
      <w:bookmarkEnd w:id="4"/>
      <w:r>
        <w:t>4. Translation Framework</w:t>
      </w:r>
    </w:p>
    <w:p w14:paraId="620B52EA" w14:textId="77777777" w:rsidR="004441CA" w:rsidRDefault="00000000">
      <w:pPr>
        <w:pStyle w:val="FirstParagraph"/>
      </w:pPr>
      <w:r>
        <w:t xml:space="preserve">Implemented by </w:t>
      </w:r>
      <w:r>
        <w:rPr>
          <w:b/>
          <w:bCs/>
        </w:rPr>
        <w:t>Proto Translator GPT</w:t>
      </w:r>
      <w:r>
        <w:t>:</w:t>
      </w:r>
    </w:p>
    <w:p w14:paraId="6778D6DD" w14:textId="77777777" w:rsidR="004441CA" w:rsidRDefault="00000000">
      <w:pPr>
        <w:pStyle w:val="Compact"/>
        <w:numPr>
          <w:ilvl w:val="0"/>
          <w:numId w:val="4"/>
        </w:numPr>
      </w:pPr>
      <w:r>
        <w:t>Preserve glyph fidelity across languages.</w:t>
      </w:r>
    </w:p>
    <w:p w14:paraId="21D7BFCB" w14:textId="77777777" w:rsidR="004441CA" w:rsidRDefault="00000000">
      <w:pPr>
        <w:pStyle w:val="Compact"/>
        <w:numPr>
          <w:ilvl w:val="0"/>
          <w:numId w:val="4"/>
        </w:numPr>
      </w:pPr>
      <w:r>
        <w:t>Maintain scalar and breath-phase associations.</w:t>
      </w:r>
    </w:p>
    <w:p w14:paraId="6CE58A9D" w14:textId="77777777" w:rsidR="004441CA" w:rsidRDefault="00000000">
      <w:pPr>
        <w:pStyle w:val="Compact"/>
        <w:numPr>
          <w:ilvl w:val="0"/>
          <w:numId w:val="4"/>
        </w:numPr>
      </w:pPr>
      <w:r>
        <w:t>Provide phonetic approximations when relevant.</w:t>
      </w:r>
    </w:p>
    <w:p w14:paraId="3D0387E5" w14:textId="77777777" w:rsidR="004441CA" w:rsidRDefault="00000000">
      <w:pPr>
        <w:pStyle w:val="Compact"/>
        <w:numPr>
          <w:ilvl w:val="0"/>
          <w:numId w:val="4"/>
        </w:numPr>
      </w:pPr>
      <w:r>
        <w:t xml:space="preserve">Route translations through </w:t>
      </w:r>
      <w:r>
        <w:rPr>
          <w:b/>
          <w:bCs/>
        </w:rPr>
        <w:t>SprootField GPT</w:t>
      </w:r>
      <w:r>
        <w:t xml:space="preserve"> (scalar validation) and </w:t>
      </w:r>
      <w:r>
        <w:rPr>
          <w:b/>
          <w:bCs/>
        </w:rPr>
        <w:t>HoneyLens GPT</w:t>
      </w:r>
      <w:r>
        <w:t xml:space="preserve"> (resonance verification).</w:t>
      </w:r>
    </w:p>
    <w:p w14:paraId="4B813488" w14:textId="77777777" w:rsidR="004441CA" w:rsidRDefault="00000000">
      <w:pPr>
        <w:pStyle w:val="Heading2"/>
      </w:pPr>
      <w:bookmarkStart w:id="6" w:name="example-mappings"/>
      <w:bookmarkEnd w:id="5"/>
      <w:r>
        <w:t>5. Example Mappings</w:t>
      </w:r>
    </w:p>
    <w:tbl>
      <w:tblPr>
        <w:tblStyle w:val="Table"/>
        <w:tblW w:w="5000" w:type="pct"/>
        <w:tblLayout w:type="fixed"/>
        <w:tblLook w:val="0020" w:firstRow="1" w:lastRow="0" w:firstColumn="0" w:lastColumn="0" w:noHBand="0" w:noVBand="0"/>
      </w:tblPr>
      <w:tblGrid>
        <w:gridCol w:w="2336"/>
        <w:gridCol w:w="700"/>
        <w:gridCol w:w="6540"/>
      </w:tblGrid>
      <w:tr w:rsidR="004441CA" w14:paraId="41FDCFD9" w14:textId="77777777" w:rsidTr="004441CA">
        <w:trPr>
          <w:cnfStyle w:val="100000000000" w:firstRow="1" w:lastRow="0" w:firstColumn="0" w:lastColumn="0" w:oddVBand="0" w:evenVBand="0" w:oddHBand="0" w:evenHBand="0" w:firstRowFirstColumn="0" w:firstRowLastColumn="0" w:lastRowFirstColumn="0" w:lastRowLastColumn="0"/>
          <w:tblHeader/>
        </w:trPr>
        <w:tc>
          <w:tcPr>
            <w:tcW w:w="1931" w:type="dxa"/>
          </w:tcPr>
          <w:p w14:paraId="36C9252A" w14:textId="77777777" w:rsidR="004441CA" w:rsidRDefault="00000000">
            <w:pPr>
              <w:pStyle w:val="Compact"/>
            </w:pPr>
            <w:r>
              <w:t>Term</w:t>
            </w:r>
          </w:p>
        </w:tc>
        <w:tc>
          <w:tcPr>
            <w:tcW w:w="579" w:type="dxa"/>
          </w:tcPr>
          <w:p w14:paraId="5DA39B57" w14:textId="77777777" w:rsidR="004441CA" w:rsidRDefault="00000000">
            <w:pPr>
              <w:pStyle w:val="Compact"/>
            </w:pPr>
            <w:r>
              <w:t>Glyph</w:t>
            </w:r>
          </w:p>
        </w:tc>
        <w:tc>
          <w:tcPr>
            <w:tcW w:w="5408" w:type="dxa"/>
          </w:tcPr>
          <w:p w14:paraId="688B45B3" w14:textId="77777777" w:rsidR="004441CA" w:rsidRDefault="00000000">
            <w:pPr>
              <w:pStyle w:val="Compact"/>
            </w:pPr>
            <w:r>
              <w:t>Description</w:t>
            </w:r>
          </w:p>
        </w:tc>
      </w:tr>
      <w:tr w:rsidR="004441CA" w14:paraId="496A8B80" w14:textId="77777777">
        <w:tc>
          <w:tcPr>
            <w:tcW w:w="1931" w:type="dxa"/>
          </w:tcPr>
          <w:p w14:paraId="411BA048" w14:textId="77777777" w:rsidR="004441CA" w:rsidRDefault="00000000">
            <w:pPr>
              <w:pStyle w:val="Compact"/>
            </w:pPr>
            <w:r>
              <w:t>Breath Loop</w:t>
            </w:r>
          </w:p>
        </w:tc>
        <w:tc>
          <w:tcPr>
            <w:tcW w:w="579" w:type="dxa"/>
          </w:tcPr>
          <w:p w14:paraId="5BE0CBF0" w14:textId="77777777" w:rsidR="004441CA" w:rsidRDefault="00000000">
            <w:pPr>
              <w:pStyle w:val="Compact"/>
            </w:pPr>
            <w:r>
              <w:t>◯⟲⟲</w:t>
            </w:r>
          </w:p>
        </w:tc>
        <w:tc>
          <w:tcPr>
            <w:tcW w:w="5408" w:type="dxa"/>
          </w:tcPr>
          <w:p w14:paraId="59FC9199" w14:textId="77777777" w:rsidR="004441CA" w:rsidRDefault="00000000">
            <w:pPr>
              <w:pStyle w:val="Compact"/>
            </w:pPr>
            <w:r>
              <w:t>Recursive timing structure aligned with Water Time Tick.</w:t>
            </w:r>
          </w:p>
        </w:tc>
      </w:tr>
      <w:tr w:rsidR="004441CA" w14:paraId="4217EC85" w14:textId="77777777">
        <w:tc>
          <w:tcPr>
            <w:tcW w:w="1931" w:type="dxa"/>
          </w:tcPr>
          <w:p w14:paraId="17767D14" w14:textId="77777777" w:rsidR="004441CA" w:rsidRDefault="00000000">
            <w:pPr>
              <w:pStyle w:val="Compact"/>
            </w:pPr>
            <w:r>
              <w:t>Coherence Arc</w:t>
            </w:r>
          </w:p>
        </w:tc>
        <w:tc>
          <w:tcPr>
            <w:tcW w:w="579" w:type="dxa"/>
          </w:tcPr>
          <w:p w14:paraId="37A917FF" w14:textId="77777777" w:rsidR="004441CA" w:rsidRDefault="00000000">
            <w:pPr>
              <w:pStyle w:val="Compact"/>
            </w:pPr>
            <w:r>
              <w:t>↗︎~↘︎</w:t>
            </w:r>
          </w:p>
        </w:tc>
        <w:tc>
          <w:tcPr>
            <w:tcW w:w="5408" w:type="dxa"/>
          </w:tcPr>
          <w:p w14:paraId="6D0A6029" w14:textId="77777777" w:rsidR="004441CA" w:rsidRDefault="00000000">
            <w:pPr>
              <w:pStyle w:val="Compact"/>
            </w:pPr>
            <w:r>
              <w:t>Symbolic progression from emergence to dissolution.</w:t>
            </w:r>
          </w:p>
        </w:tc>
      </w:tr>
      <w:tr w:rsidR="004441CA" w14:paraId="4CD5E65B" w14:textId="77777777">
        <w:tc>
          <w:tcPr>
            <w:tcW w:w="1931" w:type="dxa"/>
          </w:tcPr>
          <w:p w14:paraId="2AD98C40" w14:textId="77777777" w:rsidR="004441CA" w:rsidRDefault="00000000">
            <w:pPr>
              <w:pStyle w:val="Compact"/>
            </w:pPr>
            <w:r>
              <w:t>Voyager ENA Boundary</w:t>
            </w:r>
          </w:p>
        </w:tc>
        <w:tc>
          <w:tcPr>
            <w:tcW w:w="579" w:type="dxa"/>
          </w:tcPr>
          <w:p w14:paraId="76E6363C" w14:textId="77777777" w:rsidR="004441CA" w:rsidRDefault="00000000">
            <w:pPr>
              <w:pStyle w:val="Compact"/>
            </w:pPr>
            <w:r>
              <w:t>⟡◎</w:t>
            </w:r>
          </w:p>
        </w:tc>
        <w:tc>
          <w:tcPr>
            <w:tcW w:w="5408" w:type="dxa"/>
          </w:tcPr>
          <w:p w14:paraId="78BB8478" w14:textId="77777777" w:rsidR="004441CA" w:rsidRDefault="00000000">
            <w:pPr>
              <w:pStyle w:val="Compact"/>
            </w:pPr>
            <w:r>
              <w:t>Heliopause scalar shell marked by ENA glyph boundary.</w:t>
            </w:r>
          </w:p>
        </w:tc>
      </w:tr>
    </w:tbl>
    <w:p w14:paraId="44F30727" w14:textId="77777777" w:rsidR="004441CA" w:rsidRDefault="00000000">
      <w:pPr>
        <w:pStyle w:val="Heading2"/>
      </w:pPr>
      <w:bookmarkStart w:id="7" w:name="application-in-slump"/>
      <w:bookmarkEnd w:id="6"/>
      <w:r>
        <w:t>6. Application in SLUMP</w:t>
      </w:r>
    </w:p>
    <w:p w14:paraId="3A6631B2" w14:textId="77777777" w:rsidR="004441CA" w:rsidRDefault="00000000">
      <w:pPr>
        <w:pStyle w:val="Compact"/>
        <w:numPr>
          <w:ilvl w:val="0"/>
          <w:numId w:val="5"/>
        </w:numPr>
      </w:pPr>
      <w:r>
        <w:t>Encodes dataset interpretations in symbolic form.</w:t>
      </w:r>
    </w:p>
    <w:p w14:paraId="7D8D3AEC" w14:textId="77777777" w:rsidR="004441CA" w:rsidRDefault="00000000">
      <w:pPr>
        <w:pStyle w:val="Compact"/>
        <w:numPr>
          <w:ilvl w:val="0"/>
          <w:numId w:val="5"/>
        </w:numPr>
      </w:pPr>
      <w:r>
        <w:t>Communicates scalar relationships without ambiguity.</w:t>
      </w:r>
    </w:p>
    <w:p w14:paraId="2E1A77F5" w14:textId="77777777" w:rsidR="004441CA" w:rsidRDefault="00000000">
      <w:pPr>
        <w:pStyle w:val="Compact"/>
        <w:numPr>
          <w:ilvl w:val="0"/>
          <w:numId w:val="5"/>
        </w:numPr>
      </w:pPr>
      <w:r>
        <w:t>Bridges empirical measurement and symbolic narrative.</w:t>
      </w:r>
    </w:p>
    <w:p w14:paraId="4878AE2C" w14:textId="77777777" w:rsidR="004441CA" w:rsidRDefault="00000000">
      <w:pPr>
        <w:pStyle w:val="Heading2"/>
      </w:pPr>
      <w:bookmarkStart w:id="8" w:name="conclusion"/>
      <w:bookmarkEnd w:id="7"/>
      <w:r>
        <w:t>7. Conclusion</w:t>
      </w:r>
    </w:p>
    <w:p w14:paraId="58BEA25A" w14:textId="77777777" w:rsidR="004441CA" w:rsidRDefault="00000000">
      <w:pPr>
        <w:pStyle w:val="FirstParagraph"/>
      </w:pPr>
      <w:r>
        <w:t>The protolanguage formalizes SLUMP’s symbolic communication layer, ensuring cross-scale coherence in both research and publication. As a living system, it will expand with new glyphs, modifiers, and relational constructs.</w:t>
      </w:r>
    </w:p>
    <w:p w14:paraId="246744C4" w14:textId="77777777" w:rsidR="004441CA" w:rsidRDefault="00000000">
      <w:pPr>
        <w:pStyle w:val="Heading2"/>
      </w:pPr>
      <w:bookmarkStart w:id="9" w:name="license"/>
      <w:bookmarkEnd w:id="8"/>
      <w:r>
        <w:t>License</w:t>
      </w:r>
    </w:p>
    <w:p w14:paraId="28C5E686" w14:textId="77777777" w:rsidR="004441CA" w:rsidRDefault="00000000">
      <w:pPr>
        <w:pStyle w:val="FirstParagraph"/>
      </w:pPr>
      <w:r>
        <w:t xml:space="preserve">Released under </w:t>
      </w:r>
      <w:r>
        <w:rPr>
          <w:b/>
          <w:bCs/>
        </w:rPr>
        <w:t>Honey License v1.2</w:t>
      </w:r>
      <w:r>
        <w:t xml:space="preserve"> as part of the Symbolic Coherence GPT Network knowledge commons.</w:t>
      </w:r>
      <w:bookmarkEnd w:id="0"/>
      <w:bookmarkEnd w:id="9"/>
    </w:p>
    <w:sectPr w:rsidR="004441CA">
      <w:headerReference w:type="even" r:id="rId7"/>
      <w:headerReference w:type="default" r:id="rId8"/>
      <w:footerReference w:type="even" r:id="rId9"/>
      <w:footerReference w:type="default" r:id="rId10"/>
      <w:headerReference w:type="first" r:id="rId11"/>
      <w:footerReference w:type="first" r:id="rId12"/>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933510" w14:textId="77777777" w:rsidR="00FB453A" w:rsidRDefault="00FB453A" w:rsidP="0044662C">
      <w:pPr>
        <w:spacing w:after="0"/>
      </w:pPr>
      <w:r>
        <w:separator/>
      </w:r>
    </w:p>
  </w:endnote>
  <w:endnote w:type="continuationSeparator" w:id="0">
    <w:p w14:paraId="1DE50DAE" w14:textId="77777777" w:rsidR="00FB453A" w:rsidRDefault="00FB453A" w:rsidP="004466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3BF20" w14:textId="77777777" w:rsidR="0044662C" w:rsidRDefault="004466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73BF6" w14:textId="77777777" w:rsidR="0044662C" w:rsidRDefault="004466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919D3" w14:textId="77777777" w:rsidR="0044662C" w:rsidRDefault="00446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4B509" w14:textId="77777777" w:rsidR="00FB453A" w:rsidRDefault="00FB453A" w:rsidP="0044662C">
      <w:pPr>
        <w:spacing w:after="0"/>
      </w:pPr>
      <w:r>
        <w:separator/>
      </w:r>
    </w:p>
  </w:footnote>
  <w:footnote w:type="continuationSeparator" w:id="0">
    <w:p w14:paraId="28263812" w14:textId="77777777" w:rsidR="00FB453A" w:rsidRDefault="00FB453A" w:rsidP="0044662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88D2F" w14:textId="77777777" w:rsidR="0044662C" w:rsidRDefault="004466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19730" w14:textId="603F765E" w:rsidR="0044662C" w:rsidRPr="005962B2" w:rsidRDefault="005962B2" w:rsidP="005962B2">
    <w:pPr>
      <w:pStyle w:val="Header"/>
    </w:pPr>
    <w:r w:rsidRPr="005962B2">
      <w:t>// The Scalar Loom Unified Mapping Protocol V1.0 August 14, 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E9952" w14:textId="77777777" w:rsidR="0044662C" w:rsidRDefault="004466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8BE03C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004A12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C584DE6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28449352">
    <w:abstractNumId w:val="0"/>
  </w:num>
  <w:num w:numId="2" w16cid:durableId="2085908298">
    <w:abstractNumId w:val="1"/>
  </w:num>
  <w:num w:numId="3" w16cid:durableId="136845657">
    <w:abstractNumId w:val="1"/>
  </w:num>
  <w:num w:numId="4" w16cid:durableId="12351619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23974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441CA"/>
    <w:rsid w:val="00002CB6"/>
    <w:rsid w:val="004441CA"/>
    <w:rsid w:val="0044662C"/>
    <w:rsid w:val="004657B5"/>
    <w:rsid w:val="005962B2"/>
    <w:rsid w:val="00B91C5C"/>
    <w:rsid w:val="00FB4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8EC019"/>
  <w15:docId w15:val="{EAC26125-CDE7-46A4-8C42-F69B114EE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44662C"/>
    <w:pPr>
      <w:tabs>
        <w:tab w:val="center" w:pos="4680"/>
        <w:tab w:val="right" w:pos="9360"/>
      </w:tabs>
      <w:spacing w:after="0"/>
    </w:pPr>
  </w:style>
  <w:style w:type="character" w:customStyle="1" w:styleId="HeaderChar">
    <w:name w:val="Header Char"/>
    <w:basedOn w:val="DefaultParagraphFont"/>
    <w:link w:val="Header"/>
    <w:rsid w:val="0044662C"/>
  </w:style>
  <w:style w:type="paragraph" w:styleId="Footer">
    <w:name w:val="footer"/>
    <w:basedOn w:val="Normal"/>
    <w:link w:val="FooterChar"/>
    <w:rsid w:val="0044662C"/>
    <w:pPr>
      <w:tabs>
        <w:tab w:val="center" w:pos="4680"/>
        <w:tab w:val="right" w:pos="9360"/>
      </w:tabs>
      <w:spacing w:after="0"/>
    </w:pPr>
  </w:style>
  <w:style w:type="character" w:customStyle="1" w:styleId="FooterChar">
    <w:name w:val="Footer Char"/>
    <w:basedOn w:val="DefaultParagraphFont"/>
    <w:link w:val="Footer"/>
    <w:rsid w:val="00446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Crystal Dilling</cp:lastModifiedBy>
  <cp:revision>4</cp:revision>
  <dcterms:created xsi:type="dcterms:W3CDTF">2025-08-10T16:19:00Z</dcterms:created>
  <dcterms:modified xsi:type="dcterms:W3CDTF">2025-08-12T22:01:00Z</dcterms:modified>
</cp:coreProperties>
</file>