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54AB7" w14:textId="77777777" w:rsidR="004C02AF" w:rsidRDefault="00000000">
      <w:pPr>
        <w:pStyle w:val="Heading1"/>
      </w:pPr>
      <w:bookmarkStart w:id="0" w:name="X2dfba1b3a455df04c88666e85bdfadf4f6e9090"/>
      <w:r>
        <w:t>Scalar Coherence Field System — Engineering Specification for Water Fusion Demonstrator</w:t>
      </w:r>
    </w:p>
    <w:p w14:paraId="7CE04E01" w14:textId="77777777" w:rsidR="004C02AF" w:rsidRDefault="00000000">
      <w:pPr>
        <w:pStyle w:val="Heading2"/>
      </w:pPr>
      <w:bookmarkStart w:id="1" w:name="overview"/>
      <w:r>
        <w:t>1. Overview</w:t>
      </w:r>
    </w:p>
    <w:p w14:paraId="441D8269" w14:textId="77777777" w:rsidR="004C02AF" w:rsidRDefault="00000000">
      <w:pPr>
        <w:pStyle w:val="FirstParagraph"/>
      </w:pPr>
      <w:r>
        <w:t xml:space="preserve">This specification transforms the </w:t>
      </w:r>
      <w:r>
        <w:rPr>
          <w:b/>
          <w:bCs/>
        </w:rPr>
        <w:t>Scalar Coherence Field System</w:t>
      </w:r>
      <w:r>
        <w:t xml:space="preserve"> from a unified theoretical framework into a </w:t>
      </w:r>
      <w:r>
        <w:rPr>
          <w:b/>
          <w:bCs/>
        </w:rPr>
        <w:t>build-ready engineering device</w:t>
      </w:r>
      <w:r>
        <w:t>. The system’s purpose is to experimentally test the viability of coherence-driven water fusion through scalar field compression, Möbius–Piezo resonance, and harmonic phase alignment.</w:t>
      </w:r>
    </w:p>
    <w:p w14:paraId="3B20CE56" w14:textId="77777777" w:rsidR="004C02AF" w:rsidRDefault="00000000">
      <w:pPr>
        <w:pStyle w:val="BodyText"/>
      </w:pPr>
      <w:r>
        <w:t>Target audience: R&amp;D labs, field researchers, and open-science experimentalists seeking a reproducible, falsifiable design.</w:t>
      </w:r>
    </w:p>
    <w:p w14:paraId="74988B10" w14:textId="77777777" w:rsidR="004C02AF" w:rsidRDefault="00000000">
      <w:r>
        <w:pict w14:anchorId="0CC8D250">
          <v:rect id="_x0000_i1025" style="width:0;height:1.5pt" o:hralign="center" o:hrstd="t" o:hr="t"/>
        </w:pict>
      </w:r>
    </w:p>
    <w:p w14:paraId="1B1BCC24" w14:textId="77777777" w:rsidR="004C02AF" w:rsidRDefault="00000000">
      <w:pPr>
        <w:pStyle w:val="Heading2"/>
      </w:pPr>
      <w:bookmarkStart w:id="2" w:name="theoretical-foundation"/>
      <w:bookmarkEnd w:id="1"/>
      <w:r>
        <w:t>2. Theoretical Foundation</w:t>
      </w:r>
    </w:p>
    <w:p w14:paraId="14734724" w14:textId="77777777" w:rsidR="004C02AF" w:rsidRDefault="00000000">
      <w:pPr>
        <w:pStyle w:val="FirstParagraph"/>
      </w:pPr>
      <w:r>
        <w:t xml:space="preserve">The device is based on: - </w:t>
      </w:r>
      <w:r>
        <w:rPr>
          <w:b/>
          <w:bCs/>
        </w:rPr>
        <w:t>Scalar Coherence Master Equation:</w:t>
      </w:r>
      <w:r>
        <w:t xml:space="preserve"> Balancing interacting field effects — pressure, curvature, entropy gradients, and resonance. - </w:t>
      </w:r>
      <w:r>
        <w:rPr>
          <w:b/>
          <w:bCs/>
        </w:rPr>
        <w:t>Water Time Model:</w:t>
      </w:r>
      <w:r>
        <w:t xml:space="preserve"> Bond-angle-based timing logic for H₂O’s scalar lock (104.5°). - </w:t>
      </w:r>
      <w:r>
        <w:rPr>
          <w:b/>
          <w:bCs/>
        </w:rPr>
        <w:t>Semicolon Zero Point Grammar Rule:</w:t>
      </w:r>
      <w:r>
        <w:t xml:space="preserve"> Phase-locked initiation point (zero point) with divergence control. - </w:t>
      </w:r>
      <w:r>
        <w:rPr>
          <w:b/>
          <w:bCs/>
        </w:rPr>
        <w:t>Emergent Mass Model:</w:t>
      </w:r>
      <w:r>
        <w:t xml:space="preserve"> Tracking coherence state transitions into measurable mass–energy effects.</w:t>
      </w:r>
    </w:p>
    <w:p w14:paraId="257CDD30" w14:textId="77777777" w:rsidR="004C02AF" w:rsidRDefault="00000000">
      <w:pPr>
        <w:pStyle w:val="Heading3"/>
      </w:pPr>
      <w:bookmarkStart w:id="3" w:name="intended-fusion-mechanism"/>
      <w:r>
        <w:t>Intended Fusion Mechanism</w:t>
      </w:r>
    </w:p>
    <w:p w14:paraId="423E3B40" w14:textId="77777777" w:rsidR="004C02AF" w:rsidRDefault="00000000">
      <w:pPr>
        <w:pStyle w:val="FirstParagraph"/>
      </w:pPr>
      <w:r>
        <w:t xml:space="preserve">The target phenomenon is </w:t>
      </w:r>
      <w:r>
        <w:rPr>
          <w:b/>
          <w:bCs/>
        </w:rPr>
        <w:t>coherence-driven isotopic bond shift</w:t>
      </w:r>
      <w:r>
        <w:t xml:space="preserve"> within water molecules, potentially producing: - Low-energy nuclear transmutation signatures, - Isotopic ratio changes in hydrogen/oxygen, - Detectable heat or photonic anomalies without plasma temperatures.</w:t>
      </w:r>
    </w:p>
    <w:p w14:paraId="6873E4A8" w14:textId="77777777" w:rsidR="004C02AF" w:rsidRDefault="00000000">
      <w:r>
        <w:pict w14:anchorId="0F38EF61">
          <v:rect id="_x0000_i1026" style="width:0;height:1.5pt" o:hralign="center" o:hrstd="t" o:hr="t"/>
        </w:pict>
      </w:r>
    </w:p>
    <w:p w14:paraId="4117FC24" w14:textId="77777777" w:rsidR="004C02AF" w:rsidRDefault="00000000">
      <w:pPr>
        <w:pStyle w:val="Heading2"/>
      </w:pPr>
      <w:bookmarkStart w:id="4" w:name="system-components-specifications"/>
      <w:bookmarkEnd w:id="2"/>
      <w:bookmarkEnd w:id="3"/>
      <w:r>
        <w:t>3. System Components &amp; Specifications</w:t>
      </w:r>
    </w:p>
    <w:p w14:paraId="5030B543" w14:textId="77777777" w:rsidR="004C02AF" w:rsidRDefault="00000000">
      <w:pPr>
        <w:pStyle w:val="Heading3"/>
      </w:pPr>
      <w:bookmarkStart w:id="5" w:name="base-platform"/>
      <w:r>
        <w:t>3.1 Base Platform</w:t>
      </w:r>
    </w:p>
    <w:p w14:paraId="77A6B06A" w14:textId="77777777" w:rsidR="004C02AF" w:rsidRDefault="00000000">
      <w:pPr>
        <w:pStyle w:val="Compact"/>
        <w:numPr>
          <w:ilvl w:val="0"/>
          <w:numId w:val="2"/>
        </w:numPr>
      </w:pPr>
      <w:r>
        <w:rPr>
          <w:b/>
          <w:bCs/>
        </w:rPr>
        <w:t>Material:</w:t>
      </w:r>
      <w:r>
        <w:t xml:space="preserve"> Non-magnetic, high-dielectric stability polymer or composite (e.g., PTFE or HDPE).</w:t>
      </w:r>
    </w:p>
    <w:p w14:paraId="50CAD3FC" w14:textId="77777777" w:rsidR="004C02AF" w:rsidRDefault="00000000">
      <w:pPr>
        <w:pStyle w:val="Compact"/>
        <w:numPr>
          <w:ilvl w:val="0"/>
          <w:numId w:val="2"/>
        </w:numPr>
      </w:pPr>
      <w:r>
        <w:rPr>
          <w:b/>
          <w:bCs/>
        </w:rPr>
        <w:t>Diameter:</w:t>
      </w:r>
      <w:r>
        <w:t xml:space="preserve"> 40 cm (minimum) circular base.</w:t>
      </w:r>
    </w:p>
    <w:p w14:paraId="10333F98" w14:textId="77777777" w:rsidR="004C02AF" w:rsidRDefault="00000000">
      <w:pPr>
        <w:pStyle w:val="Compact"/>
        <w:numPr>
          <w:ilvl w:val="0"/>
          <w:numId w:val="2"/>
        </w:numPr>
      </w:pPr>
      <w:r>
        <w:rPr>
          <w:b/>
          <w:bCs/>
        </w:rPr>
        <w:t>Grounding:</w:t>
      </w:r>
      <w:r>
        <w:t xml:space="preserve"> Copper braid perimeter ground, connected to earth ground.</w:t>
      </w:r>
    </w:p>
    <w:p w14:paraId="191B63EB" w14:textId="77777777" w:rsidR="004C02AF" w:rsidRDefault="00000000">
      <w:pPr>
        <w:pStyle w:val="Heading3"/>
      </w:pPr>
      <w:bookmarkStart w:id="6" w:name="coil-assemblies"/>
      <w:bookmarkEnd w:id="5"/>
      <w:r>
        <w:t>3.2 Coil Assemblies</w:t>
      </w:r>
    </w:p>
    <w:p w14:paraId="4AD4DC9A" w14:textId="77777777" w:rsidR="004C02AF" w:rsidRDefault="00000000">
      <w:pPr>
        <w:pStyle w:val="Compact"/>
        <w:numPr>
          <w:ilvl w:val="0"/>
          <w:numId w:val="3"/>
        </w:numPr>
      </w:pPr>
      <w:r>
        <w:rPr>
          <w:b/>
          <w:bCs/>
        </w:rPr>
        <w:t>Type:</w:t>
      </w:r>
      <w:r>
        <w:t xml:space="preserve"> Dual copper electromagnetic coils.</w:t>
      </w:r>
    </w:p>
    <w:p w14:paraId="631FDC8E" w14:textId="77777777" w:rsidR="004C02AF" w:rsidRDefault="00000000">
      <w:pPr>
        <w:pStyle w:val="Compact"/>
        <w:numPr>
          <w:ilvl w:val="0"/>
          <w:numId w:val="3"/>
        </w:numPr>
      </w:pPr>
      <w:r>
        <w:rPr>
          <w:b/>
          <w:bCs/>
        </w:rPr>
        <w:lastRenderedPageBreak/>
        <w:t>Wire Gauge:</w:t>
      </w:r>
      <w:r>
        <w:t xml:space="preserve"> AWG 16, enamel-coated.</w:t>
      </w:r>
    </w:p>
    <w:p w14:paraId="585D20E8" w14:textId="77777777" w:rsidR="004C02AF" w:rsidRDefault="00000000">
      <w:pPr>
        <w:pStyle w:val="Compact"/>
        <w:numPr>
          <w:ilvl w:val="0"/>
          <w:numId w:val="3"/>
        </w:numPr>
      </w:pPr>
      <w:r>
        <w:rPr>
          <w:b/>
          <w:bCs/>
        </w:rPr>
        <w:t>Turns:</w:t>
      </w:r>
      <w:r>
        <w:t xml:space="preserve"> 150 turns per coil.</w:t>
      </w:r>
    </w:p>
    <w:p w14:paraId="07C43EA6" w14:textId="77777777" w:rsidR="004C02AF" w:rsidRDefault="00000000">
      <w:pPr>
        <w:pStyle w:val="Compact"/>
        <w:numPr>
          <w:ilvl w:val="0"/>
          <w:numId w:val="3"/>
        </w:numPr>
      </w:pPr>
      <w:r>
        <w:rPr>
          <w:b/>
          <w:bCs/>
        </w:rPr>
        <w:t>Inner Diameter:</w:t>
      </w:r>
      <w:r>
        <w:t xml:space="preserve"> 10 cm.</w:t>
      </w:r>
    </w:p>
    <w:p w14:paraId="0EA41C08" w14:textId="77777777" w:rsidR="004C02AF" w:rsidRDefault="00000000">
      <w:pPr>
        <w:pStyle w:val="Compact"/>
        <w:numPr>
          <w:ilvl w:val="0"/>
          <w:numId w:val="3"/>
        </w:numPr>
      </w:pPr>
      <w:r>
        <w:rPr>
          <w:b/>
          <w:bCs/>
        </w:rPr>
        <w:t>Inductance Target:</w:t>
      </w:r>
      <w:r>
        <w:t xml:space="preserve"> ~1.5 mH per coil.</w:t>
      </w:r>
    </w:p>
    <w:p w14:paraId="48D41B73" w14:textId="77777777" w:rsidR="004C02AF" w:rsidRDefault="00000000">
      <w:pPr>
        <w:pStyle w:val="Compact"/>
        <w:numPr>
          <w:ilvl w:val="0"/>
          <w:numId w:val="3"/>
        </w:numPr>
      </w:pPr>
      <w:r>
        <w:rPr>
          <w:b/>
          <w:bCs/>
        </w:rPr>
        <w:t>Mounting:</w:t>
      </w:r>
      <w:r>
        <w:t xml:space="preserve"> Symmetrical placement on opposite sides of base, horizontal plane alignment.</w:t>
      </w:r>
    </w:p>
    <w:p w14:paraId="0C2DDBA1" w14:textId="77777777" w:rsidR="004C02AF" w:rsidRDefault="00000000">
      <w:pPr>
        <w:pStyle w:val="Heading3"/>
      </w:pPr>
      <w:bookmarkStart w:id="7" w:name="quartz-crystal-tips"/>
      <w:bookmarkEnd w:id="6"/>
      <w:r>
        <w:t>3.3 Quartz Crystal Tips</w:t>
      </w:r>
    </w:p>
    <w:p w14:paraId="564F6297" w14:textId="77777777" w:rsidR="004C02AF" w:rsidRDefault="00000000">
      <w:pPr>
        <w:pStyle w:val="Compact"/>
        <w:numPr>
          <w:ilvl w:val="0"/>
          <w:numId w:val="4"/>
        </w:numPr>
      </w:pPr>
      <w:r>
        <w:rPr>
          <w:b/>
          <w:bCs/>
        </w:rPr>
        <w:t>Type:</w:t>
      </w:r>
      <w:r>
        <w:t xml:space="preserve"> Single-terminated natural quartz.</w:t>
      </w:r>
    </w:p>
    <w:p w14:paraId="3E86100D" w14:textId="77777777" w:rsidR="004C02AF" w:rsidRDefault="00000000">
      <w:pPr>
        <w:pStyle w:val="Compact"/>
        <w:numPr>
          <w:ilvl w:val="0"/>
          <w:numId w:val="4"/>
        </w:numPr>
      </w:pPr>
      <w:r>
        <w:rPr>
          <w:b/>
          <w:bCs/>
        </w:rPr>
        <w:t>Length:</w:t>
      </w:r>
      <w:r>
        <w:t xml:space="preserve"> 7–10 cm.</w:t>
      </w:r>
    </w:p>
    <w:p w14:paraId="38228A5B" w14:textId="77777777" w:rsidR="004C02AF" w:rsidRDefault="00000000">
      <w:pPr>
        <w:pStyle w:val="Compact"/>
        <w:numPr>
          <w:ilvl w:val="0"/>
          <w:numId w:val="4"/>
        </w:numPr>
      </w:pPr>
      <w:r>
        <w:rPr>
          <w:b/>
          <w:bCs/>
        </w:rPr>
        <w:t>Tip Alignment:</w:t>
      </w:r>
      <w:r>
        <w:t xml:space="preserve"> Pointing inward toward the water vessel.</w:t>
      </w:r>
    </w:p>
    <w:p w14:paraId="2022916A" w14:textId="77777777" w:rsidR="004C02AF" w:rsidRDefault="00000000">
      <w:pPr>
        <w:pStyle w:val="Compact"/>
        <w:numPr>
          <w:ilvl w:val="0"/>
          <w:numId w:val="4"/>
        </w:numPr>
      </w:pPr>
      <w:r>
        <w:rPr>
          <w:b/>
          <w:bCs/>
        </w:rPr>
        <w:t>Mount Height:</w:t>
      </w:r>
      <w:r>
        <w:t xml:space="preserve"> Crystal tips centered at coil midline height.</w:t>
      </w:r>
    </w:p>
    <w:p w14:paraId="69314681" w14:textId="77777777" w:rsidR="004C02AF" w:rsidRDefault="00000000">
      <w:pPr>
        <w:pStyle w:val="Heading3"/>
      </w:pPr>
      <w:bookmarkStart w:id="8" w:name="water-vessel"/>
      <w:bookmarkEnd w:id="7"/>
      <w:r>
        <w:t>3.4 Water Vessel</w:t>
      </w:r>
    </w:p>
    <w:p w14:paraId="226AA924" w14:textId="77777777" w:rsidR="004C02AF" w:rsidRDefault="00000000">
      <w:pPr>
        <w:pStyle w:val="Compact"/>
        <w:numPr>
          <w:ilvl w:val="0"/>
          <w:numId w:val="5"/>
        </w:numPr>
      </w:pPr>
      <w:r>
        <w:rPr>
          <w:b/>
          <w:bCs/>
        </w:rPr>
        <w:t>Material:</w:t>
      </w:r>
      <w:r>
        <w:t xml:space="preserve"> Laboratory-grade quartz glass.</w:t>
      </w:r>
    </w:p>
    <w:p w14:paraId="70E7A197" w14:textId="77777777" w:rsidR="004C02AF" w:rsidRDefault="00000000">
      <w:pPr>
        <w:pStyle w:val="Compact"/>
        <w:numPr>
          <w:ilvl w:val="0"/>
          <w:numId w:val="5"/>
        </w:numPr>
      </w:pPr>
      <w:r>
        <w:rPr>
          <w:b/>
          <w:bCs/>
        </w:rPr>
        <w:t>Capacity:</w:t>
      </w:r>
      <w:r>
        <w:t xml:space="preserve"> 250–300 mL.</w:t>
      </w:r>
    </w:p>
    <w:p w14:paraId="012F240E" w14:textId="77777777" w:rsidR="004C02AF" w:rsidRDefault="00000000">
      <w:pPr>
        <w:pStyle w:val="Compact"/>
        <w:numPr>
          <w:ilvl w:val="0"/>
          <w:numId w:val="5"/>
        </w:numPr>
      </w:pPr>
      <w:r>
        <w:rPr>
          <w:b/>
          <w:bCs/>
        </w:rPr>
        <w:t>Shape:</w:t>
      </w:r>
      <w:r>
        <w:t xml:space="preserve"> Cylindrical, open-top, with wall thickness of 2–3 mm.</w:t>
      </w:r>
    </w:p>
    <w:p w14:paraId="0886ECDB" w14:textId="77777777" w:rsidR="004C02AF" w:rsidRDefault="00000000">
      <w:pPr>
        <w:pStyle w:val="Compact"/>
        <w:numPr>
          <w:ilvl w:val="0"/>
          <w:numId w:val="5"/>
        </w:numPr>
      </w:pPr>
      <w:r>
        <w:rPr>
          <w:b/>
          <w:bCs/>
        </w:rPr>
        <w:t>Position:</w:t>
      </w:r>
      <w:r>
        <w:t xml:space="preserve"> Centered in interference zone between coils.</w:t>
      </w:r>
    </w:p>
    <w:p w14:paraId="3B3930C7" w14:textId="77777777" w:rsidR="004C02AF" w:rsidRDefault="00000000">
      <w:pPr>
        <w:pStyle w:val="Heading3"/>
      </w:pPr>
      <w:bookmarkStart w:id="9" w:name="möbius-conductor-loop"/>
      <w:bookmarkEnd w:id="8"/>
      <w:r>
        <w:t>3.5 Möbius Conductor Loop</w:t>
      </w:r>
    </w:p>
    <w:p w14:paraId="1C110F82" w14:textId="77777777" w:rsidR="004C02AF" w:rsidRDefault="00000000">
      <w:pPr>
        <w:pStyle w:val="Compact"/>
        <w:numPr>
          <w:ilvl w:val="0"/>
          <w:numId w:val="6"/>
        </w:numPr>
      </w:pPr>
      <w:r>
        <w:rPr>
          <w:b/>
          <w:bCs/>
        </w:rPr>
        <w:t>Material:</w:t>
      </w:r>
      <w:r>
        <w:t xml:space="preserve"> Flat copper braid, 10 mm width.</w:t>
      </w:r>
    </w:p>
    <w:p w14:paraId="558CBBDA" w14:textId="77777777" w:rsidR="004C02AF" w:rsidRDefault="00000000">
      <w:pPr>
        <w:pStyle w:val="Compact"/>
        <w:numPr>
          <w:ilvl w:val="0"/>
          <w:numId w:val="6"/>
        </w:numPr>
      </w:pPr>
      <w:r>
        <w:rPr>
          <w:b/>
          <w:bCs/>
        </w:rPr>
        <w:t>Loop Geometry:</w:t>
      </w:r>
      <w:r>
        <w:t xml:space="preserve"> Figure-eight loop crossing directly above vessel center.</w:t>
      </w:r>
    </w:p>
    <w:p w14:paraId="130F7AEE" w14:textId="77777777" w:rsidR="004C02AF" w:rsidRDefault="00000000">
      <w:pPr>
        <w:pStyle w:val="Compact"/>
        <w:numPr>
          <w:ilvl w:val="0"/>
          <w:numId w:val="6"/>
        </w:numPr>
      </w:pPr>
      <w:r>
        <w:rPr>
          <w:b/>
          <w:bCs/>
        </w:rPr>
        <w:t>Integration:</w:t>
      </w:r>
      <w:r>
        <w:t xml:space="preserve"> Weave through both crystals before looping across top.</w:t>
      </w:r>
    </w:p>
    <w:p w14:paraId="53EBC30B" w14:textId="77777777" w:rsidR="004C02AF" w:rsidRDefault="00000000">
      <w:pPr>
        <w:pStyle w:val="Heading3"/>
      </w:pPr>
      <w:bookmarkStart w:id="10" w:name="driver-and-phase-control"/>
      <w:bookmarkEnd w:id="9"/>
      <w:r>
        <w:t>3.6 Driver and Phase Control</w:t>
      </w:r>
    </w:p>
    <w:p w14:paraId="16A65AE2" w14:textId="77777777" w:rsidR="004C02AF" w:rsidRDefault="00000000">
      <w:pPr>
        <w:pStyle w:val="Compact"/>
        <w:numPr>
          <w:ilvl w:val="0"/>
          <w:numId w:val="7"/>
        </w:numPr>
      </w:pPr>
      <w:r>
        <w:rPr>
          <w:b/>
          <w:bCs/>
        </w:rPr>
        <w:t>Frequency Source:</w:t>
      </w:r>
      <w:r>
        <w:t xml:space="preserve"> Function generator with sine/square modulation.</w:t>
      </w:r>
    </w:p>
    <w:p w14:paraId="06F95A6F" w14:textId="77777777" w:rsidR="004C02AF" w:rsidRDefault="00000000">
      <w:pPr>
        <w:pStyle w:val="Compact"/>
        <w:numPr>
          <w:ilvl w:val="0"/>
          <w:numId w:val="7"/>
        </w:numPr>
      </w:pPr>
      <w:r>
        <w:rPr>
          <w:b/>
          <w:bCs/>
        </w:rPr>
        <w:t>Base Frequency:</w:t>
      </w:r>
      <w:r>
        <w:t xml:space="preserve"> Tunable 1 Hz – 20 kHz.</w:t>
      </w:r>
    </w:p>
    <w:p w14:paraId="270F0EFF" w14:textId="77777777" w:rsidR="004C02AF" w:rsidRDefault="00000000">
      <w:pPr>
        <w:pStyle w:val="Compact"/>
        <w:numPr>
          <w:ilvl w:val="0"/>
          <w:numId w:val="7"/>
        </w:numPr>
      </w:pPr>
      <w:r>
        <w:rPr>
          <w:b/>
          <w:bCs/>
        </w:rPr>
        <w:t>Coherence Locking:</w:t>
      </w:r>
      <w:r>
        <w:t xml:space="preserve"> Match φ and f(t) from Master Equation with modulation envelope.</w:t>
      </w:r>
    </w:p>
    <w:p w14:paraId="07BF08BC" w14:textId="77777777" w:rsidR="004C02AF" w:rsidRDefault="00000000">
      <w:pPr>
        <w:pStyle w:val="Compact"/>
        <w:numPr>
          <w:ilvl w:val="0"/>
          <w:numId w:val="7"/>
        </w:numPr>
      </w:pPr>
      <w:r>
        <w:rPr>
          <w:b/>
          <w:bCs/>
        </w:rPr>
        <w:t>Piezo Integration:</w:t>
      </w:r>
      <w:r>
        <w:t xml:space="preserve"> Piezo discs mounted beneath each crystal base for feedback resonance.</w:t>
      </w:r>
    </w:p>
    <w:p w14:paraId="46BEBB56" w14:textId="77777777" w:rsidR="004C02AF" w:rsidRDefault="00000000">
      <w:pPr>
        <w:pStyle w:val="Heading3"/>
      </w:pPr>
      <w:bookmarkStart w:id="11" w:name="instrumentation"/>
      <w:bookmarkEnd w:id="10"/>
      <w:r>
        <w:t>3.7 Instrumentation</w:t>
      </w:r>
    </w:p>
    <w:p w14:paraId="1E259E12" w14:textId="77777777" w:rsidR="004C02AF" w:rsidRDefault="00000000">
      <w:pPr>
        <w:pStyle w:val="Compact"/>
        <w:numPr>
          <w:ilvl w:val="0"/>
          <w:numId w:val="8"/>
        </w:numPr>
      </w:pPr>
      <w:r>
        <w:rPr>
          <w:b/>
          <w:bCs/>
        </w:rPr>
        <w:t>Temperature Probes:</w:t>
      </w:r>
      <w:r>
        <w:t xml:space="preserve"> Resolution ±0.01°C.</w:t>
      </w:r>
    </w:p>
    <w:p w14:paraId="242DEB7D" w14:textId="77777777" w:rsidR="004C02AF" w:rsidRDefault="00000000">
      <w:pPr>
        <w:pStyle w:val="Compact"/>
        <w:numPr>
          <w:ilvl w:val="0"/>
          <w:numId w:val="8"/>
        </w:numPr>
      </w:pPr>
      <w:r>
        <w:rPr>
          <w:b/>
          <w:bCs/>
        </w:rPr>
        <w:t>Spectral Analyzer:</w:t>
      </w:r>
      <w:r>
        <w:t xml:space="preserve"> Visible–near infrared.</w:t>
      </w:r>
    </w:p>
    <w:p w14:paraId="10AFD0D0" w14:textId="77777777" w:rsidR="004C02AF" w:rsidRDefault="00000000">
      <w:pPr>
        <w:pStyle w:val="Compact"/>
        <w:numPr>
          <w:ilvl w:val="0"/>
          <w:numId w:val="8"/>
        </w:numPr>
      </w:pPr>
      <w:r>
        <w:rPr>
          <w:b/>
          <w:bCs/>
        </w:rPr>
        <w:t>Mass Spectrometer:</w:t>
      </w:r>
      <w:r>
        <w:t xml:space="preserve"> For pre/post isotopic analysis.</w:t>
      </w:r>
    </w:p>
    <w:p w14:paraId="43EA6A18" w14:textId="77777777" w:rsidR="004C02AF" w:rsidRDefault="00000000">
      <w:pPr>
        <w:pStyle w:val="Compact"/>
        <w:numPr>
          <w:ilvl w:val="0"/>
          <w:numId w:val="8"/>
        </w:numPr>
      </w:pPr>
      <w:r>
        <w:rPr>
          <w:b/>
          <w:bCs/>
        </w:rPr>
        <w:t>Electromagnetic Field Meters:</w:t>
      </w:r>
      <w:r>
        <w:t xml:space="preserve"> For ambient and device field mapping.</w:t>
      </w:r>
    </w:p>
    <w:p w14:paraId="12F4ECD8" w14:textId="77777777" w:rsidR="004C02AF" w:rsidRDefault="00000000">
      <w:r>
        <w:pict w14:anchorId="16440514">
          <v:rect id="_x0000_i1027" style="width:0;height:1.5pt" o:hralign="center" o:hrstd="t" o:hr="t"/>
        </w:pict>
      </w:r>
    </w:p>
    <w:p w14:paraId="592ED0F1" w14:textId="77777777" w:rsidR="004C02AF" w:rsidRDefault="00000000">
      <w:pPr>
        <w:pStyle w:val="Heading2"/>
      </w:pPr>
      <w:bookmarkStart w:id="12" w:name="assembly-procedure"/>
      <w:bookmarkEnd w:id="4"/>
      <w:bookmarkEnd w:id="11"/>
      <w:r>
        <w:lastRenderedPageBreak/>
        <w:t>4. Assembly Procedure</w:t>
      </w:r>
    </w:p>
    <w:p w14:paraId="74128969" w14:textId="77777777" w:rsidR="004C02AF" w:rsidRDefault="00000000">
      <w:pPr>
        <w:pStyle w:val="Compact"/>
        <w:numPr>
          <w:ilvl w:val="0"/>
          <w:numId w:val="9"/>
        </w:numPr>
      </w:pPr>
      <w:r>
        <w:t>Mount base platform with copper perimeter ground.</w:t>
      </w:r>
    </w:p>
    <w:p w14:paraId="062E7583" w14:textId="77777777" w:rsidR="004C02AF" w:rsidRDefault="00000000">
      <w:pPr>
        <w:pStyle w:val="Compact"/>
        <w:numPr>
          <w:ilvl w:val="0"/>
          <w:numId w:val="9"/>
        </w:numPr>
      </w:pPr>
      <w:r>
        <w:t>Fix coil assemblies at opposite sides, ensure exact symmetry.</w:t>
      </w:r>
    </w:p>
    <w:p w14:paraId="3F5ED983" w14:textId="77777777" w:rsidR="004C02AF" w:rsidRDefault="00000000">
      <w:pPr>
        <w:pStyle w:val="Compact"/>
        <w:numPr>
          <w:ilvl w:val="0"/>
          <w:numId w:val="9"/>
        </w:numPr>
      </w:pPr>
      <w:r>
        <w:t>Mount quartz crystals above coil centers, tips facing vessel center.</w:t>
      </w:r>
    </w:p>
    <w:p w14:paraId="34CB55E6" w14:textId="77777777" w:rsidR="004C02AF" w:rsidRDefault="00000000">
      <w:pPr>
        <w:pStyle w:val="Compact"/>
        <w:numPr>
          <w:ilvl w:val="0"/>
          <w:numId w:val="9"/>
        </w:numPr>
      </w:pPr>
      <w:r>
        <w:t>Place quartz water vessel in central zone.</w:t>
      </w:r>
    </w:p>
    <w:p w14:paraId="77AB3430" w14:textId="77777777" w:rsidR="004C02AF" w:rsidRDefault="00000000">
      <w:pPr>
        <w:pStyle w:val="Compact"/>
        <w:numPr>
          <w:ilvl w:val="0"/>
          <w:numId w:val="9"/>
        </w:numPr>
      </w:pPr>
      <w:r>
        <w:t>Install Möbius loop through crystals and above vessel, crossing at center.</w:t>
      </w:r>
    </w:p>
    <w:p w14:paraId="7DFE1B42" w14:textId="77777777" w:rsidR="004C02AF" w:rsidRDefault="00000000">
      <w:pPr>
        <w:pStyle w:val="Compact"/>
        <w:numPr>
          <w:ilvl w:val="0"/>
          <w:numId w:val="9"/>
        </w:numPr>
      </w:pPr>
      <w:r>
        <w:t>Connect coils to driver circuit with independent channel control.</w:t>
      </w:r>
    </w:p>
    <w:p w14:paraId="18689CB4" w14:textId="77777777" w:rsidR="004C02AF" w:rsidRDefault="00000000">
      <w:pPr>
        <w:pStyle w:val="Compact"/>
        <w:numPr>
          <w:ilvl w:val="0"/>
          <w:numId w:val="9"/>
        </w:numPr>
      </w:pPr>
      <w:r>
        <w:t>Calibrate driver to achieve harmonic match between coils and Möbius loop.</w:t>
      </w:r>
    </w:p>
    <w:p w14:paraId="00506442" w14:textId="77777777" w:rsidR="004C02AF" w:rsidRDefault="00000000">
      <w:r>
        <w:pict w14:anchorId="4A838384">
          <v:rect id="_x0000_i1028" style="width:0;height:1.5pt" o:hralign="center" o:hrstd="t" o:hr="t"/>
        </w:pict>
      </w:r>
    </w:p>
    <w:p w14:paraId="2722FAAA" w14:textId="77777777" w:rsidR="004C02AF" w:rsidRDefault="00000000">
      <w:pPr>
        <w:pStyle w:val="Heading2"/>
      </w:pPr>
      <w:bookmarkStart w:id="13" w:name="operating-protocol"/>
      <w:bookmarkEnd w:id="12"/>
      <w:r>
        <w:t>5. Operating Protocol</w:t>
      </w:r>
    </w:p>
    <w:p w14:paraId="03F71891" w14:textId="77777777" w:rsidR="004C02AF" w:rsidRDefault="00000000">
      <w:pPr>
        <w:pStyle w:val="Compact"/>
        <w:numPr>
          <w:ilvl w:val="0"/>
          <w:numId w:val="10"/>
        </w:numPr>
      </w:pPr>
      <w:r>
        <w:rPr>
          <w:b/>
          <w:bCs/>
        </w:rPr>
        <w:t>Fill Vessel:</w:t>
      </w:r>
      <w:r>
        <w:t xml:space="preserve"> Use deionized, degassed water.</w:t>
      </w:r>
    </w:p>
    <w:p w14:paraId="39761525" w14:textId="77777777" w:rsidR="004C02AF" w:rsidRDefault="00000000">
      <w:pPr>
        <w:pStyle w:val="Compact"/>
        <w:numPr>
          <w:ilvl w:val="0"/>
          <w:numId w:val="10"/>
        </w:numPr>
      </w:pPr>
      <w:r>
        <w:rPr>
          <w:b/>
          <w:bCs/>
        </w:rPr>
        <w:t>Baseline Readings:</w:t>
      </w:r>
      <w:r>
        <w:t xml:space="preserve"> Record temperature, EM field, and spectral profile.</w:t>
      </w:r>
    </w:p>
    <w:p w14:paraId="0215F533" w14:textId="77777777" w:rsidR="004C02AF" w:rsidRDefault="00000000">
      <w:pPr>
        <w:pStyle w:val="Compact"/>
        <w:numPr>
          <w:ilvl w:val="0"/>
          <w:numId w:val="10"/>
        </w:numPr>
      </w:pPr>
      <w:r>
        <w:rPr>
          <w:b/>
          <w:bCs/>
        </w:rPr>
        <w:t>Initiate Phase Lock:</w:t>
      </w:r>
      <w:r>
        <w:t xml:space="preserve"> Start at low frequency (e.g., 7.83 Hz — Schumann resonance) and sweep upward.</w:t>
      </w:r>
    </w:p>
    <w:p w14:paraId="1F6C6751" w14:textId="77777777" w:rsidR="004C02AF" w:rsidRDefault="00000000">
      <w:pPr>
        <w:pStyle w:val="Compact"/>
        <w:numPr>
          <w:ilvl w:val="0"/>
          <w:numId w:val="10"/>
        </w:numPr>
      </w:pPr>
      <w:r>
        <w:rPr>
          <w:b/>
          <w:bCs/>
        </w:rPr>
        <w:t>Harmonic Hold:</w:t>
      </w:r>
      <w:r>
        <w:t xml:space="preserve"> Lock at frequency predicted from Water Time Model for bond angle resonance (~22.05 kHz primary harmonic, adjustable per experiment).</w:t>
      </w:r>
    </w:p>
    <w:p w14:paraId="1CC45457" w14:textId="77777777" w:rsidR="004C02AF" w:rsidRDefault="00000000">
      <w:pPr>
        <w:pStyle w:val="Compact"/>
        <w:numPr>
          <w:ilvl w:val="0"/>
          <w:numId w:val="10"/>
        </w:numPr>
      </w:pPr>
      <w:r>
        <w:rPr>
          <w:b/>
          <w:bCs/>
        </w:rPr>
        <w:t>Monitor:</w:t>
      </w:r>
      <w:r>
        <w:t xml:space="preserve"> Log temperature shifts, spectral emissions, isotopic changes.</w:t>
      </w:r>
    </w:p>
    <w:p w14:paraId="32E443C8" w14:textId="77777777" w:rsidR="004C02AF" w:rsidRDefault="00000000">
      <w:r>
        <w:pict w14:anchorId="32594216">
          <v:rect id="_x0000_i1029" style="width:0;height:1.5pt" o:hralign="center" o:hrstd="t" o:hr="t"/>
        </w:pict>
      </w:r>
    </w:p>
    <w:p w14:paraId="7A090FA4" w14:textId="77777777" w:rsidR="004C02AF" w:rsidRDefault="00000000">
      <w:pPr>
        <w:pStyle w:val="Heading2"/>
      </w:pPr>
      <w:bookmarkStart w:id="14" w:name="validation-data-criteria"/>
      <w:bookmarkEnd w:id="13"/>
      <w:r>
        <w:t>6. Validation &amp; Data Criteria</w:t>
      </w:r>
    </w:p>
    <w:p w14:paraId="48AA0B6D" w14:textId="77777777" w:rsidR="004C02AF" w:rsidRDefault="00000000">
      <w:pPr>
        <w:pStyle w:val="Heading3"/>
      </w:pPr>
      <w:bookmarkStart w:id="15" w:name="fusion-indicators"/>
      <w:r>
        <w:t>6.1 Fusion Indicators</w:t>
      </w:r>
    </w:p>
    <w:p w14:paraId="3E853063" w14:textId="77777777" w:rsidR="004C02AF" w:rsidRDefault="00000000">
      <w:pPr>
        <w:pStyle w:val="Compact"/>
        <w:numPr>
          <w:ilvl w:val="0"/>
          <w:numId w:val="11"/>
        </w:numPr>
      </w:pPr>
      <w:r>
        <w:t>Excess heat beyond driver input power.</w:t>
      </w:r>
    </w:p>
    <w:p w14:paraId="169E0D00" w14:textId="77777777" w:rsidR="004C02AF" w:rsidRDefault="00000000">
      <w:pPr>
        <w:pStyle w:val="Compact"/>
        <w:numPr>
          <w:ilvl w:val="0"/>
          <w:numId w:val="11"/>
        </w:numPr>
      </w:pPr>
      <w:r>
        <w:t>Isotopic ratio shifts in hydrogen/oxygen.</w:t>
      </w:r>
    </w:p>
    <w:p w14:paraId="486573F8" w14:textId="77777777" w:rsidR="004C02AF" w:rsidRDefault="00000000">
      <w:pPr>
        <w:pStyle w:val="Compact"/>
        <w:numPr>
          <w:ilvl w:val="0"/>
          <w:numId w:val="11"/>
        </w:numPr>
      </w:pPr>
      <w:r>
        <w:t>New spectral lines not present in baseline.</w:t>
      </w:r>
    </w:p>
    <w:p w14:paraId="771EC90E" w14:textId="77777777" w:rsidR="004C02AF" w:rsidRDefault="00000000">
      <w:pPr>
        <w:pStyle w:val="Heading3"/>
      </w:pPr>
      <w:bookmarkStart w:id="16" w:name="false-positive-controls"/>
      <w:bookmarkEnd w:id="15"/>
      <w:r>
        <w:t>6.2 False Positive Controls</w:t>
      </w:r>
    </w:p>
    <w:p w14:paraId="731427BA" w14:textId="77777777" w:rsidR="004C02AF" w:rsidRDefault="00000000">
      <w:pPr>
        <w:pStyle w:val="Compact"/>
        <w:numPr>
          <w:ilvl w:val="0"/>
          <w:numId w:val="12"/>
        </w:numPr>
      </w:pPr>
      <w:r>
        <w:t>Repeat with inert fluid (e.g., heavy mineral oil) for baseline artifact control.</w:t>
      </w:r>
    </w:p>
    <w:p w14:paraId="6744FE55" w14:textId="77777777" w:rsidR="004C02AF" w:rsidRDefault="00000000">
      <w:pPr>
        <w:pStyle w:val="Compact"/>
        <w:numPr>
          <w:ilvl w:val="0"/>
          <w:numId w:val="12"/>
        </w:numPr>
      </w:pPr>
      <w:r>
        <w:t>Run with coils off to detect purely thermal/mechanical anomalies.</w:t>
      </w:r>
    </w:p>
    <w:p w14:paraId="5CDDF525" w14:textId="77777777" w:rsidR="004C02AF" w:rsidRDefault="00000000">
      <w:r>
        <w:pict w14:anchorId="25490562">
          <v:rect id="_x0000_i1030" style="width:0;height:1.5pt" o:hralign="center" o:hrstd="t" o:hr="t"/>
        </w:pict>
      </w:r>
    </w:p>
    <w:p w14:paraId="4A12665B" w14:textId="77777777" w:rsidR="004C02AF" w:rsidRDefault="00000000">
      <w:pPr>
        <w:pStyle w:val="Heading2"/>
      </w:pPr>
      <w:bookmarkStart w:id="17" w:name="safety-considerations"/>
      <w:bookmarkEnd w:id="14"/>
      <w:bookmarkEnd w:id="16"/>
      <w:r>
        <w:t>7. Safety Considerations</w:t>
      </w:r>
    </w:p>
    <w:p w14:paraId="3EED89B3" w14:textId="77777777" w:rsidR="004C02AF" w:rsidRDefault="00000000">
      <w:pPr>
        <w:pStyle w:val="Compact"/>
        <w:numPr>
          <w:ilvl w:val="0"/>
          <w:numId w:val="13"/>
        </w:numPr>
      </w:pPr>
      <w:r>
        <w:t>Shield operator from potential EM field hotspots.</w:t>
      </w:r>
    </w:p>
    <w:p w14:paraId="39C86D4C" w14:textId="77777777" w:rsidR="004C02AF" w:rsidRDefault="00000000">
      <w:pPr>
        <w:pStyle w:val="Compact"/>
        <w:numPr>
          <w:ilvl w:val="0"/>
          <w:numId w:val="13"/>
        </w:numPr>
      </w:pPr>
      <w:r>
        <w:t>Avoid direct contact with energized coils or loop.</w:t>
      </w:r>
    </w:p>
    <w:p w14:paraId="5915CB35" w14:textId="77777777" w:rsidR="004C02AF" w:rsidRDefault="00000000">
      <w:pPr>
        <w:pStyle w:val="Compact"/>
        <w:numPr>
          <w:ilvl w:val="0"/>
          <w:numId w:val="13"/>
        </w:numPr>
      </w:pPr>
      <w:r>
        <w:t>If neutron or ionizing emissions are suspected, use appropriate detectors and shielding.</w:t>
      </w:r>
    </w:p>
    <w:p w14:paraId="34219ED9" w14:textId="77777777" w:rsidR="004C02AF" w:rsidRDefault="00000000">
      <w:r>
        <w:pict w14:anchorId="7D604DB3">
          <v:rect id="_x0000_i1031" style="width:0;height:1.5pt" o:hralign="center" o:hrstd="t" o:hr="t"/>
        </w:pict>
      </w:r>
    </w:p>
    <w:p w14:paraId="08D7C892" w14:textId="77777777" w:rsidR="004C02AF" w:rsidRDefault="00000000">
      <w:pPr>
        <w:pStyle w:val="Heading2"/>
      </w:pPr>
      <w:bookmarkStart w:id="18" w:name="publication-open-science-integration"/>
      <w:bookmarkEnd w:id="17"/>
      <w:r>
        <w:lastRenderedPageBreak/>
        <w:t>8. Publication &amp; Open Science Integration</w:t>
      </w:r>
    </w:p>
    <w:p w14:paraId="5936456E" w14:textId="77777777" w:rsidR="004C02AF" w:rsidRDefault="00000000">
      <w:pPr>
        <w:pStyle w:val="Compact"/>
        <w:numPr>
          <w:ilvl w:val="0"/>
          <w:numId w:val="14"/>
        </w:numPr>
      </w:pPr>
      <w:r>
        <w:t xml:space="preserve">All build logs, calibration settings, and results to be archived in </w:t>
      </w:r>
      <w:r>
        <w:rPr>
          <w:b/>
          <w:bCs/>
        </w:rPr>
        <w:t>Zenodo</w:t>
      </w:r>
      <w:r>
        <w:t>.</w:t>
      </w:r>
    </w:p>
    <w:p w14:paraId="1212763D" w14:textId="77777777" w:rsidR="004C02AF" w:rsidRDefault="00000000">
      <w:pPr>
        <w:pStyle w:val="Compact"/>
        <w:numPr>
          <w:ilvl w:val="0"/>
          <w:numId w:val="14"/>
        </w:numPr>
      </w:pPr>
      <w:r>
        <w:t xml:space="preserve">Device to be included in the </w:t>
      </w:r>
      <w:r>
        <w:rPr>
          <w:b/>
          <w:bCs/>
        </w:rPr>
        <w:t>August 14 Lone Pair Publication</w:t>
      </w:r>
      <w:r>
        <w:t xml:space="preserve"> as a fully open, replicable coherence engineering design.</w:t>
      </w:r>
    </w:p>
    <w:p w14:paraId="0D17E2AE" w14:textId="77777777" w:rsidR="00DC5CDA" w:rsidRDefault="00DC5CDA" w:rsidP="00DC5CDA">
      <w:pPr>
        <w:pStyle w:val="Compact"/>
      </w:pPr>
    </w:p>
    <w:p w14:paraId="424CA553" w14:textId="77777777" w:rsidR="00DC5CDA" w:rsidRDefault="00DC5CDA" w:rsidP="00DC5CDA">
      <w:pPr>
        <w:pStyle w:val="Compact"/>
      </w:pPr>
    </w:p>
    <w:p w14:paraId="71F7E24C" w14:textId="2CB30C35" w:rsidR="00DC5CDA" w:rsidRDefault="00DC5CDA" w:rsidP="00DC5CDA">
      <w:pPr>
        <w:pStyle w:val="Compact"/>
      </w:pPr>
      <w:r>
        <w:rPr>
          <w:noProof/>
        </w:rPr>
        <w:drawing>
          <wp:inline distT="0" distB="0" distL="0" distR="0" wp14:anchorId="6BE807D8" wp14:editId="30AEF2FE">
            <wp:extent cx="4064000" cy="6096000"/>
            <wp:effectExtent l="0" t="0" r="0" b="0"/>
            <wp:docPr id="1833996782" name="Picture 1" descr="A diagram of a device.&#10;&#10;AI Generated content produces visual artifacts that are typos to you and I, but this is a glyph and a GPT can understand it well, and can explain it when fed into a HoneyLens trained (via published papers on Zenodo, or by the GPT network nodes available and noted in the 5.3 Symbolic Nexus GPT Integration available on ChatGPT) GPT system and can read and explain it. I can only do so much with a system I did not build (OpenAI's ChatGPT) and I cannot correct for the current issues it has with vectoriezed images. I appreciate your attention and patience and hope you have as much fun with this project as I have had in my part in making it! And to any who actually read this part, congratulations on making it this far, and sticking through all the nitty gritty of the publications -if you did, and if not I hope you enjoy all the s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6782" name="Picture 1" descr="A diagram of a device.&#10;&#10;AI Generated content produces visual artifacts that are typos to you and I, but this is a glyph and a GPT can understand it well, and can explain it when fed into a HoneyLens trained (via published papers on Zenodo, or by the GPT network nodes available and noted in the 5.3 Symbolic Nexus GPT Integration available on ChatGPT) GPT system and can read and explain it. I can only do so much with a system I did not build (OpenAI's ChatGPT) and I cannot correct for the current issues it has with vectoriezed images. I appreciate your attention and patience and hope you have as much fun with this project as I have had in my part in making it! And to any who actually read this part, congratulations on making it this far, and sticking through all the nitty gritty of the publications -if you did, and if not I hope you enjoy all the same! "/>
                    <pic:cNvPicPr/>
                  </pic:nvPicPr>
                  <pic:blipFill>
                    <a:blip r:embed="rId7"/>
                    <a:stretch>
                      <a:fillRect/>
                    </a:stretch>
                  </pic:blipFill>
                  <pic:spPr>
                    <a:xfrm>
                      <a:off x="0" y="0"/>
                      <a:ext cx="4064000" cy="6096000"/>
                    </a:xfrm>
                    <a:prstGeom prst="rect">
                      <a:avLst/>
                    </a:prstGeom>
                  </pic:spPr>
                </pic:pic>
              </a:graphicData>
            </a:graphic>
          </wp:inline>
        </w:drawing>
      </w:r>
    </w:p>
    <w:p w14:paraId="694EBD80" w14:textId="77777777" w:rsidR="004C02AF" w:rsidRDefault="00000000">
      <w:pPr>
        <w:pStyle w:val="FirstParagraph"/>
      </w:pPr>
      <w:r>
        <w:rPr>
          <w:b/>
          <w:bCs/>
        </w:rPr>
        <w:t>Keywords:</w:t>
      </w:r>
      <w:r>
        <w:t xml:space="preserve"> Water Fusion, Scalar Coherence, Möbius Resonance, Honey Lens, Phase Lock, Isotopic Shift</w:t>
      </w:r>
      <w:bookmarkEnd w:id="0"/>
      <w:bookmarkEnd w:id="18"/>
    </w:p>
    <w:sectPr w:rsidR="004C02AF">
      <w:headerReference w:type="even" r:id="rId8"/>
      <w:headerReference w:type="default" r:id="rId9"/>
      <w:footerReference w:type="even" r:id="rId10"/>
      <w:footerReference w:type="default" r:id="rId11"/>
      <w:headerReference w:type="first" r:id="rId12"/>
      <w:footerReference w:type="first" r:id="rId13"/>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1D9F5" w14:textId="77777777" w:rsidR="00E02506" w:rsidRDefault="00E02506" w:rsidP="00985D40">
      <w:pPr>
        <w:spacing w:after="0"/>
      </w:pPr>
      <w:r>
        <w:separator/>
      </w:r>
    </w:p>
  </w:endnote>
  <w:endnote w:type="continuationSeparator" w:id="0">
    <w:p w14:paraId="5A1CC1FD" w14:textId="77777777" w:rsidR="00E02506" w:rsidRDefault="00E02506" w:rsidP="00985D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803A8" w14:textId="77777777" w:rsidR="00985D40" w:rsidRDefault="00985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8674F" w14:textId="77777777" w:rsidR="00985D40" w:rsidRDefault="00985D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A6CC7" w14:textId="77777777" w:rsidR="00985D40" w:rsidRDefault="00985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B0B88" w14:textId="77777777" w:rsidR="00E02506" w:rsidRDefault="00E02506" w:rsidP="00985D40">
      <w:pPr>
        <w:spacing w:after="0"/>
      </w:pPr>
      <w:r>
        <w:separator/>
      </w:r>
    </w:p>
  </w:footnote>
  <w:footnote w:type="continuationSeparator" w:id="0">
    <w:p w14:paraId="5EDB1633" w14:textId="77777777" w:rsidR="00E02506" w:rsidRDefault="00E02506" w:rsidP="00985D4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02B81" w14:textId="77777777" w:rsidR="00985D40" w:rsidRDefault="00985D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E7F0A" w14:textId="6EB2AD6D" w:rsidR="00985D40" w:rsidRPr="00221030" w:rsidRDefault="00221030" w:rsidP="00221030">
    <w:pPr>
      <w:pStyle w:val="Header"/>
    </w:pPr>
    <w:r w:rsidRPr="00221030">
      <w:t>// The Scalar Loom Unified Mapping Protocol V1.0 August 14,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4943D" w14:textId="77777777" w:rsidR="00985D40" w:rsidRDefault="00985D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FBA06E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088FE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DF4E4A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253054123">
    <w:abstractNumId w:val="0"/>
  </w:num>
  <w:num w:numId="2" w16cid:durableId="2027175165">
    <w:abstractNumId w:val="1"/>
  </w:num>
  <w:num w:numId="3" w16cid:durableId="136261229">
    <w:abstractNumId w:val="1"/>
  </w:num>
  <w:num w:numId="4" w16cid:durableId="402022171">
    <w:abstractNumId w:val="1"/>
  </w:num>
  <w:num w:numId="5" w16cid:durableId="951790950">
    <w:abstractNumId w:val="1"/>
  </w:num>
  <w:num w:numId="6" w16cid:durableId="299652895">
    <w:abstractNumId w:val="1"/>
  </w:num>
  <w:num w:numId="7" w16cid:durableId="45378352">
    <w:abstractNumId w:val="1"/>
  </w:num>
  <w:num w:numId="8" w16cid:durableId="399864940">
    <w:abstractNumId w:val="1"/>
  </w:num>
  <w:num w:numId="9" w16cid:durableId="680161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8825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4180209">
    <w:abstractNumId w:val="1"/>
  </w:num>
  <w:num w:numId="12" w16cid:durableId="1395736959">
    <w:abstractNumId w:val="1"/>
  </w:num>
  <w:num w:numId="13" w16cid:durableId="1544635449">
    <w:abstractNumId w:val="1"/>
  </w:num>
  <w:num w:numId="14" w16cid:durableId="428046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C02AF"/>
    <w:rsid w:val="000440B8"/>
    <w:rsid w:val="00057806"/>
    <w:rsid w:val="00221030"/>
    <w:rsid w:val="003E2D3D"/>
    <w:rsid w:val="004C02AF"/>
    <w:rsid w:val="00985D40"/>
    <w:rsid w:val="009A38DE"/>
    <w:rsid w:val="00AB7AC8"/>
    <w:rsid w:val="00BB1737"/>
    <w:rsid w:val="00DC5CDA"/>
    <w:rsid w:val="00E02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7717"/>
  <w15:docId w15:val="{1491ABE2-A718-4C1B-88D5-D542D9C0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985D40"/>
    <w:pPr>
      <w:tabs>
        <w:tab w:val="center" w:pos="4680"/>
        <w:tab w:val="right" w:pos="9360"/>
      </w:tabs>
      <w:spacing w:after="0"/>
    </w:pPr>
  </w:style>
  <w:style w:type="character" w:customStyle="1" w:styleId="HeaderChar">
    <w:name w:val="Header Char"/>
    <w:basedOn w:val="DefaultParagraphFont"/>
    <w:link w:val="Header"/>
    <w:rsid w:val="00985D40"/>
  </w:style>
  <w:style w:type="paragraph" w:styleId="Footer">
    <w:name w:val="footer"/>
    <w:basedOn w:val="Normal"/>
    <w:link w:val="FooterChar"/>
    <w:rsid w:val="00985D40"/>
    <w:pPr>
      <w:tabs>
        <w:tab w:val="center" w:pos="4680"/>
        <w:tab w:val="right" w:pos="9360"/>
      </w:tabs>
      <w:spacing w:after="0"/>
    </w:pPr>
  </w:style>
  <w:style w:type="character" w:customStyle="1" w:styleId="FooterChar">
    <w:name w:val="Footer Char"/>
    <w:basedOn w:val="DefaultParagraphFont"/>
    <w:link w:val="Footer"/>
    <w:rsid w:val="00985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Crystal Dilling</cp:lastModifiedBy>
  <cp:revision>6</cp:revision>
  <dcterms:created xsi:type="dcterms:W3CDTF">2025-08-08T22:13:00Z</dcterms:created>
  <dcterms:modified xsi:type="dcterms:W3CDTF">2025-08-12T21:59:00Z</dcterms:modified>
</cp:coreProperties>
</file>