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288DD" w14:textId="696B7F22" w:rsidR="006010EC" w:rsidRDefault="006010EC" w:rsidP="006010E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Excel Homework – </w:t>
      </w:r>
      <w:r w:rsidR="00D11BF5">
        <w:rPr>
          <w:rFonts w:ascii="Menlo" w:hAnsi="Menlo" w:cs="Menlo"/>
          <w:color w:val="000000"/>
        </w:rPr>
        <w:t xml:space="preserve">Summary </w:t>
      </w:r>
      <w:r>
        <w:rPr>
          <w:rFonts w:ascii="Menlo" w:hAnsi="Menlo" w:cs="Menlo"/>
          <w:color w:val="000000"/>
        </w:rPr>
        <w:t xml:space="preserve">Report </w:t>
      </w:r>
    </w:p>
    <w:p w14:paraId="1E80EC28" w14:textId="52A7B28D" w:rsidR="006010EC" w:rsidRDefault="006010EC" w:rsidP="006010E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Usha Chari</w:t>
      </w:r>
    </w:p>
    <w:p w14:paraId="0679AE82" w14:textId="778BC063" w:rsidR="006010EC" w:rsidRDefault="006010EC" w:rsidP="006010E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7/12/2020</w:t>
      </w:r>
    </w:p>
    <w:p w14:paraId="4E4231D6" w14:textId="77777777" w:rsidR="006010EC" w:rsidRDefault="006010EC" w:rsidP="006010E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1A95C3A" w14:textId="56BD1507" w:rsidR="006010EC" w:rsidRPr="00D11BF5" w:rsidRDefault="006010EC" w:rsidP="006010EC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Given the provided data, what are three conclusions we can draw about Kickstarter campaigns?</w:t>
      </w:r>
    </w:p>
    <w:p w14:paraId="41CD2ECC" w14:textId="6F34A834" w:rsidR="00A81FC5" w:rsidRPr="00D11BF5" w:rsidRDefault="00A81FC5" w:rsidP="006010EC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‘Music’ and ‘Theater’ categories lead the successful campaigns and the subcategory ‘Plays’ does best amongst all subcategories</w:t>
      </w:r>
      <w:r w:rsidR="00F6343C" w:rsidRPr="00D11BF5">
        <w:rPr>
          <w:rFonts w:ascii="Helvetica Neue" w:hAnsi="Helvetica Neue" w:cs="Helvetica Neue"/>
          <w:color w:val="000000"/>
          <w:sz w:val="22"/>
          <w:szCs w:val="22"/>
        </w:rPr>
        <w:t xml:space="preserve"> in</w:t>
      </w:r>
      <w:r w:rsidR="00F6343C" w:rsidRPr="00D11BF5">
        <w:rPr>
          <w:rFonts w:ascii="Helvetica Neue" w:hAnsi="Helvetica Neue" w:cs="Helvetica Neue"/>
          <w:color w:val="000000"/>
          <w:sz w:val="22"/>
          <w:szCs w:val="22"/>
        </w:rPr>
        <w:t xml:space="preserve"> the month of ‘May’ if the goal is lesser the success rate is higher.</w:t>
      </w:r>
    </w:p>
    <w:p w14:paraId="712FFBD7" w14:textId="77777777" w:rsidR="00F6343C" w:rsidRPr="00D11BF5" w:rsidRDefault="00A81FC5" w:rsidP="00F6343C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From a country standpoint, ‘US’ seems to do better with the kick-starter campaigns than other countries</w:t>
      </w:r>
      <w:r w:rsidR="00F6343C" w:rsidRPr="00D11BF5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p w14:paraId="54F3E0DA" w14:textId="5E8B01ED" w:rsidR="00A81FC5" w:rsidRPr="00D11BF5" w:rsidRDefault="00F6343C" w:rsidP="00F6343C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On a very high level, there are more successful campaigns than failed campaigns</w:t>
      </w:r>
      <w:r w:rsidRPr="00D11BF5">
        <w:rPr>
          <w:rFonts w:ascii="Helvetica Neue" w:hAnsi="Helvetica Neue" w:cs="Helvetica Neue"/>
          <w:color w:val="000000"/>
          <w:sz w:val="22"/>
          <w:szCs w:val="22"/>
        </w:rPr>
        <w:t xml:space="preserve">.  </w:t>
      </w:r>
      <w:r w:rsidR="00D11BF5" w:rsidRPr="00D11BF5">
        <w:rPr>
          <w:rFonts w:ascii="Helvetica Neue" w:hAnsi="Helvetica Neue" w:cs="Helvetica Neue"/>
          <w:color w:val="000000"/>
          <w:sz w:val="22"/>
          <w:szCs w:val="22"/>
        </w:rPr>
        <w:t>However,</w:t>
      </w:r>
      <w:r w:rsidRPr="00D11BF5">
        <w:rPr>
          <w:rFonts w:ascii="Helvetica Neue" w:hAnsi="Helvetica Neue" w:cs="Helvetica Neue"/>
          <w:color w:val="000000"/>
          <w:sz w:val="22"/>
          <w:szCs w:val="22"/>
        </w:rPr>
        <w:t xml:space="preserve"> the average successful campaigns raise lesser money than the average failed campaigns</w:t>
      </w:r>
      <w:r w:rsidRPr="00D11BF5">
        <w:rPr>
          <w:rFonts w:ascii="Helvetica Neue" w:hAnsi="Helvetica Neue" w:cs="Helvetica Neue"/>
          <w:color w:val="000000"/>
          <w:sz w:val="22"/>
          <w:szCs w:val="22"/>
        </w:rPr>
        <w:t>, which seems to imply that we have to focus the efforts on making bigger campaigns successful</w:t>
      </w:r>
    </w:p>
    <w:tbl>
      <w:tblPr>
        <w:tblW w:w="9454" w:type="dxa"/>
        <w:tblLook w:val="04A0" w:firstRow="1" w:lastRow="0" w:firstColumn="1" w:lastColumn="0" w:noHBand="0" w:noVBand="1"/>
      </w:tblPr>
      <w:tblGrid>
        <w:gridCol w:w="1137"/>
        <w:gridCol w:w="195"/>
        <w:gridCol w:w="911"/>
        <w:gridCol w:w="226"/>
        <w:gridCol w:w="1106"/>
        <w:gridCol w:w="133"/>
        <w:gridCol w:w="1332"/>
        <w:gridCol w:w="39"/>
        <w:gridCol w:w="1332"/>
        <w:gridCol w:w="102"/>
        <w:gridCol w:w="1332"/>
        <w:gridCol w:w="277"/>
        <w:gridCol w:w="1332"/>
      </w:tblGrid>
      <w:tr w:rsidR="00F6343C" w:rsidRPr="00F6343C" w14:paraId="3E166621" w14:textId="77777777" w:rsidTr="00F6343C">
        <w:trPr>
          <w:gridAfter w:val="1"/>
          <w:wAfter w:w="1332" w:type="dxa"/>
          <w:trHeight w:val="198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CB60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1DE2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3242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C892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6488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6090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343C" w:rsidRPr="00F6343C" w14:paraId="03E7EE93" w14:textId="77777777" w:rsidTr="00F6343C">
        <w:trPr>
          <w:gridBefore w:val="2"/>
          <w:wBefore w:w="1332" w:type="dxa"/>
          <w:trHeight w:val="198"/>
        </w:trPr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58D674" w14:textId="77777777" w:rsidR="00F6343C" w:rsidRPr="00F6343C" w:rsidRDefault="00F6343C" w:rsidP="00F6343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Row Labels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7281181" w14:textId="77777777" w:rsidR="00F6343C" w:rsidRPr="00F6343C" w:rsidRDefault="00F6343C" w:rsidP="00F6343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Count of state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47B52" w14:textId="77777777" w:rsidR="00F6343C" w:rsidRPr="00F6343C" w:rsidRDefault="00F6343C" w:rsidP="00F6343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Sum of goal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6BE391" w14:textId="77777777" w:rsidR="00F6343C" w:rsidRPr="00F6343C" w:rsidRDefault="00F6343C" w:rsidP="00F6343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Sum of pledged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DEEF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Goal per Campaign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64593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Pledge per Campaign</w:t>
            </w:r>
          </w:p>
        </w:tc>
      </w:tr>
      <w:tr w:rsidR="00F6343C" w:rsidRPr="00F6343C" w14:paraId="72046576" w14:textId="77777777" w:rsidTr="00F6343C">
        <w:trPr>
          <w:gridBefore w:val="2"/>
          <w:wBefore w:w="1332" w:type="dxa"/>
          <w:trHeight w:val="198"/>
        </w:trPr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2C88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canceled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40E8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349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0CE1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gramStart"/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$  180,776,788.00</w:t>
            </w:r>
            <w:proofErr w:type="gramEnd"/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CC50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2,542,931.51 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D1DB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B2A0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343C" w:rsidRPr="00F6343C" w14:paraId="090E1CB9" w14:textId="77777777" w:rsidTr="00F6343C">
        <w:trPr>
          <w:gridBefore w:val="2"/>
          <w:wBefore w:w="1332" w:type="dxa"/>
          <w:trHeight w:val="198"/>
        </w:trPr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48B1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failed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8CA3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1530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16FE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92,651,279.00 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D694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2,838,967.40 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D079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         60,556.39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A3B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                 1,855.53 </w:t>
            </w:r>
          </w:p>
        </w:tc>
      </w:tr>
      <w:tr w:rsidR="00F6343C" w:rsidRPr="00F6343C" w14:paraId="117EAA4C" w14:textId="77777777" w:rsidTr="00F6343C">
        <w:trPr>
          <w:gridBefore w:val="2"/>
          <w:wBefore w:w="1332" w:type="dxa"/>
          <w:trHeight w:val="198"/>
        </w:trPr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9D06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live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FBBE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50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9EEF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       969,039.00 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1AC8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    196,109.38 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29F9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FB97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343C" w:rsidRPr="00F6343C" w14:paraId="0175D849" w14:textId="77777777" w:rsidTr="00F6343C">
        <w:trPr>
          <w:gridBefore w:val="2"/>
          <w:wBefore w:w="1332" w:type="dxa"/>
          <w:trHeight w:val="198"/>
        </w:trPr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E24D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successful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82C2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2185</w:t>
            </w: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1DB2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21,559,363.81 </w:t>
            </w: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31F8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  <w:proofErr w:type="gramStart"/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$  40,595,733.37</w:t>
            </w:r>
            <w:proofErr w:type="gramEnd"/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DE1E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            9,866.99 </w:t>
            </w: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1BBD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 xml:space="preserve"> $                   18,579.28 </w:t>
            </w:r>
          </w:p>
        </w:tc>
      </w:tr>
      <w:tr w:rsidR="00F6343C" w:rsidRPr="00F6343C" w14:paraId="0A3DD017" w14:textId="77777777" w:rsidTr="00F6343C">
        <w:trPr>
          <w:gridBefore w:val="2"/>
          <w:wBefore w:w="1332" w:type="dxa"/>
          <w:trHeight w:val="198"/>
        </w:trPr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2BF5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  <w:t>(blank)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1BC3" w14:textId="77777777" w:rsidR="00F6343C" w:rsidRPr="00F6343C" w:rsidRDefault="00F6343C" w:rsidP="00F6343C">
            <w:pPr>
              <w:rPr>
                <w:rFonts w:ascii="Calibri" w:eastAsia="Times New Roman" w:hAnsi="Calibri" w:cs="Calibri"/>
                <w:color w:val="000000"/>
                <w:sz w:val="15"/>
                <w:szCs w:val="15"/>
              </w:rPr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F14D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3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F6E1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2C3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B154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  <w:tr w:rsidR="00F6343C" w:rsidRPr="00F6343C" w14:paraId="54E1A835" w14:textId="77777777" w:rsidTr="00F6343C">
        <w:trPr>
          <w:gridBefore w:val="2"/>
          <w:wBefore w:w="1332" w:type="dxa"/>
          <w:trHeight w:val="67"/>
        </w:trPr>
        <w:tc>
          <w:tcPr>
            <w:tcW w:w="1137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064C8DE" w14:textId="77777777" w:rsidR="00F6343C" w:rsidRPr="00F6343C" w:rsidRDefault="00F6343C" w:rsidP="00F6343C">
            <w:pPr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Grand Total</w:t>
            </w:r>
          </w:p>
        </w:tc>
        <w:tc>
          <w:tcPr>
            <w:tcW w:w="110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57A9D34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4114</w:t>
            </w:r>
          </w:p>
        </w:tc>
        <w:tc>
          <w:tcPr>
            <w:tcW w:w="1465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BEDA258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295956469.8</w:t>
            </w:r>
          </w:p>
        </w:tc>
        <w:tc>
          <w:tcPr>
            <w:tcW w:w="1371" w:type="dxa"/>
            <w:gridSpan w:val="2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2679D2A7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  <w:r w:rsidRPr="00F6343C"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  <w:t>46173741.66</w:t>
            </w:r>
          </w:p>
        </w:tc>
        <w:tc>
          <w:tcPr>
            <w:tcW w:w="14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0B7D" w14:textId="77777777" w:rsidR="00F6343C" w:rsidRPr="00F6343C" w:rsidRDefault="00F6343C" w:rsidP="00F6343C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8470" w14:textId="77777777" w:rsidR="00F6343C" w:rsidRPr="00F6343C" w:rsidRDefault="00F6343C" w:rsidP="00F6343C">
            <w:pPr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</w:tc>
      </w:tr>
    </w:tbl>
    <w:p w14:paraId="0FB89620" w14:textId="77777777" w:rsidR="00F6343C" w:rsidRPr="00F6343C" w:rsidRDefault="00F6343C" w:rsidP="00F6343C">
      <w:p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8"/>
          <w:szCs w:val="28"/>
        </w:rPr>
      </w:pPr>
    </w:p>
    <w:p w14:paraId="077E5B25" w14:textId="77777777" w:rsidR="006010EC" w:rsidRPr="006010EC" w:rsidRDefault="006010EC" w:rsidP="006010EC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9440406" w14:textId="4BC34A64" w:rsidR="006010EC" w:rsidRPr="00D11BF5" w:rsidRDefault="006010EC" w:rsidP="006010EC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What are some limitations of this dataset?</w:t>
      </w:r>
    </w:p>
    <w:p w14:paraId="42844B5A" w14:textId="4AAE21AC" w:rsidR="00624C3B" w:rsidRDefault="00624C3B" w:rsidP="00A81FC5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methodology used to select these ~4000 projects from the broader 300,000 projects. This sample perhaps may not be representative of the population so the inferences drawn from this sample may not be accurate</w:t>
      </w:r>
    </w:p>
    <w:p w14:paraId="1E09B21A" w14:textId="0905E73A" w:rsidR="00A81FC5" w:rsidRPr="00D11BF5" w:rsidRDefault="00A81FC5" w:rsidP="00A81FC5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Not all countries are seen in the data and so we may be able to show different kind of graphs if more countries were included</w:t>
      </w:r>
    </w:p>
    <w:p w14:paraId="104F3EC8" w14:textId="77777777" w:rsidR="006010EC" w:rsidRPr="00D11BF5" w:rsidRDefault="006010EC" w:rsidP="006010EC">
      <w:pPr>
        <w:pStyle w:val="ListParagraph"/>
        <w:rPr>
          <w:rFonts w:ascii="Menlo" w:hAnsi="Menlo" w:cs="Menlo"/>
          <w:color w:val="000000"/>
          <w:sz w:val="22"/>
          <w:szCs w:val="22"/>
        </w:rPr>
      </w:pPr>
    </w:p>
    <w:p w14:paraId="1CAE0906" w14:textId="77777777" w:rsidR="006010EC" w:rsidRPr="00D11BF5" w:rsidRDefault="006010EC" w:rsidP="006010EC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5B23AF" w14:textId="7C453FB3" w:rsidR="006010EC" w:rsidRPr="00D11BF5" w:rsidRDefault="006010EC" w:rsidP="006010EC">
      <w:pPr>
        <w:pStyle w:val="ListParagraph"/>
        <w:numPr>
          <w:ilvl w:val="0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What are some other possible tables and/or graphs that we could create?</w:t>
      </w:r>
    </w:p>
    <w:p w14:paraId="07A9C2E5" w14:textId="44154D59" w:rsidR="00A81FC5" w:rsidRPr="00D11BF5" w:rsidRDefault="00A81FC5" w:rsidP="00A81FC5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We could do a country-based graph on successful categories and see which country does better with ‘pledged’ amounts versus the goal.</w:t>
      </w:r>
    </w:p>
    <w:p w14:paraId="00452EA5" w14:textId="67BC6940" w:rsidR="00A81FC5" w:rsidRPr="00D11BF5" w:rsidRDefault="00A81FC5" w:rsidP="00A81FC5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Using ‘Date Created’ and ‘Date Ended’ we can do some charts to see if the results are better if we run the campaign for more weeks or less weeks.</w:t>
      </w:r>
    </w:p>
    <w:p w14:paraId="421EB0EA" w14:textId="2C8D9D35" w:rsidR="00A81FC5" w:rsidRPr="00D11BF5" w:rsidRDefault="00A81FC5" w:rsidP="00A81FC5">
      <w:pPr>
        <w:pStyle w:val="ListParagraph"/>
        <w:numPr>
          <w:ilvl w:val="1"/>
          <w:numId w:val="1"/>
        </w:numPr>
        <w:tabs>
          <w:tab w:val="left" w:pos="593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D11BF5">
        <w:rPr>
          <w:rFonts w:ascii="Helvetica Neue" w:hAnsi="Helvetica Neue" w:cs="Helvetica Neue"/>
          <w:color w:val="000000"/>
          <w:sz w:val="22"/>
          <w:szCs w:val="22"/>
        </w:rPr>
        <w:t>To improve on the ‘failed’ or ‘canceled’ we can draw charts to see the data for just failed/canceled and compare the country, goal, pledged and what kind of categories are more prone to failing.</w:t>
      </w:r>
    </w:p>
    <w:p w14:paraId="216E2D2F" w14:textId="77777777" w:rsidR="006010EC" w:rsidRPr="00D11BF5" w:rsidRDefault="006010EC" w:rsidP="006010EC">
      <w:pPr>
        <w:pStyle w:val="ListParagraph"/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E643B7" w14:textId="77777777" w:rsidR="00F32153" w:rsidRPr="00D11BF5" w:rsidRDefault="00624C3B">
      <w:pPr>
        <w:rPr>
          <w:sz w:val="22"/>
          <w:szCs w:val="22"/>
        </w:rPr>
      </w:pPr>
    </w:p>
    <w:sectPr w:rsidR="00F32153" w:rsidRPr="00D11BF5" w:rsidSect="00DB34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D658D"/>
    <w:multiLevelType w:val="hybridMultilevel"/>
    <w:tmpl w:val="55AE7616"/>
    <w:lvl w:ilvl="0" w:tplc="8E667B0E">
      <w:start w:val="1"/>
      <w:numFmt w:val="decimal"/>
      <w:lvlText w:val="%1."/>
      <w:lvlJc w:val="left"/>
      <w:pPr>
        <w:ind w:left="720" w:hanging="360"/>
      </w:pPr>
      <w:rPr>
        <w:rFonts w:hint="default"/>
        <w:color w:val="815F0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49"/>
    <w:rsid w:val="00253D49"/>
    <w:rsid w:val="006010EC"/>
    <w:rsid w:val="00624C3B"/>
    <w:rsid w:val="00A356EB"/>
    <w:rsid w:val="00A81FC5"/>
    <w:rsid w:val="00C73A79"/>
    <w:rsid w:val="00D11BF5"/>
    <w:rsid w:val="00F6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0EB8F"/>
  <w15:chartTrackingRefBased/>
  <w15:docId w15:val="{6337A693-61A0-2842-A60D-5B3802CC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2020-07-13T08:26:00Z</dcterms:created>
  <dcterms:modified xsi:type="dcterms:W3CDTF">2020-07-13T23:58:00Z</dcterms:modified>
</cp:coreProperties>
</file>