
<file path=[Content_Types].xml><?xml version="1.0" encoding="utf-8"?>
<Types xmlns="http://schemas.openxmlformats.org/package/2006/content-types">
  <Default Extension="png" ContentType="image/png"/>
  <Default Extension="jpeg" ContentType="image/jpeg"/>
  <Default Extension="bmp" ContentType="image/bmp"/>
  <Default Extension="rels" ContentType="application/vnd.openxmlformats-package.relationships+xml"/>
  <Default Extension="xml" ContentType="application/xml"/>
  <Default Extension="emf" ContentType="image/x-emf"/>
  <Default Extension="wmf" ContentType="image/x-wmf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0716"/>
      </w:tblGrid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</w:pPr>
            <w:r>
              <w:rPr>
                <w:position w:val="-61"/>
              </w:rPr>
              <w:drawing>
                <wp:inline distT="0" distB="0" distL="0" distR="0">
                  <wp:extent cx="3810000" cy="904875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35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48"/>
              </w:rPr>
              <w:t xml:space="preserve">Готовое решение: Какие меры по защите персональных данных физлиц нужно принимать при обработке этих данных</w:t>
              <w:br/>
              <w:t xml:space="preserve">(КонсультантПлюс, 2026)</w:t>
            </w:r>
          </w:p>
        </w:tc>
      </w:tr>
      <w:tr>
        <w:trPr>
          <w:trHeight w:val="3031" w:hRule="exact"/>
        </w:trPr>
        <w:tblPrEx>
          <w:tblBorders>
            <w:top w:val="nil"/>
            <w:left w:val="nil"/>
            <w:bottom w:val="nil"/>
            <w:right w:val="nil"/>
            <w:insideV w:val="nil"/>
            <w:insideH w:val="nil"/>
          </w:tblBorders>
        </w:tblPrEx>
        <w:tc>
          <w:tcPr>
            <w:tcW w:w="10716" w:type="dxa"/>
            <w:vAlign w:val="center"/>
            <w:tcMar>
              <w:top w:w="60" w:type="dxa"/>
              <w:left w:w="80" w:type="dxa"/>
              <w:bottom w:w="60" w:type="dxa"/>
              <w:right w:w="8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5"/>
              <w:jc w:val="center"/>
            </w:pPr>
            <w:r>
              <w:rPr>
                <w:sz w:val="28"/>
              </w:rPr>
              <w:t xml:space="preserve">Документ предоставлен </w:t>
            </w:r>
            <w:hyperlink w:history="0" r:id="rId4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КонсультантПлюс</w:t>
                <w:br/>
                <w:br/>
              </w:r>
            </w:hyperlink>
            <w:hyperlink w:history="0" r:id="rId5" w:tooltip="Ссылка на КонсультантПлюс">
              <w:r>
                <w:rPr>
                  <w:sz w:val="28"/>
                  <w:color w:val="0000ff"/>
                  <w:b w:val="on"/>
                </w:rPr>
                <w:t xml:space="preserve">www.consultant.ru</w:t>
              </w:r>
            </w:hyperlink>
            <w:r>
              <w:rPr>
                <w:sz w:val="28"/>
              </w:rPr>
              <w:br/>
              <w:br/>
              <w:t xml:space="preserve">Дата сохранения: 04.02.2026</w:t>
            </w:r>
            <w:r>
              <w:rPr>
                <w:sz w:val="28"/>
              </w:rPr>
              <w:br/>
              <w:t xml:space="preserve"> </w:t>
            </w:r>
          </w:p>
        </w:tc>
      </w:tr>
    </w:tbl>
    <w:p>
      <w:pPr>
        <w:sectPr>
          <w:pgSz w:w="11906" w:h="16838"/>
          <w:pgMar w:top="841" w:right="595" w:bottom="841" w:left="595" w:header="0" w:footer="0" w:gutter="0"/>
          <w:titlePg/>
        </w:sectPr>
      </w:pPr>
    </w:p>
    <w:p>
      <w:pPr>
        <w:pStyle w:val="0"/>
        <w:outlineLvl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13"/>
        <w:gridCol w:w="9921"/>
        <w:gridCol w:w="113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ced3f1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13" w:type="dxa"/>
              <w:left w:w="0" w:type="dxa"/>
              <w:bottom w:w="113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right"/>
            </w:pPr>
            <w:r>
              <w:rPr>
                <w:sz w:val="24"/>
                <w:color w:val="392c69"/>
              </w:rPr>
              <w:t xml:space="preserve">КонсультантПлюс | Готовое решение | </w:t>
            </w:r>
            <w:r>
              <w:rPr>
                <w:sz w:val="24"/>
                <w:color w:val="392c69"/>
                <w:b w:val="on"/>
              </w:rPr>
              <w:t xml:space="preserve">Актуально на 03.02.2026</w:t>
            </w:r>
          </w:p>
        </w:tc>
        <w:tc>
          <w:tcPr>
            <w:tcW w:w="113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4f3f8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520" w:lineRule="auto"/>
      </w:pPr>
      <w:r>
        <w:rPr>
          <w:sz w:val="40"/>
          <w:b w:val="on"/>
        </w:rPr>
        <w:t xml:space="preserve">Какие меры по защите персональных данных физлиц нужно принимать при обработке этих данных</w:t>
      </w:r>
    </w:p>
    <w:p>
      <w:pPr>
        <w:pStyle w:val="0"/>
        <w:jc w:val="both"/>
      </w:pPr>
      <w:r>
        <w:rPr>
          <w:sz w:val="40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60"/>
        <w:gridCol w:w="180"/>
        <w:gridCol w:w="9847"/>
        <w:gridCol w:w="180"/>
      </w:tblGrid>
      <w:tr>
        <w:tc>
          <w:tcPr>
            <w:tcW w:w="6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e9500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2f4e6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shd w:val="clear" w:fill="f2f4e6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При обработке персональных данных физлиц, к примеру ваших клиентов, партнеров, вы должны принять меры, чтобы не допустить любые противоправные действия в отношении этих данных, в частности их копирование, распространение.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  <w:t xml:space="preserve">Для этого вам нужно создать определенный пакет документов, включая положение об обработке персональных данных и приказы о назначении ответственных, а также принять ряд организационных и технических мер, в том числе ограничить доступ в помещения, установить пароли.</w:t>
            </w:r>
          </w:p>
          <w:p>
            <w:pPr>
              <w:pStyle w:val="0"/>
              <w:jc w:val="both"/>
            </w:pPr>
            <w:r>
              <w:rPr>
                <w:sz w:val="24"/>
              </w:rPr>
              <w:t xml:space="preserve">Сложнее всего организовать защиту данных, которые вы храните в электронном виде. Для этого вам придется предварительно определить тип угрозы и подобрать нужный уровень защищенности данных.</w:t>
            </w:r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shd w:val="clear" w:fill="f2f4e6"/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spacing w:before="440" w:lineRule="auto"/>
        <w:jc w:val="both"/>
      </w:pPr>
      <w:r>
        <w:rPr>
          <w:sz w:val="34"/>
        </w:rPr>
      </w:r>
    </w:p>
    <w:p>
      <w:pPr>
        <w:pStyle w:val="0"/>
      </w:pPr>
      <w:r>
        <w:rPr>
          <w:sz w:val="34"/>
          <w:b w:val="on"/>
        </w:rPr>
        <w:t xml:space="preserve">Оглавление:</w:t>
      </w:r>
    </w:p>
    <w:p>
      <w:pPr>
        <w:pStyle w:val="0"/>
        <w:spacing w:before="380" w:lineRule="auto"/>
        <w:ind w:left="180"/>
      </w:pPr>
      <w:r>
        <w:rPr>
          <w:sz w:val="24"/>
        </w:rPr>
        <w:t xml:space="preserve">1. </w:t>
      </w:r>
      <w:hyperlink w:history="0" w:anchor="P13" w:tooltip="1. Какие требования предъявляются к защите персональных данных">
        <w:r>
          <w:rPr>
            <w:sz w:val="24"/>
            <w:color w:val="0000ff"/>
          </w:rPr>
          <w:t xml:space="preserve">Какие требования предъявляются к защите персональных данных</w:t>
        </w:r>
      </w:hyperlink>
    </w:p>
    <w:p>
      <w:pPr>
        <w:pStyle w:val="0"/>
        <w:ind w:left="180"/>
      </w:pPr>
      <w:r>
        <w:rPr>
          <w:sz w:val="24"/>
        </w:rPr>
        <w:t xml:space="preserve">2. </w:t>
      </w:r>
      <w:hyperlink w:history="0" w:anchor="P21" w:tooltip="2. Какие действия нужно совершить, чтобы обеспечить защиту персональных данных при их обработке">
        <w:r>
          <w:rPr>
            <w:sz w:val="24"/>
            <w:color w:val="0000ff"/>
          </w:rPr>
          <w:t xml:space="preserve">Какие действия нужно совершить, чтобы обеспечить защиту персональных данных при их обработке</w:t>
        </w:r>
      </w:hyperlink>
    </w:p>
    <w:p>
      <w:pPr>
        <w:pStyle w:val="0"/>
        <w:ind w:left="180"/>
      </w:pPr>
      <w:r>
        <w:rPr>
          <w:sz w:val="24"/>
        </w:rPr>
        <w:t xml:space="preserve">3. </w:t>
      </w:r>
      <w:hyperlink w:history="0" w:anchor="P28" w:tooltip="3. Какие документы нужно создать для защиты персональных данных при их обработке">
        <w:r>
          <w:rPr>
            <w:sz w:val="24"/>
            <w:color w:val="0000ff"/>
          </w:rPr>
          <w:t xml:space="preserve">Какие документы нужно создать для защиты персональных данных при их обработке</w:t>
        </w:r>
      </w:hyperlink>
    </w:p>
    <w:p>
      <w:pPr>
        <w:pStyle w:val="0"/>
        <w:spacing w:before="440" w:lineRule="auto"/>
        <w:jc w:val="both"/>
      </w:pPr>
      <w:r>
        <w:rPr>
          <w:sz w:val="34"/>
        </w:rPr>
      </w:r>
    </w:p>
    <w:bookmarkStart w:id="13" w:name="P13"/>
    <w:bookmarkEnd w:id="13"/>
    <w:p>
      <w:pPr>
        <w:pStyle w:val="0"/>
        <w:outlineLvl w:val="0"/>
      </w:pPr>
      <w:r>
        <w:rPr>
          <w:sz w:val="34"/>
          <w:b w:val="on"/>
        </w:rPr>
        <w:t xml:space="preserve">1. Какие требования предъявляются к защите персональных данных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Если вы </w:t>
      </w:r>
      <w:hyperlink w:history="0" r:id="rId9" w:tooltip="Готовое решение: В каком порядке должна осуществляться обработка персональных данных физлиц (КонсультантПлюс, 2026) {КонсультантПлюс}">
        <w:r>
          <w:rPr>
            <w:sz w:val="24"/>
            <w:color w:val="0000ff"/>
          </w:rPr>
          <w:t xml:space="preserve">обрабатываете персональные данные</w:t>
        </w:r>
      </w:hyperlink>
      <w:r>
        <w:rPr>
          <w:sz w:val="24"/>
        </w:rPr>
        <w:t xml:space="preserve"> (являетесь оператором), то вы должны принять меры для их защиты. Вы сами решаете, какие именно меры и в каком составе будете принимать, кроме случаев, когда закон обязывает вас принять конкретные меры, например назначить ответственное лицо (</w:t>
      </w:r>
      <w:hyperlink w:history="0" r:id="rId10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1 ст. 22.1</w:t>
        </w:r>
      </w:hyperlink>
      <w:r>
        <w:rPr>
          <w:sz w:val="24"/>
        </w:rPr>
        <w:t xml:space="preserve"> Закона об обработке персональных данных).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Учтите, что эти меры должны быть достаточными, чтобы обеспечить выполнение ваших обязанностей и не допустить неправомерный или случайный доступ к персональным данным, их уничтожение, изменение, копирование, распространение, а также иные неправомерные действия с ними (</w:t>
      </w:r>
      <w:hyperlink w:history="0" r:id="rId11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1 ст. 18.1</w:t>
        </w:r>
      </w:hyperlink>
      <w:r>
        <w:rPr>
          <w:sz w:val="24"/>
        </w:rPr>
        <w:t xml:space="preserve">, </w:t>
      </w:r>
      <w:hyperlink w:history="0" r:id="rId12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1 ст. 19</w:t>
        </w:r>
      </w:hyperlink>
      <w:r>
        <w:rPr>
          <w:sz w:val="24"/>
        </w:rPr>
        <w:t xml:space="preserve"> Закона о персональных данных). В противном случае вас могут привлечь к </w:t>
      </w:r>
      <w:hyperlink w:history="0" r:id="rId13" w:tooltip="Готовое решение: Кто и какую ответственность несет за нарушение законодательства о персональных данных (КонсультантПлюс, 2026) {КонсультантПлюс}">
        <w:r>
          <w:rPr>
            <w:sz w:val="24"/>
            <w:color w:val="0000ff"/>
          </w:rPr>
          <w:t xml:space="preserve">ответственности</w:t>
        </w:r>
      </w:hyperlink>
      <w:r>
        <w:rPr>
          <w:sz w:val="24"/>
        </w:rPr>
        <w:t xml:space="preserve"> за нарушение законодательства о персональных данных.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Вы должны принять меры нескольких видов:</w:t>
      </w:r>
    </w:p>
    <w:p>
      <w:pPr>
        <w:pStyle w:val="0"/>
        <w:spacing w:before="240" w:lineRule="auto"/>
        <w:ind w:firstLine="-227" w:left="540"/>
        <w:jc w:val="both"/>
        <w:numPr>
          <w:ilvl w:val="0"/>
          <w:numId w:val="1"/>
        </w:numPr>
      </w:pPr>
      <w:r>
        <w:rPr>
          <w:sz w:val="24"/>
        </w:rPr>
        <w:t xml:space="preserve">правовые. Это создание комплекта </w:t>
      </w:r>
      <w:hyperlink w:history="0" w:anchor="P28" w:tooltip="3. Какие документы нужно создать для защиты персональных данных при их обработке">
        <w:r>
          <w:rPr>
            <w:sz w:val="24"/>
            <w:color w:val="0000ff"/>
          </w:rPr>
          <w:t xml:space="preserve">документов</w:t>
        </w:r>
      </w:hyperlink>
      <w:r>
        <w:rPr>
          <w:sz w:val="24"/>
        </w:rPr>
        <w:t xml:space="preserve">, необходимых для защиты персональных данных;</w:t>
      </w:r>
    </w:p>
    <w:p>
      <w:pPr>
        <w:pStyle w:val="0"/>
        <w:spacing w:before="240" w:lineRule="auto"/>
        <w:ind w:firstLine="-227" w:left="540"/>
        <w:jc w:val="both"/>
        <w:numPr>
          <w:ilvl w:val="0"/>
          <w:numId w:val="1"/>
        </w:numPr>
      </w:pPr>
      <w:r>
        <w:rPr>
          <w:sz w:val="24"/>
        </w:rPr>
        <w:t xml:space="preserve">технические и организационные. Это </w:t>
      </w:r>
      <w:hyperlink w:history="0" w:anchor="P21" w:tooltip="2. Какие действия нужно совершить, чтобы обеспечить защиту персональных данных при их обработке">
        <w:r>
          <w:rPr>
            <w:sz w:val="24"/>
            <w:color w:val="0000ff"/>
          </w:rPr>
          <w:t xml:space="preserve">действия</w:t>
        </w:r>
      </w:hyperlink>
      <w:r>
        <w:rPr>
          <w:sz w:val="24"/>
        </w:rPr>
        <w:t xml:space="preserve">, которые вы должны совершить, чтобы обеспечить безопасность. Например, установить шифрование, обучить сотрудников.</w:t>
      </w:r>
    </w:p>
    <w:p>
      <w:pPr>
        <w:pStyle w:val="0"/>
        <w:spacing w:before="240" w:lineRule="auto"/>
        <w:jc w:val="both"/>
      </w:pPr>
      <w:r>
        <w:rPr>
          <w:sz w:val="24"/>
          <w:b w:val="on"/>
        </w:rPr>
        <w:t xml:space="preserve">Специальные требования</w:t>
      </w:r>
      <w:r>
        <w:rPr>
          <w:sz w:val="24"/>
        </w:rPr>
        <w:t xml:space="preserve"> по защите персональных данных предусмотрены для отдельных категорий операторов. Например, существует специальный </w:t>
      </w:r>
      <w:hyperlink w:history="0" r:id="rId14" w:tooltip="Постановление Правительства РФ от 21.03.2012 N 211 (ред. от 15.04.2019) &quot;Об утверждении перечня мер, направленных на обеспечение выполнения обязанностей, предусмотренных Федеральным законом &quot;О персональных данных&quot; и принятыми в соответствии с ним нормативными правовыми актами, операторами, являющимися государственными или муниципальными органами&quot; {КонсультантПлюс}">
        <w:r>
          <w:rPr>
            <w:sz w:val="24"/>
            <w:color w:val="0000ff"/>
          </w:rPr>
          <w:t xml:space="preserve">Перечень</w:t>
        </w:r>
      </w:hyperlink>
      <w:r>
        <w:rPr>
          <w:sz w:val="24"/>
        </w:rPr>
        <w:t xml:space="preserve"> мер для операторов-госорганов. А компании, которые подпадают под действие Европейского </w:t>
      </w:r>
      <w:hyperlink w:history="0" r:id="rId15" w:tooltip="Ссылка на КонсультантПлюс">
        <w:r>
          <w:rPr>
            <w:sz w:val="24"/>
            <w:color w:val="0000ff"/>
          </w:rPr>
          <w:t xml:space="preserve">регламента</w:t>
        </w:r>
      </w:hyperlink>
      <w:r>
        <w:rPr>
          <w:sz w:val="24"/>
        </w:rPr>
        <w:t xml:space="preserve"> о персональных данных (GDPR) (к примеру, если они продают товары гражданам Евросоюза), должны учитывать также требования этого регламента. Кроме того, установлены </w:t>
      </w:r>
      <w:hyperlink w:history="0" r:id="rId16" w:tooltip="Готовое решение: В каком порядке должна осуществляться обработка персональных данных физлиц (КонсультантПлюс, 2026) {КонсультантПлюс}">
        <w:r>
          <w:rPr>
            <w:sz w:val="24"/>
            <w:color w:val="0000ff"/>
          </w:rPr>
          <w:t xml:space="preserve">особенности</w:t>
        </w:r>
      </w:hyperlink>
      <w:r>
        <w:rPr>
          <w:sz w:val="24"/>
        </w:rPr>
        <w:t xml:space="preserve"> для биометрических персональных данных.</w:t>
      </w:r>
    </w:p>
    <w:p>
      <w:pPr>
        <w:pStyle w:val="0"/>
        <w:jc w:val="both"/>
      </w:pPr>
      <w:r>
        <w:rPr>
          <w:sz w:val="34"/>
        </w:rPr>
      </w:r>
    </w:p>
    <w:bookmarkStart w:id="21" w:name="P21"/>
    <w:bookmarkEnd w:id="21"/>
    <w:p>
      <w:pPr>
        <w:pStyle w:val="0"/>
        <w:outlineLvl w:val="0"/>
      </w:pPr>
      <w:r>
        <w:rPr>
          <w:sz w:val="34"/>
          <w:b w:val="on"/>
        </w:rPr>
        <w:t xml:space="preserve">2. Какие действия нужно совершить, чтобы обеспечить защиту персональных данных при их обработке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Чтобы обеспечить защиту персональных данных физлиц при их обработке, вам нужно принять ряд организационных и технических мер.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В основном эти меры совпадают с мерами по защите персональных данных работников, поскольку </w:t>
      </w:r>
      <w:hyperlink w:history="0" r:id="rId17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Закон</w:t>
        </w:r>
      </w:hyperlink>
      <w:r>
        <w:rPr>
          <w:sz w:val="24"/>
        </w:rPr>
        <w:t xml:space="preserve"> о персональных данных не проводит различий между персональными данными работников и прочих физлиц.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Конкретный перечень этих мер зависит от того, как вы храните данные - в электронном виде или на бумажном носителе. В отношении данных на бумажных носителях достаточно ограничить и контролировать физический доступ к ним (например, хранить их в сейфе).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Сложнее организовать защиту электронных данных. Для этого вам потребуется определить, какой у вас </w:t>
      </w:r>
      <w:hyperlink w:history="0" r:id="rId18" w:tooltip="Постановление Правительства РФ от 01.11.2012 N 1119 &quot;Об утверждении требований к защите персональных данных при их обработке в информационных системах персональных данных&quot; {КонсультантПлюс}">
        <w:r>
          <w:rPr>
            <w:sz w:val="24"/>
            <w:color w:val="0000ff"/>
          </w:rPr>
          <w:t xml:space="preserve">тип угрозы</w:t>
        </w:r>
      </w:hyperlink>
      <w:r>
        <w:rPr>
          <w:sz w:val="24"/>
        </w:rPr>
        <w:t xml:space="preserve"> безопасности персональных данных и исходя из этого подобрать один из четырех уровней защищенности (</w:t>
      </w:r>
      <w:hyperlink w:history="0" r:id="rId19" w:tooltip="Постановление Правительства РФ от 01.11.2012 N 1119 &quot;Об утверждении требований к защите персональных данных при их обработке в информационных системах персональных данных&quot; {КонсультантПлюс}">
        <w:r>
          <w:rPr>
            <w:sz w:val="24"/>
            <w:color w:val="0000ff"/>
          </w:rPr>
          <w:t xml:space="preserve">п. п. 7</w:t>
        </w:r>
      </w:hyperlink>
      <w:r>
        <w:rPr>
          <w:sz w:val="24"/>
        </w:rPr>
        <w:t xml:space="preserve"> - </w:t>
      </w:r>
      <w:hyperlink w:history="0" r:id="rId20" w:tooltip="Постановление Правительства РФ от 01.11.2012 N 1119 &quot;Об утверждении требований к защите персональных данных при их обработке в информационных системах персональных данных&quot; {КонсультантПлюс}">
        <w:r>
          <w:rPr>
            <w:sz w:val="24"/>
            <w:color w:val="0000ff"/>
          </w:rPr>
          <w:t xml:space="preserve">12</w:t>
        </w:r>
      </w:hyperlink>
      <w:r>
        <w:rPr>
          <w:sz w:val="24"/>
        </w:rPr>
        <w:t xml:space="preserve"> Требований к защите персональных данных при их обработке в информационных системах). От уровня защищенности будет зависеть конкретный комплекс мер, которые вы должны принять (</w:t>
      </w:r>
      <w:hyperlink w:history="0" r:id="rId21" w:tooltip="Постановление Правительства РФ от 01.11.2012 N 1119 &quot;Об утверждении требований к защите персональных данных при их обработке в информационных системах персональных данных&quot; {КонсультантПлюс}">
        <w:r>
          <w:rPr>
            <w:sz w:val="24"/>
            <w:color w:val="0000ff"/>
          </w:rPr>
          <w:t xml:space="preserve">п. п. 13</w:t>
        </w:r>
      </w:hyperlink>
      <w:r>
        <w:rPr>
          <w:sz w:val="24"/>
        </w:rPr>
        <w:t xml:space="preserve"> - </w:t>
      </w:r>
      <w:hyperlink w:history="0" r:id="rId22" w:tooltip="Постановление Правительства РФ от 01.11.2012 N 1119 &quot;Об утверждении требований к защите персональных данных при их обработке в информационных системах персональных данных&quot; {КонсультантПлюс}">
        <w:r>
          <w:rPr>
            <w:sz w:val="24"/>
            <w:color w:val="0000ff"/>
          </w:rPr>
          <w:t xml:space="preserve">16</w:t>
        </w:r>
      </w:hyperlink>
      <w:r>
        <w:rPr>
          <w:sz w:val="24"/>
        </w:rPr>
        <w:t xml:space="preserve"> указанных Требований).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Кроме того, для защиты электронных данных вы должны взаимодействовать с </w:t>
      </w:r>
      <w:hyperlink w:history="0" r:id="rId23" w:tooltip="Федеральный закон от 26.07.2017 N 187-ФЗ (ред. от 07.04.2025) &quot;О безопасности критической информационной инфраструктуры Российской Федерации&quot; {КонсультантПлюс}">
        <w:r>
          <w:rPr>
            <w:sz w:val="24"/>
            <w:color w:val="0000ff"/>
          </w:rPr>
          <w:t xml:space="preserve">госсистемой</w:t>
        </w:r>
      </w:hyperlink>
      <w:r>
        <w:rPr>
          <w:sz w:val="24"/>
        </w:rPr>
        <w:t xml:space="preserve"> обнаружения, предупреждения и ликвидации последствий кибератак на информресурсы РФ. В частности, через нее необходимо сообщать об инцидентах, из-за которых произошла неправомерная передача (предоставление, распространение, доступ) персональных данных (</w:t>
      </w:r>
      <w:hyperlink w:history="0" r:id="rId24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12 ст. 19</w:t>
        </w:r>
      </w:hyperlink>
      <w:r>
        <w:rPr>
          <w:sz w:val="24"/>
        </w:rPr>
        <w:t xml:space="preserve"> Закона о персональных данных). При таком взаимодействии руководствуйтесь </w:t>
      </w:r>
      <w:hyperlink w:history="0" r:id="rId25" w:tooltip="Приказ ФСБ России от 13.02.2023 N 77 &quot;Об утверждении порядка взаимодействия операторов с государственной системой обнаружения, предупреждения и ликвидации последствий компьютерных атак на информационные ресурсы Российской Федерации, включая информирование ФСБ России о компьютерных инцидентах, повлекших неправомерную передачу (предоставление, распространение, доступ) персональных данных&quot; (Зарегистрировано в Минюсте России 20.02.2023 N 72404) {КонсультантПлюс}">
        <w:r>
          <w:rPr>
            <w:sz w:val="24"/>
            <w:color w:val="0000ff"/>
          </w:rPr>
          <w:t xml:space="preserve">Порядком</w:t>
        </w:r>
      </w:hyperlink>
      <w:r>
        <w:rPr>
          <w:sz w:val="24"/>
        </w:rPr>
        <w:t xml:space="preserve">, утвержденным Приказом ФСБ России от 13.02.2023 N 77.</w:t>
      </w:r>
    </w:p>
    <w:p>
      <w:pPr>
        <w:pStyle w:val="0"/>
        <w:jc w:val="both"/>
      </w:pPr>
      <w:r>
        <w:rPr>
          <w:sz w:val="34"/>
        </w:rPr>
      </w:r>
    </w:p>
    <w:bookmarkStart w:id="28" w:name="P28"/>
    <w:bookmarkEnd w:id="28"/>
    <w:p>
      <w:pPr>
        <w:pStyle w:val="0"/>
        <w:outlineLvl w:val="0"/>
      </w:pPr>
      <w:r>
        <w:rPr>
          <w:sz w:val="34"/>
          <w:b w:val="on"/>
        </w:rPr>
        <w:t xml:space="preserve">3. Какие документы нужно создать для защиты персональных данных при их обработке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Четкий перечень этих документов законом не установлен. Рекомендуем подробно отразить в документах весь процесс обработки персональных данных. Это позволит вам, в частности, избежать претензий со стороны контролирующих органов в случае проверки.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Создайте следующий комплект основных документов:</w:t>
      </w:r>
    </w:p>
    <w:p>
      <w:pPr>
        <w:pStyle w:val="0"/>
        <w:spacing w:before="240" w:lineRule="auto"/>
        <w:ind w:firstLine="-300" w:left="540"/>
        <w:jc w:val="both"/>
        <w:numPr>
          <w:ilvl w:val="0"/>
          <w:numId w:val="2"/>
        </w:numPr>
      </w:pPr>
      <w:r>
        <w:rPr>
          <w:sz w:val="24"/>
          <w:b w:val="on"/>
        </w:rPr>
        <w:t xml:space="preserve">политика в отношении обработки персональных данных</w:t>
      </w:r>
      <w:r>
        <w:rPr>
          <w:sz w:val="24"/>
        </w:rPr>
        <w:t xml:space="preserve"> (</w:t>
      </w:r>
      <w:hyperlink w:history="0" r:id="rId26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п. 2 ч. 1 ст. 18.1</w:t>
        </w:r>
      </w:hyperlink>
      <w:r>
        <w:rPr>
          <w:sz w:val="24"/>
        </w:rPr>
        <w:t xml:space="preserve"> Закона о персональных данных). Политика - это главный документ, который устанавливает категории, цели, способы обработки персональных данных, порядок их хранения и использования. Желательно, чтобы данный документ учитывал </w:t>
      </w:r>
      <w:hyperlink w:history="0" r:id="rId27" w:tooltip="Ссылка на КонсультантПлюс">
        <w:r>
          <w:rPr>
            <w:sz w:val="24"/>
            <w:color w:val="0000ff"/>
          </w:rPr>
          <w:t xml:space="preserve">Рекомендации</w:t>
        </w:r>
      </w:hyperlink>
      <w:r>
        <w:rPr>
          <w:sz w:val="24"/>
        </w:rPr>
        <w:t xml:space="preserve"> Роскомнадзора по его составлению. При этом по разъяснениям ведомства вы вправе самостоятельно определять структуру и содержание политики в отношении обработки персональных данных (</w:t>
      </w:r>
      <w:hyperlink w:history="0" r:id="rId28" w:tooltip="Ссылка на КонсультантПлюс">
        <w:r>
          <w:rPr>
            <w:sz w:val="24"/>
            <w:color w:val="0000ff"/>
          </w:rPr>
          <w:t xml:space="preserve">Письмо</w:t>
        </w:r>
      </w:hyperlink>
      <w:r>
        <w:rPr>
          <w:sz w:val="24"/>
        </w:rPr>
        <w:t xml:space="preserve"> от 19.10.2021 N 08-71063).</w:t>
      </w:r>
    </w:p>
    <w:p>
      <w:pPr>
        <w:pStyle w:val="0"/>
        <w:spacing w:before="240" w:lineRule="auto"/>
        <w:ind w:left="540"/>
        <w:jc w:val="both"/>
      </w:pPr>
      <w:r>
        <w:rPr>
          <w:sz w:val="24"/>
        </w:rPr>
        <w:t xml:space="preserve">Независимо от способа сбора персональных данных вы обязаны обеспечить неограниченный доступ к документу, определяющему политику в отношении обработки персональных данных. Если у вас есть сайт, через страницы которого вы получаете персональные данные, разместите в том числе на них политику (иной аналогичный акт) так, чтобы посетители сайта имели доступ к ней (</w:t>
      </w:r>
      <w:hyperlink w:history="0" r:id="rId29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2 ст. 18.1</w:t>
        </w:r>
      </w:hyperlink>
      <w:r>
        <w:rPr>
          <w:sz w:val="24"/>
        </w:rPr>
        <w:t xml:space="preserve"> Закона о персональных данных, </w:t>
      </w:r>
      <w:hyperlink w:history="0" r:id="rId30" w:tooltip="Ссылка на КонсультантПлюс">
        <w:r>
          <w:rPr>
            <w:sz w:val="24"/>
            <w:color w:val="0000ff"/>
          </w:rPr>
          <w:t xml:space="preserve">Письмо</w:t>
        </w:r>
      </w:hyperlink>
      <w:r>
        <w:rPr>
          <w:sz w:val="24"/>
        </w:rPr>
        <w:t xml:space="preserve"> Роскомнадзора от 19.10.2021 N 08-71063);</w:t>
      </w:r>
    </w:p>
    <w:p>
      <w:pPr>
        <w:pStyle w:val="0"/>
        <w:spacing w:before="240" w:lineRule="auto"/>
        <w:ind w:firstLine="-300" w:left="540"/>
        <w:jc w:val="both"/>
        <w:numPr>
          <w:ilvl w:val="0"/>
          <w:numId w:val="2"/>
        </w:numPr>
      </w:pPr>
      <w:r>
        <w:rPr>
          <w:sz w:val="24"/>
        </w:rPr>
        <w:t xml:space="preserve">локальные акты (</w:t>
      </w:r>
      <w:hyperlink w:history="0" r:id="rId31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п. 2 ч. 1 ст. 18.1</w:t>
        </w:r>
      </w:hyperlink>
      <w:r>
        <w:rPr>
          <w:sz w:val="24"/>
        </w:rPr>
        <w:t xml:space="preserve"> Закона о персональных данных):</w:t>
      </w:r>
    </w:p>
    <w:p>
      <w:pPr>
        <w:pStyle w:val="0"/>
        <w:spacing w:before="240" w:lineRule="auto"/>
        <w:ind w:firstLine="-227" w:left="1080"/>
        <w:jc w:val="both"/>
        <w:numPr>
          <w:ilvl w:val="1"/>
          <w:numId w:val="2"/>
        </w:numPr>
      </w:pPr>
      <w:r>
        <w:rPr>
          <w:sz w:val="24"/>
        </w:rPr>
        <w:t xml:space="preserve">по вопросам обработки персональных данных. Они должны, в частности, определять категории и перечень персональных данных для каждой цели их обработки, способы, сроки обработки и хранения;</w:t>
      </w:r>
    </w:p>
    <w:p>
      <w:pPr>
        <w:pStyle w:val="0"/>
        <w:spacing w:before="240" w:lineRule="auto"/>
        <w:ind w:firstLine="-227" w:left="1080"/>
        <w:jc w:val="both"/>
        <w:numPr>
          <w:ilvl w:val="1"/>
          <w:numId w:val="2"/>
        </w:numPr>
      </w:pPr>
      <w:r>
        <w:rPr>
          <w:sz w:val="24"/>
        </w:rPr>
        <w:t xml:space="preserve">об установлении процедур, направленных на предотвращение и выявление нарушений законодательства РФ и устранение их последствий;</w:t>
      </w:r>
    </w:p>
    <w:p>
      <w:pPr>
        <w:pStyle w:val="0"/>
        <w:spacing w:before="240" w:lineRule="auto"/>
        <w:ind w:firstLine="-300" w:left="540"/>
        <w:jc w:val="both"/>
        <w:numPr>
          <w:ilvl w:val="0"/>
          <w:numId w:val="2"/>
        </w:numPr>
      </w:pPr>
      <w:r>
        <w:rPr>
          <w:sz w:val="24"/>
          <w:b w:val="on"/>
        </w:rPr>
        <w:t xml:space="preserve">приказ о назначении лица, ответственного за организацию обработки</w:t>
      </w:r>
      <w:r>
        <w:rPr>
          <w:sz w:val="24"/>
        </w:rPr>
        <w:t xml:space="preserve"> персональных данных физлиц. Вы обязаны назначить такое лицо (</w:t>
      </w:r>
      <w:hyperlink w:history="0" r:id="rId32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ч. 1 ст. 22.1</w:t>
        </w:r>
      </w:hyperlink>
      <w:r>
        <w:rPr>
          <w:sz w:val="24"/>
        </w:rPr>
        <w:t xml:space="preserve"> Закона о персональных данных). Им может стать любой ваш работник, например руководитель отдела по работе с клиентами. Если у вас уже назначен ответственный за персональные данные работников, вы можете назначить его же ответственным за данные прочих физлиц. Это удобно, поскольку </w:t>
      </w:r>
      <w:hyperlink w:history="0" r:id="rId33" w:tooltip="Федеральный закон от 27.07.2006 N 152-ФЗ (ред. от 24.06.2025) &quot;О персональных данных&quot; {КонсультантПлюс}">
        <w:r>
          <w:rPr>
            <w:sz w:val="24"/>
            <w:color w:val="0000ff"/>
          </w:rPr>
          <w:t xml:space="preserve">обязанности ответственного лица</w:t>
        </w:r>
      </w:hyperlink>
      <w:r>
        <w:rPr>
          <w:sz w:val="24"/>
        </w:rPr>
        <w:t xml:space="preserve"> не зависят от того, чьи данные вы обрабатываете - работников или, например, клиентов;</w:t>
      </w:r>
    </w:p>
    <w:p>
      <w:pPr>
        <w:pStyle w:val="0"/>
        <w:spacing w:before="240" w:lineRule="auto"/>
        <w:ind w:firstLine="-300" w:left="540"/>
        <w:jc w:val="both"/>
        <w:numPr>
          <w:ilvl w:val="0"/>
          <w:numId w:val="2"/>
        </w:numPr>
      </w:pPr>
      <w:r>
        <w:rPr>
          <w:sz w:val="24"/>
          <w:b w:val="on"/>
        </w:rPr>
        <w:t xml:space="preserve">приказ об утверждении перечня работников, имеющих доступ</w:t>
      </w:r>
      <w:r>
        <w:rPr>
          <w:sz w:val="24"/>
        </w:rPr>
        <w:t xml:space="preserve"> к персональным данным физлиц. Такой приказ может служить доказательством того, что конкретное лицо имело доступ к персональным данным. Это важно, в случае если произошло разглашение данных и нужно установить виновных;</w:t>
      </w:r>
    </w:p>
    <w:p>
      <w:pPr>
        <w:pStyle w:val="0"/>
        <w:spacing w:before="240" w:lineRule="auto"/>
        <w:ind w:firstLine="-300" w:left="540"/>
        <w:jc w:val="both"/>
        <w:numPr>
          <w:ilvl w:val="0"/>
          <w:numId w:val="2"/>
        </w:numPr>
      </w:pPr>
      <w:r>
        <w:rPr>
          <w:sz w:val="24"/>
          <w:b w:val="on"/>
        </w:rPr>
        <w:t xml:space="preserve">соглашение о конфиденциальности с работниками, имеющими доступ</w:t>
      </w:r>
      <w:r>
        <w:rPr>
          <w:sz w:val="24"/>
        </w:rPr>
        <w:t xml:space="preserve"> к персональным данным. В этом соглашении работники, которые сталкиваются с персональными данными ваших клиентов или партнеров, обязуются не разглашать их.</w:t>
      </w:r>
    </w:p>
    <w:p>
      <w:pPr>
        <w:pStyle w:val="0"/>
        <w:spacing w:before="240" w:lineRule="auto"/>
        <w:jc w:val="both"/>
      </w:pPr>
      <w:r>
        <w:rPr>
          <w:sz w:val="24"/>
        </w:rPr>
        <w:t xml:space="preserve">Вы можете включить в этот комплект и другие необходимые для вас документы. Например, это могут быть журналы учета и движения персональных данных или подробные регламенты по работе с персональными данными.</w:t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tbl>
      <w:tblPr>
        <w:tblInd w:w="0" w:type="dxa"/>
        <w:tblW w:w="5000" w:type="pct"/>
        <w:tblBorders>
          <w:top w:val="nil"/>
          <w:left w:val="nil"/>
          <w:bottom w:val="nil"/>
          <w:right w:val="nil"/>
          <w:insideV w:val="nil"/>
          <w:insideH w:val="nil"/>
        </w:tblBorders>
      </w:tblPr>
      <w:tblGrid>
        <w:gridCol w:w="180"/>
        <w:gridCol w:w="420"/>
        <w:gridCol w:w="9427"/>
        <w:gridCol w:w="180"/>
      </w:tblGrid>
      <w:tr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w="420" w:type="dxa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r>
              <w:drawing>
                <wp:inline distT="0" distB="0" distL="0" distR="0">
                  <wp:extent cx="152400" cy="152400"/>
                  <wp:effectExtent l="0" t="0" r="0" b="0"/>
                  <wp:docPr id="1" name="Консультант Плюс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 preferRelativeResize="0"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180" w:type="dxa"/>
              <w:left w:w="0" w:type="dxa"/>
              <w:bottom w:w="18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0"/>
              <w:jc w:val="both"/>
            </w:pPr>
            <w:r>
              <w:rPr>
                <w:sz w:val="24"/>
              </w:rPr>
              <w:t xml:space="preserve">См. также:</w:t>
            </w:r>
          </w:p>
          <w:p>
            <w:pPr>
              <w:pStyle w:val="0"/>
              <w:ind w:firstLine="-227" w:left="540"/>
              <w:jc w:val="both"/>
              <w:numPr>
                <w:ilvl w:val="0"/>
                <w:numId w:val="3"/>
              </w:numPr>
            </w:pPr>
            <w:hyperlink w:history="0" r:id="rId35" w:tooltip="Готовое решение: В каком порядке должна осуществляться обработка персональных данных физлиц (КонсультантПлюс, 2026) {КонсультантПлюс}">
              <w:r>
                <w:rPr>
                  <w:sz w:val="24"/>
                  <w:color w:val="0000ff"/>
                </w:rPr>
                <w:t xml:space="preserve">В каком порядке должна осуществляться обработка персональных данных физлиц</w:t>
              </w:r>
            </w:hyperlink>
          </w:p>
          <w:p>
            <w:pPr>
              <w:pStyle w:val="0"/>
              <w:ind w:firstLine="-227" w:left="540"/>
              <w:jc w:val="both"/>
              <w:numPr>
                <w:ilvl w:val="0"/>
                <w:numId w:val="3"/>
              </w:numPr>
            </w:pPr>
            <w:hyperlink w:history="0" r:id="rId36" w:tooltip="Готовое решение: Кто и какую ответственность несет за нарушение законодательства о персональных данных (КонсультантПлюс, 2026) {КонсультантПлюс}">
              <w:r>
                <w:rPr>
                  <w:sz w:val="24"/>
                  <w:color w:val="0000ff"/>
                </w:rPr>
                <w:t xml:space="preserve">Кто и какую ответственность несет за нарушение законодательства о персональных данных</w:t>
              </w:r>
            </w:hyperlink>
          </w:p>
        </w:tc>
        <w:tc>
          <w:tcPr>
            <w:tcW w:w="180" w:type="dxa"/>
            <w:tcMar>
              <w:top w:w="0" w:type="dxa"/>
              <w:left w:w="0" w:type="dxa"/>
              <w:bottom w:w="0" w:type="dxa"/>
              <w:right w:w="0" w:type="dxa"/>
            </w:tcMar>
            <w:tcBorders>
              <w:top w:val="nil"/>
              <w:left w:val="nil"/>
              <w:bottom w:val="nil"/>
              <w:right w:val="nil"/>
            </w:tcBorders>
          </w:tcPr>
          <w:p/>
        </w:tc>
      </w:tr>
    </w:tbl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</w:pPr>
      <w:r>
        <w:rPr>
          <w:sz w:val="24"/>
        </w:rPr>
      </w:r>
    </w:p>
    <w:p>
      <w:pPr>
        <w:pStyle w:val="0"/>
        <w:jc w:val="both"/>
        <w:pBdr>
          <w:bottom w:val="single" w:sz="6" w:space="0" w:color="auto"/>
        </w:pBdr>
        <w:spacing w:before="100" w:after="100"/>
        <w:rPr>
          <w:sz w:val="2"/>
          <w:szCs w:val="2"/>
        </w:rPr>
      </w:pPr>
    </w:p>
    <w:sectPr>
      <w:headerReference w:type="default" r:id="rId7"/>
      <w:headerReference w:type="first" r:id="rId7"/>
      <w:footerReference w:type="default" r:id="rId8"/>
      <w:footerReference w:type="first" r:id="rId8"/>
      <w:pgSz w:w="11906" w:h="16838"/>
      <w:pgMar w:top="1440" w:right="566" w:bottom="1440" w:left="1133" w:header="0" w:footer="0" w:gutter="0"/>
      <w:titlePg/>
    </w:sectPr>
  </w:body>
</w:document>
</file>

<file path=word/footer1.xml><?xml version="1.0" encoding="utf-8"?>
<w:ft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p>
    <w:pPr>
      <w:pBdr>
        <w:bottom w:val="single" w:sz="12" w:space="0" w:color="auto"/>
      </w:pBdr>
      <w:rPr>
        <w:sz w:val="2"/>
        <w:szCs w:val="2"/>
      </w:rPr>
    </w:pPr>
  </w:p>
  <w:tbl>
    <w:tblPr>
      <w:tblW w:w="5000" w:type="pct"/>
      <w:tblInd w:w="0" w:type="dxa"/>
      <w:tblCellMar>
        <w:left w:w="40" w:type="dxa"/>
        <w:right w:w="40" w:type="dxa"/>
      </w:tblCellMar>
      <w:tblLook w:firstRow="0" w:lastRow="0" w:firstColumn="0" w:lastColumn="0" w:noHBand="0" w:noVBand="0"/>
    </w:tblPr>
    <w:tblGrid>
      <w:gridCol w:w="1"/>
      <w:gridCol w:w="1"/>
      <w:gridCol w:w="1"/>
    </w:tblGrid>
    <w:tr>
      <w:trPr>
        <w:trHeight w:hRule="exact" w:val="1663"/>
      </w:trPr>
      <w:tc>
        <w:tcPr>
          <w:tcW w:w="1650" w:type="pct"/>
          <w:vAlign w:val="center"/>
        </w:tcPr>
        <w:p>
          <w:r>
            <w:rPr>
              <w:rFonts w:ascii="Tahoma" w:hAnsi="Tahoma" w:cs="Tahoma"/>
              <w:b/>
              <w:color w:val="f58220"/>
              <w:sz w:val="28"/>
              <w:szCs w:val="28"/>
              <w:noProof/>
            </w:rPr>
            <w:t>КонсультантПлюс</w:t>
          </w:r>
          <w:r>
            <w:rPr>
              <w:rFonts w:ascii="Tahoma" w:hAnsi="Tahoma" w:cs="Tahoma"/>
              <w:b/>
              <w:sz w:val="16"/>
              <w:szCs w:val="16"/>
              <w:noProof/>
            </w:rPr>
            <w:br/>
            <w:t>надежная правовая поддержка</w:t>
          </w:r>
        </w:p>
      </w:tc>
      <w:tc>
        <w:tcPr>
          <w:tcW w:w="1700" w:type="pct"/>
          <w:vAlign w:val="center"/>
        </w:tcPr>
        <w:p>
          <w:pPr>
            <w:jc w:val="center"/>
          </w:pPr>
          <w:hyperlink r:id="rId1" w:history="0">
            <w:r>
              <w:rPr>
                <w:rFonts w:ascii="Tahoma" w:hAnsi="Tahoma" w:cs="Tahoma"/>
                <w:b/>
                <w:color w:val="0000FF"/>
              </w:rPr>
              <w:t>www.consultant.ru</w:t>
            </w:r>
          </w:hyperlink>
        </w:p>
      </w:tc>
      <w:tc>
        <w:tcPr>
          <w:tcW w:w="1650" w:type="pct"/>
          <w:vAlign w:val="center"/>
        </w:tcPr>
        <w:p>
          <w:pPr>
            <w:jc w:val="end"/>
          </w:pPr>
          <w:r>
            <w:rPr>
              <w:rFonts w:ascii="Tahoma" w:hAnsi="Tahoma" w:cs="Tahoma"/>
            </w:rPr>
            <w:t xml:space="preserve">Страница </w:t>
          </w:r>
          <w:r>
            <w:fldChar w:fldCharType="begin"/>
          </w:r>
          <w:r>
            <w:rPr>
              <w:rFonts w:ascii="Tahoma" w:hAnsi="Tahoma" w:cs="Tahoma"/>
            </w:rPr>
            <w:instrText>PAGE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  <w:r>
            <w:rPr>
              <w:rFonts w:ascii="Tahoma" w:hAnsi="Tahoma" w:cs="Tahoma"/>
            </w:rPr>
            <w:t xml:space="preserve"> из </w:t>
          </w:r>
          <w:r>
            <w:fldChar w:fldCharType="begin"/>
          </w:r>
          <w:r>
            <w:rPr>
              <w:rFonts w:ascii="Tahoma" w:hAnsi="Tahoma" w:cs="Tahoma"/>
            </w:rPr>
            <w:instrText>NUMPAGES</w:instrText>
          </w:r>
          <w:r>
            <w:fldChar w:fldCharType="separate"/>
          </w:r>
          <w:r>
            <w:rPr>
              <w:rFonts w:ascii="Tahoma" w:hAnsi="Tahoma" w:cs="Tahoma"/>
              <w:noProof/>
            </w:rPr>
            <w:t>5</w:t>
          </w:r>
          <w:r>
            <w:fldChar w:fldCharType="end"/>
          </w:r>
        </w:p>
      </w:tc>
    </w:tr>
  </w:tbl>
  <w:p>
    <w:r>
      <w:rPr>
        <w:sz w:val="2"/>
        <w:szCs w:val="2"/>
      </w:rPr>
      <w:t>1</w:t>
    </w:r>
  </w:p>
</w:ftr>
</file>

<file path=word/header1.xml><?xml version="1.0" encoding="utf-8"?>
<w:hdr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i="http://schemas.microsoft.com/office/word/2010/wordprocessingInk" xmlns:wne="http://schemas.microsoft.com/office/word/2006/wordml" mc:Ignorable="w14 w15 w16se wne wp14">
  <w:tbl>
    <w:tblPr>
      <w:tblW w:w="5000" w:type="pct"/>
      <w:tblInd w:w="0" w:type="dxa"/>
      <w:tblLayout w:type="fixed"/>
      <w:tblCellMar>
        <w:left w:w="40" w:type="dxa"/>
        <w:right w:w="40" w:type="dxa"/>
      </w:tblCellMar>
    </w:tblPr>
    <w:tblGrid>
      <w:gridCol w:w="1"/>
      <w:gridCol w:w="1"/>
    </w:tblGrid>
    <w:tr>
      <w:trPr>
        <w:trHeight w:hRule="exact" w:val="1683"/>
      </w:trPr>
      <w:tc>
        <w:tcPr>
          <w:tcW w:w="2700" w:type="pct"/>
          <w:vAlign w:val="center"/>
        </w:tcPr>
        <w:p>
          <w:pPr>
            <w:rPr>
              <w:rFonts w:ascii="Tahoma" w:hAnsi="Tahoma" w:cs="Tahoma"/>
            </w:rPr>
          </w:pPr>
          <w:r>
            <w:rPr>
              <w:rFonts w:ascii="Tahoma" w:hAnsi="Tahoma" w:cs="Tahoma"/>
              <w:sz w:val="16"/>
              <w:szCs w:val="16"/>
            </w:rPr>
            <w:t>Готовое решение: Какие меры по защите персональных данных физлиц нужно принимать при обработке этих данных</w:t>
            <w:br/>
            <w:t>(КонсультантП...</w:t>
          </w:r>
        </w:p>
      </w:tc>
      <w:tc>
        <w:tcPr>
          <w:tcW w:w="2300" w:type="pct"/>
          <w:vAlign w:val="center"/>
        </w:tcPr>
        <w:p>
          <w:pPr>
            <w:jc w:val="end"/>
            <w:rPr>
              <w:rFonts w:ascii="Tahoma" w:hAnsi="Tahoma" w:cs="Tahoma"/>
            </w:rPr>
          </w:pPr>
          <w:r>
            <w:rPr>
              <w:rFonts w:ascii="Tahoma" w:hAnsi="Tahoma" w:cs="Tahoma"/>
              <w:sz w:val="18"/>
              <w:szCs w:val="18"/>
              <w:noProof/>
            </w:rPr>
            <w:t xml:space="preserve">Документ предоставлен </w:t>
          </w:r>
          <w:hyperlink r:id="rId1" w:history="0" w:tooltip="КонсультантПлюс - надежная правовая система">
            <w:r>
              <w:rPr>
                <w:rFonts w:ascii="Tahoma" w:hAnsi="Tahoma" w:cs="Tahoma"/>
                <w:color w:val="0000FF"/>
                <w:sz w:val="18"/>
                <w:szCs w:val="18"/>
                <w:noProof/>
              </w:rPr>
              <w:t>КонсультантПлюс</w:t>
            </w:r>
          </w:hyperlink>
          <w:r>
            <w:rPr>
              <w:rFonts w:ascii="Tahoma" w:hAnsi="Tahoma" w:cs="Tahoma"/>
              <w:sz w:val="18"/>
              <w:szCs w:val="18"/>
            </w:rPr>
            <w:br/>
          </w:r>
          <w:r>
            <w:rPr>
              <w:rFonts w:ascii="Tahoma" w:hAnsi="Tahoma" w:cs="Tahoma"/>
              <w:sz w:val="16"/>
              <w:szCs w:val="16"/>
            </w:rPr>
            <w:t>Дата сохранения: 04.02.2026</w:t>
          </w:r>
        </w:p>
      </w:tc>
    </w:tr>
  </w:tbl>
  <w:p>
    <w:pPr>
      <w:pBdr>
        <w:bottom w:val="single" w:sz="12" w:space="0" w:color="auto"/>
      </w:pBdr>
      <w:rPr>
        <w:sz w:val="2"/>
        <w:szCs w:val="2"/>
      </w:rPr>
    </w:pPr>
  </w:p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1" w15:restartNumberingAfterBreak="0">
    <w:multiLevelType w:val="multilevel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abstractNum w:abstractNumId="2" w15:restartNumberingAfterBreak="0">
    <w:multiLevelType w:val="multilevel"/>
    <w:lvl w:ilvl="0">
      <w:start w:val="1"/>
      <w:numFmt w:val="decimal"/>
      <w:lvlText w:val="%1)"/>
      <w:lvlJc w:val="left"/>
      <w:pPr>
        <w:tabs>
          <w:tab w:val="num" w:pos="540"/>
        </w:tabs>
        <w:ind w:left="540" w:hanging="300"/>
      </w:p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227"/>
      </w:pPr>
      <w:rPr>
        <w:rFonts w:ascii="Symbol" w:hAnsi="Symbol" w:hint="default"/>
      </w:rPr>
    </w:lvl>
  </w:abstractNum>
  <w:abstractNum w:abstractNumId="3" w15:restartNumberingAfterBreak="0">
    <w:multiLevelType w:val="multilevel"/>
    <w:lvl w:ilvl="0">
      <w:start w:val="1"/>
      <w:numFmt w:val="bullet"/>
      <w:lvlText w:val=""/>
      <w:lvlJc w:val="left"/>
      <w:pPr>
        <w:tabs>
          <w:tab w:val="num" w:pos="540"/>
        </w:tabs>
        <w:ind w:left="540" w:hanging="227"/>
      </w:pPr>
      <w:rPr>
        <w:rFonts w:ascii="Symbol" w:hAnsi="Symbol" w:hint="default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themeFontLang w:val="ru-RU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pPrDefault>
      <w:pPr>
        <w:spacing w:before="0" w:after="0" w:line="240" w:lineRule="auto"/>
      </w:pPr>
    </w:pPrDefault>
    <w:rPrDefault>
      <w:rPr>
        <w:lang w:val="ru-RU" w:eastAsia="ru-RU" w:bidi="ar-SA"/>
      </w:rPr>
    </w:rPrDefault>
  </w:docDefaults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default="1" w:customStyle="1" w:styleId="0">
    <w:name w:val="ConsPlusNormal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1">
    <w:name w:val="ConsPlusNonformat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2">
    <w:name w:val="ConsPlusTitle"/>
    <w:pPr>
      <w:widowControl w:val="0"/>
      <w:autoSpaceDE w:val="0"/>
      <w:autoSpaceDN w:val="0"/>
    </w:pPr>
    <w:rPr>
      <w:rFonts w:ascii="Arial" w:hAnsi="Arial" w:cs="Arial"/>
      <w:sz w:val="24"/>
      <w:lang w:val="ru-RU" w:eastAsia="ru-RU" w:bidi="ar-SA"/>
      <w:b/>
    </w:rPr>
  </w:style>
  <w:style w:type="paragraph" w:customStyle="1" w:styleId="3">
    <w:name w:val="ConsPlusCell"/>
    <w:pPr>
      <w:widowControl w:val="0"/>
      <w:autoSpaceDE w:val="0"/>
      <w:autoSpaceDN w:val="0"/>
    </w:pPr>
    <w:rPr>
      <w:rFonts w:ascii="Courier New" w:hAnsi="Courier New" w:cs="Courier New"/>
      <w:sz w:val="20"/>
      <w:lang w:val="ru-RU" w:eastAsia="ru-RU" w:bidi="ar-SA"/>
    </w:rPr>
  </w:style>
  <w:style w:type="paragraph" w:customStyle="1" w:styleId="4">
    <w:name w:val="ConsPlusDocList"/>
    <w:pPr>
      <w:widowControl w:val="0"/>
      <w:autoSpaceDE w:val="0"/>
      <w:autoSpaceDN w:val="0"/>
    </w:pPr>
    <w:rPr>
      <w:rFonts w:ascii="Tahoma" w:hAnsi="Tahoma" w:cs="Tahoma"/>
      <w:sz w:val="18"/>
      <w:lang w:val="ru-RU" w:eastAsia="ru-RU" w:bidi="ar-SA"/>
    </w:rPr>
  </w:style>
  <w:style w:type="paragraph" w:customStyle="1" w:styleId="5">
    <w:name w:val="ConsPlusTitlePage"/>
    <w:pPr>
      <w:widowControl w:val="0"/>
      <w:autoSpaceDE w:val="0"/>
      <w:autoSpaceDN w:val="0"/>
    </w:pPr>
    <w:rPr>
      <w:rFonts w:ascii="Tahoma" w:hAnsi="Tahoma" w:cs="Tahoma"/>
      <w:sz w:val="20"/>
      <w:lang w:val="ru-RU" w:eastAsia="ru-RU" w:bidi="ar-SA"/>
    </w:rPr>
  </w:style>
  <w:style w:type="paragraph" w:customStyle="1" w:styleId="6">
    <w:name w:val="ConsPlusJurTerm"/>
    <w:pPr>
      <w:widowControl w:val="0"/>
      <w:autoSpaceDE w:val="0"/>
      <w:autoSpaceDN w:val="0"/>
    </w:pPr>
    <w:rPr>
      <w:rFonts w:ascii="Tahoma" w:hAnsi="Tahoma" w:cs="Tahoma"/>
      <w:sz w:val="26"/>
      <w:lang w:val="ru-RU" w:eastAsia="ru-RU" w:bidi="ar-SA"/>
    </w:rPr>
  </w:style>
  <w:style w:type="paragraph" w:customStyle="1" w:styleId="7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  <w:style w:type="paragraph" w:customStyle="1" w:styleId="8">
    <w:name w:val="ConsPlusTextList"/>
    <w:pPr>
      <w:widowControl w:val="0"/>
      <w:autoSpaceDE w:val="0"/>
      <w:autoSpaceDN w:val="0"/>
    </w:pPr>
    <w:rPr>
      <w:rFonts w:ascii="Times New Roman" w:hAnsi="Times New Roman" w:cs="Times New Roman"/>
      <w:sz w:val="24"/>
      <w:lang w:val="ru-RU" w:eastAsia="ru-RU" w:bidi="ar-SA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settings" Target="word/settings.xml"/><Relationship Id="rId2" Type="http://schemas.openxmlformats.org/officeDocument/2006/relationships/styles" Target="styles.xml"/><Relationship Id="rId3" Type="http://schemas.openxmlformats.org/officeDocument/2006/relationships/image" Target="media/image1.png"/><Relationship Id="rId4" Type="http://schemas.openxmlformats.org/officeDocument/2006/relationships/hyperlink" Target="https://www.consultant.ru" TargetMode = "External"/><Relationship Id="rId5" Type="http://schemas.openxmlformats.org/officeDocument/2006/relationships/hyperlink" Target="https://www.consultant.ru" TargetMode = "External"/><Relationship Id="rId6" Type="http://schemas.openxmlformats.org/officeDocument/2006/relationships/numbering" Target="numbering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yperlink" Target="http://login.consultant.ru/link/?req=doc&amp;base=CJI&amp;n=115381&amp;date=04.02.2026&amp;dst=100006&amp;field=134" TargetMode = "External"/><Relationship Id="rId10" Type="http://schemas.openxmlformats.org/officeDocument/2006/relationships/hyperlink" Target="http://login.consultant.ru/link/?req=doc&amp;base=LAW&amp;n=499769&amp;date=04.02.2026&amp;dst=100416&amp;field=134" TargetMode = "External"/><Relationship Id="rId11" Type="http://schemas.openxmlformats.org/officeDocument/2006/relationships/hyperlink" Target="http://login.consultant.ru/link/?req=doc&amp;base=LAW&amp;n=499769&amp;date=04.02.2026&amp;dst=100358&amp;field=134" TargetMode = "External"/><Relationship Id="rId12" Type="http://schemas.openxmlformats.org/officeDocument/2006/relationships/hyperlink" Target="http://login.consultant.ru/link/?req=doc&amp;base=LAW&amp;n=499769&amp;date=04.02.2026&amp;dst=100369&amp;field=134" TargetMode = "External"/><Relationship Id="rId13" Type="http://schemas.openxmlformats.org/officeDocument/2006/relationships/hyperlink" Target="http://login.consultant.ru/link/?req=doc&amp;base=CJI&amp;n=115380&amp;date=04.02.2026" TargetMode = "External"/><Relationship Id="rId14" Type="http://schemas.openxmlformats.org/officeDocument/2006/relationships/hyperlink" Target="http://login.consultant.ru/link/?req=doc&amp;base=LAW&amp;n=322830&amp;date=04.02.2026&amp;dst=100008&amp;field=134" TargetMode = "External"/><Relationship Id="rId15" Type="http://schemas.openxmlformats.org/officeDocument/2006/relationships/hyperlink" Target="http://login.consultant.ru/link/?req=doc&amp;base=INT&amp;n=60453&amp;date=04.02.2026" TargetMode = "External"/><Relationship Id="rId16" Type="http://schemas.openxmlformats.org/officeDocument/2006/relationships/hyperlink" Target="http://login.consultant.ru/link/?req=doc&amp;base=CJI&amp;n=115381&amp;date=04.02.2026&amp;dst=100089&amp;field=134" TargetMode = "External"/><Relationship Id="rId17" Type="http://schemas.openxmlformats.org/officeDocument/2006/relationships/hyperlink" Target="http://login.consultant.ru/link/?req=doc&amp;base=LAW&amp;n=499769&amp;date=04.02.2026" TargetMode = "External"/><Relationship Id="rId18" Type="http://schemas.openxmlformats.org/officeDocument/2006/relationships/hyperlink" Target="http://login.consultant.ru/link/?req=doc&amp;base=LAW&amp;n=137356&amp;date=04.02.2026&amp;dst=100021&amp;field=134" TargetMode = "External"/><Relationship Id="rId19" Type="http://schemas.openxmlformats.org/officeDocument/2006/relationships/hyperlink" Target="http://login.consultant.ru/link/?req=doc&amp;base=LAW&amp;n=137356&amp;date=04.02.2026&amp;dst=100024&amp;field=134" TargetMode = "External"/><Relationship Id="rId20" Type="http://schemas.openxmlformats.org/officeDocument/2006/relationships/hyperlink" Target="http://login.consultant.ru/link/?req=doc&amp;base=LAW&amp;n=137356&amp;date=04.02.2026&amp;dst=100042&amp;field=134" TargetMode = "External"/><Relationship Id="rId21" Type="http://schemas.openxmlformats.org/officeDocument/2006/relationships/hyperlink" Target="http://login.consultant.ru/link/?req=doc&amp;base=LAW&amp;n=137356&amp;date=04.02.2026&amp;dst=100045&amp;field=134" TargetMode = "External"/><Relationship Id="rId22" Type="http://schemas.openxmlformats.org/officeDocument/2006/relationships/hyperlink" Target="http://login.consultant.ru/link/?req=doc&amp;base=LAW&amp;n=137356&amp;date=04.02.2026&amp;dst=100052&amp;field=134" TargetMode = "External"/><Relationship Id="rId23" Type="http://schemas.openxmlformats.org/officeDocument/2006/relationships/hyperlink" Target="http://login.consultant.ru/link/?req=doc&amp;base=LAW&amp;n=502634&amp;date=04.02.2026&amp;dst=100028&amp;field=134" TargetMode = "External"/><Relationship Id="rId24" Type="http://schemas.openxmlformats.org/officeDocument/2006/relationships/hyperlink" Target="http://login.consultant.ru/link/?req=doc&amp;base=LAW&amp;n=499769&amp;date=04.02.2026&amp;dst=77&amp;field=134" TargetMode = "External"/><Relationship Id="rId25" Type="http://schemas.openxmlformats.org/officeDocument/2006/relationships/hyperlink" Target="http://login.consultant.ru/link/?req=doc&amp;base=LAW&amp;n=440083&amp;date=04.02.2026&amp;dst=100013&amp;field=134" TargetMode = "External"/><Relationship Id="rId26" Type="http://schemas.openxmlformats.org/officeDocument/2006/relationships/hyperlink" Target="http://login.consultant.ru/link/?req=doc&amp;base=LAW&amp;n=499769&amp;date=04.02.2026&amp;dst=100360&amp;field=134" TargetMode = "External"/><Relationship Id="rId27" Type="http://schemas.openxmlformats.org/officeDocument/2006/relationships/hyperlink" Target="http://login.consultant.ru/link/?req=doc&amp;base=LAW&amp;n=221615&amp;date=04.02.2026" TargetMode = "External"/><Relationship Id="rId28" Type="http://schemas.openxmlformats.org/officeDocument/2006/relationships/hyperlink" Target="http://login.consultant.ru/link/?req=doc&amp;base=LAW&amp;n=402675&amp;date=04.02.2026&amp;dst=100011&amp;field=134" TargetMode = "External"/><Relationship Id="rId29" Type="http://schemas.openxmlformats.org/officeDocument/2006/relationships/hyperlink" Target="http://login.consultant.ru/link/?req=doc&amp;base=LAW&amp;n=499769&amp;date=04.02.2026&amp;dst=100365&amp;field=134" TargetMode = "External"/><Relationship Id="rId30" Type="http://schemas.openxmlformats.org/officeDocument/2006/relationships/hyperlink" Target="http://login.consultant.ru/link/?req=doc&amp;base=LAW&amp;n=402675&amp;date=04.02.2026&amp;dst=100009&amp;field=134" TargetMode = "External"/><Relationship Id="rId31" Type="http://schemas.openxmlformats.org/officeDocument/2006/relationships/hyperlink" Target="http://login.consultant.ru/link/?req=doc&amp;base=LAW&amp;n=499769&amp;date=04.02.2026&amp;dst=75&amp;field=134" TargetMode = "External"/><Relationship Id="rId32" Type="http://schemas.openxmlformats.org/officeDocument/2006/relationships/hyperlink" Target="http://login.consultant.ru/link/?req=doc&amp;base=LAW&amp;n=499769&amp;date=04.02.2026&amp;dst=100416&amp;field=134" TargetMode = "External"/><Relationship Id="rId33" Type="http://schemas.openxmlformats.org/officeDocument/2006/relationships/hyperlink" Target="http://login.consultant.ru/link/?req=doc&amp;base=LAW&amp;n=499769&amp;date=04.02.2026&amp;dst=100419&amp;field=134" TargetMode = "External"/><Relationship Id="rId34" Type="http://schemas.openxmlformats.org/officeDocument/2006/relationships/image" Target="media/image2.png"/><Relationship Id="rId35" Type="http://schemas.openxmlformats.org/officeDocument/2006/relationships/hyperlink" Target="http://login.consultant.ru/link/?req=doc&amp;base=CJI&amp;n=115381&amp;date=04.02.2026" TargetMode = "External"/><Relationship Id="rId36" Type="http://schemas.openxmlformats.org/officeDocument/2006/relationships/hyperlink" Target="http://login.consultant.ru/link/?req=doc&amp;base=CJI&amp;n=115380&amp;date=04.02.2026" TargetMode = "External"/></Relationships>
</file>

<file path=word/_rels/foot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word/_rels/header1.xml.rels>&#65279;<?xml version="1.0" encoding="UTF-8" standalone="yes"?>
<Relationships xmlns="http://schemas.openxmlformats.org/package/2006/relationships"><Relationship Id="rId1" Type="http://schemas.openxmlformats.org/officeDocument/2006/relationships/hyperlink" Target="https://www.consultant.ru" TargetMode = "Externa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КонсультантПлюс Версия 4025.00.30</Application>
  <Company>КонсультантПлюс Версия 4025.00.30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Готовое решение: Какие меры по защите персональных данных физлиц нужно принимать при обработке этих данных
(КонсультантПлюс, 2026)</dc:title>
  <dcterms:created xsi:type="dcterms:W3CDTF">2026-02-04T07:22:33Z</dcterms:created>
</cp:coreProperties>
</file>