
<file path=[Content_Types].xml><?xml version="1.0" encoding="utf-8"?>
<Types xmlns="http://schemas.openxmlformats.org/package/2006/content-types">
  <Default Extension="png" ContentType="image/png"/>
  <Default Extension="jpeg" ContentType="image/jpeg"/>
  <Default Extension="bmp" ContentType="image/bmp"/>
  <Default Extension="rels" ContentType="application/vnd.openxmlformats-package.relationships+xml"/>
  <Default Extension="xml" ContentType="application/xml"/>
  <Default Extension="emf" ContentType="image/x-emf"/>
  <Default Extension="wmf" ContentType="image/x-wmf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0"/>
        <w:outlineLvl w:val="0"/>
        <w:jc w:val="both"/>
      </w:pPr>
      <w:r>
        <w:rPr>
          <w:sz w:val="24"/>
        </w:rPr>
      </w:r>
    </w:p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60"/>
        <w:gridCol w:w="113"/>
        <w:gridCol w:w="9921"/>
        <w:gridCol w:w="113"/>
      </w:tblGrid>
      <w:tr>
        <w:tc>
          <w:tcPr>
            <w:tcW w:w="6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ced3f1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0" w:type="auto"/>
            <w:tcMar>
              <w:top w:w="113" w:type="dxa"/>
              <w:left w:w="0" w:type="dxa"/>
              <w:bottom w:w="113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right"/>
            </w:pPr>
            <w:r>
              <w:rPr>
                <w:sz w:val="24"/>
                <w:color w:val="392c69"/>
              </w:rPr>
              <w:t xml:space="preserve">КонсультантПлюс | Готовое решение | </w:t>
            </w:r>
            <w:r>
              <w:rPr>
                <w:sz w:val="24"/>
                <w:color w:val="392c69"/>
                <w:b w:val="on"/>
              </w:rPr>
              <w:t xml:space="preserve">Актуально на 03.02.2026</w:t>
            </w:r>
          </w:p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pStyle w:val="0"/>
        <w:spacing w:before="520" w:lineRule="auto"/>
      </w:pPr>
      <w:r>
        <w:rPr>
          <w:sz w:val="40"/>
          <w:b w:val="on"/>
        </w:rPr>
        <w:t xml:space="preserve">Образец акта оценки возможного вреда субъектам персональных данных</w:t>
      </w:r>
    </w:p>
    <w:p>
      <w:pPr>
        <w:pStyle w:val="0"/>
        <w:spacing w:before="240" w:lineRule="auto"/>
        <w:jc w:val="both"/>
      </w:pPr>
      <w:r>
        <w:rPr>
          <w:sz w:val="24"/>
        </w:rPr>
        <w:t xml:space="preserve">Применимые нормы: </w:t>
      </w:r>
      <w:hyperlink w:history="0" r:id="rId7" w:tooltip="Федеральный закон от 27.07.2006 N 152-ФЗ (ред. от 24.06.2025) &quot;О персональных данных&quot; {КонсультантПлюс}">
        <w:r>
          <w:rPr>
            <w:sz w:val="24"/>
            <w:color w:val="0000ff"/>
          </w:rPr>
          <w:t xml:space="preserve">п. 5 ч. 1 ст. 18.1</w:t>
        </w:r>
      </w:hyperlink>
      <w:r>
        <w:rPr>
          <w:sz w:val="24"/>
        </w:rPr>
        <w:t xml:space="preserve"> Закона о персональных данных, </w:t>
      </w:r>
      <w:hyperlink w:history="0" r:id="rId8" w:tooltip="Приказ Роскомнадзора от 27.10.2022 N 178 &quot;Об утверждении Требований к оценке вреда, который может быть причинен субъектам персональных данных в случае нарушения Федерального закона &quot;О персональных данных&quot; (Зарегистрировано в Минюсте России 28.11.2022 N 71166) {КонсультантПлюс}">
        <w:r>
          <w:rPr>
            <w:sz w:val="24"/>
            <w:color w:val="0000ff"/>
          </w:rPr>
          <w:t xml:space="preserve">п. 4</w:t>
        </w:r>
      </w:hyperlink>
      <w:r>
        <w:rPr>
          <w:sz w:val="24"/>
        </w:rPr>
        <w:t xml:space="preserve"> Требований, утвержденных Приказом Роскомнадзора от 27.10.2022 N 178</w:t>
      </w:r>
    </w:p>
    <w:p>
      <w:pPr>
        <w:pStyle w:val="0"/>
        <w:spacing w:before="240" w:lineRule="auto"/>
        <w:jc w:val="both"/>
      </w:pPr>
      <w:r>
        <w:rPr>
          <w:sz w:val="24"/>
        </w:rPr>
        <w:t xml:space="preserve">Форму акта оператор разрабатывает самостоятельно. Акт оценки вреда должен содержать, в частности, наименование и адрес оператора, дату проведения оценки вреда, фамилию, имя, отчество (при наличии) каждого из проводивших оценку лиц, их подписи. Следует также отразить степень вреда, которая может быть причинена субъекту персональных данных (</w:t>
      </w:r>
      <w:hyperlink w:history="0" r:id="rId9" w:tooltip="Приказ Роскомнадзора от 27.10.2022 N 178 &quot;Об утверждении Требований к оценке вреда, который может быть причинен субъектам персональных данных в случае нарушения Федерального закона &quot;О персональных данных&quot; (Зарегистрировано в Минюсте России 28.11.2022 N 71166) {КонсультантПлюс}">
        <w:r>
          <w:rPr>
            <w:sz w:val="24"/>
            <w:color w:val="0000ff"/>
          </w:rPr>
          <w:t xml:space="preserve">п. 4</w:t>
        </w:r>
      </w:hyperlink>
      <w:r>
        <w:rPr>
          <w:sz w:val="24"/>
        </w:rPr>
        <w:t xml:space="preserve"> Требований, утвержденных Приказом Роскомнадзора от 27.10.2022 N 178).</w:t>
      </w:r>
    </w:p>
    <w:p>
      <w:pPr>
        <w:pStyle w:val="0"/>
        <w:spacing w:before="240" w:lineRule="auto"/>
        <w:jc w:val="both"/>
      </w:pPr>
      <w:r>
        <w:rPr>
          <w:sz w:val="24"/>
        </w:rPr>
        <w:t xml:space="preserve">Степень вреда необходимо определять в соответствии с </w:t>
      </w:r>
      <w:hyperlink w:history="0" r:id="rId10" w:tooltip="Приказ Роскомнадзора от 27.10.2022 N 178 &quot;Об утверждении Требований к оценке вреда, который может быть причинен субъектам персональных данных в случае нарушения Федерального закона &quot;О персональных данных&quot; (Зарегистрировано в Минюсте России 28.11.2022 N 71166) {КонсультантПлюс}">
        <w:r>
          <w:rPr>
            <w:sz w:val="24"/>
            <w:color w:val="0000ff"/>
          </w:rPr>
          <w:t xml:space="preserve">пп. 2.1</w:t>
        </w:r>
      </w:hyperlink>
      <w:r>
        <w:rPr>
          <w:sz w:val="24"/>
        </w:rPr>
        <w:t xml:space="preserve"> - </w:t>
      </w:r>
      <w:hyperlink w:history="0" r:id="rId11" w:tooltip="Приказ Роскомнадзора от 27.10.2022 N 178 &quot;Об утверждении Требований к оценке вреда, который может быть причинен субъектам персональных данных в случае нарушения Федерального закона &quot;О персональных данных&quot; (Зарегистрировано в Минюсте России 28.11.2022 N 71166) {КонсультантПлюс}">
        <w:r>
          <w:rPr>
            <w:sz w:val="24"/>
            <w:color w:val="0000ff"/>
          </w:rPr>
          <w:t xml:space="preserve">2.3 п. 2</w:t>
        </w:r>
      </w:hyperlink>
      <w:r>
        <w:rPr>
          <w:sz w:val="24"/>
        </w:rPr>
        <w:t xml:space="preserve"> Требований, утвержденных Приказом Роскомнадзора от 27.10.2022 N 178.</w:t>
      </w:r>
    </w:p>
    <w:p>
      <w:pPr>
        <w:spacing w:before="0"/>
        <w:spacing w:after="1"/>
      </w:pPr>
    </w:p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180"/>
        <w:gridCol w:w="555"/>
        <w:gridCol w:w="9292"/>
        <w:gridCol w:w="180"/>
      </w:tblGrid>
      <w:tr>
        <w:tc>
          <w:tcPr>
            <w:tcW w:w="18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daeef3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555" w:type="dxa"/>
            <w:tcMar>
              <w:top w:w="180" w:type="dxa"/>
              <w:left w:w="0" w:type="dxa"/>
              <w:bottom w:w="180" w:type="dxa"/>
              <w:right w:w="0" w:type="dxa"/>
            </w:tcMar>
            <w:shd w:val="clear" w:fill="daeef3"/>
            <w:tcBorders>
              <w:top w:val="nil"/>
              <w:left w:val="nil"/>
              <w:bottom w:val="nil"/>
              <w:right w:val="nil"/>
            </w:tcBorders>
          </w:tcPr>
          <w:p>
            <w:r>
              <w:drawing>
                <wp:inline distT="0" distB="0" distL="0" distR="0">
                  <wp:extent cx="238125" cy="238125"/>
                  <wp:effectExtent l="0" t="0" r="0" b="0"/>
                  <wp:docPr id="1" name="Консультант Плюс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 preferRelativeResize="0"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shd w:val="clear" w:fill="daeef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См. </w:t>
            </w:r>
            <w:r>
              <w:rPr>
                <w:sz w:val="24"/>
              </w:rPr>
              <w:t xml:space="preserve">Образец акта в MS Word</w:t>
            </w:r>
          </w:p>
        </w:tc>
        <w:tc>
          <w:tcPr>
            <w:tcW w:w="18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daeef3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spacing w:before="0"/>
        <w:spacing w:after="1"/>
      </w:pPr>
    </w:p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60"/>
        <w:gridCol w:w="180"/>
        <w:gridCol w:w="9847"/>
        <w:gridCol w:w="180"/>
      </w:tblGrid>
      <w:tr>
        <w:tc>
          <w:tcPr>
            <w:tcW w:w="6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dedede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180" w:type="dxa"/>
            <w:tcMar>
              <w:top w:w="0" w:type="dxa"/>
              <w:left w:w="0" w:type="dxa"/>
              <w:bottom w:w="0" w:type="dxa"/>
              <w:right w:w="0" w:type="dxa"/>
            </w:tcMar>
            <w:shd w:val="clear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shd w:val="clear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  <w:b w:val="on"/>
              </w:rPr>
              <w:t xml:space="preserve">Акт</w:t>
            </w:r>
          </w:p>
          <w:p>
            <w:pPr>
              <w:pStyle w:val="0"/>
              <w:jc w:val="center"/>
            </w:pPr>
            <w:r>
              <w:rPr>
                <w:sz w:val="24"/>
                <w:b w:val="on"/>
              </w:rPr>
              <w:t xml:space="preserve">оценки возможного вреда субъектам персональных данных</w:t>
            </w:r>
          </w:p>
          <w:p>
            <w:pPr>
              <w:pStyle w:val="0"/>
              <w:jc w:val="both"/>
            </w:pPr>
            <w:r>
              <w:rPr>
                <w:sz w:val="24"/>
              </w:rPr>
            </w:r>
          </w:p>
          <w:tbl>
            <w:tblPr>
              <w:tblInd w:w="0" w:type="dxa"/>
              <w:tblW w:w="5000" w:type="pct"/>
              <w:tblBorders>
                <w:top w:val="single" w:sz="8"/>
                <w:left w:val="single" w:sz="8"/>
                <w:bottom w:val="single" w:sz="8"/>
                <w:right w:val="single" w:sz="8"/>
                <w:insideV w:val="single" w:sz="8"/>
                <w:insideH w:val="single" w:sz="8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5103"/>
              <w:gridCol w:w="5103"/>
            </w:tblGrid>
            <w:tr>
              <w:tc>
                <w:tcPr>
                  <w:tcW w:w="510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0"/>
                  </w:pPr>
                  <w:r>
                    <w:rPr>
                      <w:sz w:val="24"/>
                    </w:rPr>
                    <w:t xml:space="preserve">г. Энск</w:t>
                  </w:r>
                </w:p>
              </w:tc>
              <w:tc>
                <w:tcPr>
                  <w:tcW w:w="510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0"/>
                    <w:jc w:val="right"/>
                  </w:pPr>
                  <w:r>
                    <w:rPr>
                      <w:sz w:val="24"/>
                    </w:rPr>
                    <w:t xml:space="preserve">3 марта 2026 г.</w:t>
                  </w:r>
                </w:p>
              </w:tc>
            </w:tr>
          </w:tbl>
          <w:p>
            <w:pPr>
              <w:pStyle w:val="0"/>
              <w:jc w:val="both"/>
            </w:pPr>
            <w:r>
              <w:rPr>
                <w:sz w:val="24"/>
              </w:rPr>
              <w:t xml:space="preserve">Комиссия, созданная приказом директора Сергеева А.А. от 03.03.2026 N 12/26 в составе председателя комиссии - заместителя директора Озаренковой Марины Игоревны, членов комиссии - бухгалтера Мироновой Марии Михайловны, юрисконсульта Петровой Ирины Петровны, в соответствии с </w:t>
            </w:r>
            <w:hyperlink w:history="0" r:id="rId13" w:tooltip="Федеральный закон от 27.07.2006 N 152-ФЗ (ред. от 24.06.2025) &quot;О персональных данных&quot; {КонсультантПлюс}">
              <w:r>
                <w:rPr>
                  <w:sz w:val="24"/>
                  <w:color w:val="0000ff"/>
                </w:rPr>
                <w:t xml:space="preserve">п. 5 ч. 1 ст. 18.1</w:t>
              </w:r>
            </w:hyperlink>
            <w:r>
              <w:rPr>
                <w:sz w:val="24"/>
              </w:rPr>
              <w:t xml:space="preserve"> Федерального закона от 27.07.2006 N 152-ФЗ "О персональных данных" составила настоящий акт оценки вреда о нижеследующем.</w:t>
            </w:r>
          </w:p>
          <w:p>
            <w:pPr>
              <w:pStyle w:val="0"/>
              <w:jc w:val="both"/>
            </w:pPr>
            <w:r>
              <w:rPr>
                <w:sz w:val="24"/>
              </w:rPr>
              <w:t xml:space="preserve">3 марта 2026 г. комиссия произвела оценку вреда, который может быть причинен субъектам персональных данных в случае нарушения Федерального </w:t>
            </w:r>
            <w:hyperlink w:history="0" r:id="rId14" w:tooltip="Федеральный закон от 27.07.2006 N 152-ФЗ (ред. от 24.06.2025) &quot;О персональных данных&quot; {КонсультантПлюс}">
              <w:r>
                <w:rPr>
                  <w:sz w:val="24"/>
                  <w:color w:val="0000ff"/>
                </w:rPr>
                <w:t xml:space="preserve">закона</w:t>
              </w:r>
            </w:hyperlink>
            <w:r>
              <w:rPr>
                <w:sz w:val="24"/>
              </w:rPr>
              <w:t xml:space="preserve"> от 27.07.2006 N 152-ФЗ "О персональных данных" оператором - ООО "Альфа", находящимся по адресу: 117418, г. Энск, ул. Цюрупы, д. 12, корп. 9.</w:t>
            </w:r>
          </w:p>
          <w:p>
            <w:pPr>
              <w:pStyle w:val="0"/>
              <w:jc w:val="both"/>
            </w:pPr>
            <w:r>
              <w:rPr>
                <w:sz w:val="24"/>
              </w:rPr>
              <w:t xml:space="preserve">В рамках деятельности по обработке персональных данных ООО "Альфа" осуществляет распространение персональных данных на официальном сайте ООО "Альфа" в информационно-телекоммуникационной сети "Интернет" по адресу: client-alfa.ru.</w:t>
            </w:r>
          </w:p>
          <w:p>
            <w:pPr>
              <w:pStyle w:val="0"/>
              <w:jc w:val="both"/>
            </w:pPr>
            <w:r>
              <w:rPr>
                <w:sz w:val="24"/>
              </w:rPr>
              <w:t xml:space="preserve">По результатам оценки установлено, что степень вреда, который может быть причинен субъектам персональных данных, обрабатываемых ООО "Альфа", - средняя (</w:t>
            </w:r>
            <w:hyperlink w:history="0" r:id="rId15" w:tooltip="Приказ Роскомнадзора от 27.10.2022 N 178 &quot;Об утверждении Требований к оценке вреда, который может быть причинен субъектам персональных данных в случае нарушения Федерального закона &quot;О персональных данных&quot; (Зарегистрировано в Минюсте России 28.11.2022 N 71166) {КонсультантПлюс}">
              <w:r>
                <w:rPr>
                  <w:sz w:val="24"/>
                  <w:color w:val="0000ff"/>
                </w:rPr>
                <w:t xml:space="preserve">пп. 2.2 п. 2</w:t>
              </w:r>
            </w:hyperlink>
            <w:r>
              <w:rPr>
                <w:sz w:val="24"/>
              </w:rPr>
              <w:t xml:space="preserve"> Требований к оценке вреда, который может быть причинен субъектам персональных данных в случае нарушения Федерального закона "О персональных данных", утвержденных Приказом Роскомнадзора от 27.10.2022 N 178).</w:t>
            </w:r>
          </w:p>
          <w:p>
            <w:pPr>
              <w:pStyle w:val="0"/>
              <w:jc w:val="both"/>
            </w:pPr>
            <w:r>
              <w:rPr>
                <w:sz w:val="24"/>
              </w:rPr>
            </w:r>
          </w:p>
          <w:tbl>
            <w:tblPr>
              <w:tblInd w:w="0" w:type="dxa"/>
              <w:tblLayout w:type="fixed"/>
              <w:tblCellMar>
                <w:top w:w="102" w:type="dxa"/>
                <w:left w:w="62" w:type="dxa"/>
                <w:bottom w:w="102" w:type="dxa"/>
                <w:right w:w="62" w:type="dxa"/>
              </w:tblCellMar>
            </w:tblPr>
            <w:tblGrid>
              <w:gridCol w:w="3458"/>
              <w:gridCol w:w="3061"/>
              <w:gridCol w:w="2551"/>
            </w:tblGrid>
            <w:tr>
              <w:tc>
                <w:tcPr>
                  <w:tcW w:w="3458" w:type="dxa"/>
                  <w:vAlign w:val="bottom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0"/>
                    <w:jc w:val="both"/>
                  </w:pPr>
                  <w:r>
                    <w:rPr>
                      <w:sz w:val="24"/>
                      <w:b w:val="on"/>
                    </w:rPr>
                    <w:t xml:space="preserve">Председатель комиссии:</w:t>
                  </w:r>
                </w:p>
              </w:tc>
              <w:tc>
                <w:tcPr>
                  <w:tcW w:w="3061" w:type="dxa"/>
                  <w:vAlign w:val="bottom"/>
                  <w:tcBorders>
                    <w:top w:val="nil"/>
                    <w:left w:val="nil"/>
                    <w:bottom w:val="single" w:sz="4"/>
                    <w:right w:val="nil"/>
                  </w:tcBorders>
                </w:tcPr>
                <w:p>
                  <w:pPr>
                    <w:pStyle w:val="0"/>
                    <w:jc w:val="center"/>
                  </w:pPr>
                  <w:r>
                    <w:rPr>
                      <w:sz w:val="24"/>
                      <w:i w:val="on"/>
                    </w:rPr>
                    <w:t xml:space="preserve">Озаренкова</w:t>
                  </w:r>
                </w:p>
              </w:tc>
              <w:tc>
                <w:tcPr>
                  <w:tcW w:w="2551" w:type="dxa"/>
                  <w:vAlign w:val="bottom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0"/>
                    <w:jc w:val="both"/>
                  </w:pPr>
                  <w:r>
                    <w:rPr>
                      <w:sz w:val="24"/>
                    </w:rPr>
                    <w:t xml:space="preserve">М.И. Озаренкова</w:t>
                  </w:r>
                </w:p>
              </w:tc>
            </w:tr>
            <w:tr>
              <w:tc>
                <w:tcPr>
                  <w:tcW w:w="3458" w:type="dxa"/>
                  <w:vAlign w:val="bottom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0"/>
                    <w:jc w:val="both"/>
                  </w:pPr>
                  <w:r>
                    <w:rPr>
                      <w:sz w:val="24"/>
                      <w:b w:val="on"/>
                    </w:rPr>
                    <w:t xml:space="preserve">Члены комиссии:</w:t>
                  </w:r>
                </w:p>
              </w:tc>
              <w:tc>
                <w:tcPr>
                  <w:tcW w:w="3061" w:type="dxa"/>
                  <w:vAlign w:val="bottom"/>
                  <w:tcBorders>
                    <w:top w:val="single" w:sz="4"/>
                    <w:left w:val="nil"/>
                    <w:bottom w:val="single" w:sz="4"/>
                    <w:right w:val="nil"/>
                  </w:tcBorders>
                </w:tcPr>
                <w:p>
                  <w:pPr>
                    <w:pStyle w:val="0"/>
                    <w:jc w:val="center"/>
                  </w:pPr>
                  <w:r>
                    <w:rPr>
                      <w:sz w:val="24"/>
                      <w:i w:val="on"/>
                    </w:rPr>
                    <w:t xml:space="preserve">Миронова</w:t>
                  </w:r>
                </w:p>
              </w:tc>
              <w:tc>
                <w:tcPr>
                  <w:tcW w:w="2551" w:type="dxa"/>
                  <w:vAlign w:val="bottom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0"/>
                    <w:jc w:val="both"/>
                  </w:pPr>
                  <w:r>
                    <w:rPr>
                      <w:sz w:val="24"/>
                    </w:rPr>
                    <w:t xml:space="preserve">М.М. Миронова</w:t>
                  </w:r>
                </w:p>
              </w:tc>
            </w:tr>
            <w:tr>
              <w:tc>
                <w:tcPr>
                  <w:tcW w:w="3458" w:type="dxa"/>
                  <w:vAlign w:val="bottom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0"/>
                  </w:pPr>
                  <w:r>
                    <w:rPr>
                      <w:sz w:val="24"/>
                    </w:rPr>
                  </w:r>
                </w:p>
              </w:tc>
              <w:tc>
                <w:tcPr>
                  <w:tcW w:w="3061" w:type="dxa"/>
                  <w:vAlign w:val="bottom"/>
                  <w:tcBorders>
                    <w:top w:val="single" w:sz="4"/>
                    <w:left w:val="nil"/>
                    <w:bottom w:val="single" w:sz="4"/>
                    <w:right w:val="nil"/>
                  </w:tcBorders>
                </w:tcPr>
                <w:p>
                  <w:pPr>
                    <w:pStyle w:val="0"/>
                    <w:jc w:val="center"/>
                  </w:pPr>
                  <w:r>
                    <w:rPr>
                      <w:sz w:val="24"/>
                      <w:i w:val="on"/>
                    </w:rPr>
                    <w:t xml:space="preserve">Петрова</w:t>
                  </w:r>
                </w:p>
              </w:tc>
              <w:tc>
                <w:tcPr>
                  <w:tcW w:w="2551" w:type="dxa"/>
                  <w:vAlign w:val="bottom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0"/>
                    <w:jc w:val="both"/>
                  </w:pPr>
                  <w:r>
                    <w:rPr>
                      <w:sz w:val="24"/>
                    </w:rPr>
                    <w:t xml:space="preserve">И.П. Петрова</w:t>
                  </w:r>
                </w:p>
              </w:tc>
            </w:tr>
          </w:tbl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180" w:type="dxa"/>
            <w:tcMar>
              <w:top w:w="0" w:type="dxa"/>
              <w:left w:w="0" w:type="dxa"/>
              <w:bottom w:w="0" w:type="dxa"/>
              <w:right w:w="0" w:type="dxa"/>
            </w:tcMar>
            <w:shd w:val="clear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pStyle w:val="0"/>
        <w:jc w:val="both"/>
      </w:pPr>
      <w:r>
        <w:rPr>
          <w:sz w:val="24"/>
        </w:rPr>
      </w:r>
    </w:p>
    <w:p>
      <w:pPr>
        <w:pStyle w:val="0"/>
        <w:jc w:val="both"/>
        <w:pBdr>
          <w:bottom w:val="single" w:sz="6" w:space="0" w:color="auto"/>
        </w:pBdr>
        <w:spacing w:before="100" w:after="100"/>
        <w:rPr>
          <w:sz w:val="2"/>
          <w:szCs w:val="2"/>
        </w:rPr>
      </w:pPr>
    </w:p>
    <w:sectPr>
      <w:headerReference w:type="default" r:id="rId3"/>
      <w:headerReference w:type="first" r:id="rId4"/>
      <w:footerReference w:type="default" r:id="rId6"/>
      <w:footerReference w:type="first" r:id="rId6"/>
      <w:pgSz w:w="11906" w:h="16838"/>
      <w:pgMar w:top="1440" w:right="566" w:bottom="1440" w:left="1133" w:header="0" w:footer="0" w:gutter="0"/>
      <w:titlePg/>
    </w:sectPr>
  </w:body>
</w:document>
</file>

<file path=word/footer1.xml><?xml version="1.0" encoding="utf-8"?>
<w:ft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p>
    <w:pPr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Ind w:w="0" w:type="dxa"/>
      <w:tblCellMar>
        <w:left w:w="40" w:type="dxa"/>
        <w:right w:w="40" w:type="dxa"/>
      </w:tblCellMar>
      <w:tblLook w:firstRow="0" w:lastRow="0" w:firstColumn="0" w:lastColumn="0" w:noHBand="0" w:noVBand="0"/>
    </w:tblPr>
    <w:tblGrid>
      <w:gridCol w:w="1"/>
      <w:gridCol w:w="1"/>
      <w:gridCol w:w="1"/>
    </w:tblGrid>
    <w:tr>
      <w:trPr>
        <w:trHeight w:hRule="exact" w:val="1663"/>
      </w:trPr>
      <w:tc>
        <w:tcPr>
          <w:tcW w:w="1650" w:type="pct"/>
          <w:vAlign w:val="center"/>
        </w:tcPr>
        <w:p>
          <w:r>
            <w:rPr>
              <w:rFonts w:ascii="Tahoma" w:hAnsi="Tahoma" w:cs="Tahoma"/>
              <w:b/>
              <w:color w:val="f58220"/>
              <w:sz w:val="28"/>
              <w:szCs w:val="28"/>
              <w:noProof/>
            </w:rPr>
            <w:t>КонсультантПлюс</w:t>
          </w:r>
          <w:r>
            <w:rPr>
              <w:rFonts w:ascii="Tahoma" w:hAnsi="Tahoma" w:cs="Tahoma"/>
              <w:b/>
              <w:sz w:val="16"/>
              <w:szCs w:val="16"/>
              <w:noProof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>
          <w:pPr>
            <w:jc w:val="center"/>
          </w:pPr>
          <w:hyperlink r:id="rId1" w:history="0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>
          <w:pPr>
            <w:jc w:val="end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</w:p>
      </w:tc>
    </w:tr>
  </w:tbl>
  <w:p>
    <w:r>
      <w:rPr>
        <w:sz w:val="2"/>
        <w:szCs w:val="2"/>
      </w:rPr>
      <w:t>1</w:t>
    </w:r>
  </w:p>
</w:ftr>
</file>

<file path=word/header1.xml><?xml version="1.0" encoding="utf-8"?>
<w:hd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tbl>
    <w:tblPr>
      <w:tblW w:w="5000" w:type="pct"/>
      <w:tblInd w:w="0" w:type="dxa"/>
      <w:tblLayout w:type="fixed"/>
      <w:tblCellMar>
        <w:left w:w="40" w:type="dxa"/>
        <w:right w:w="40" w:type="dxa"/>
      </w:tblCellMar>
    </w:tblPr>
    <w:tblGrid>
      <w:gridCol w:w="1"/>
      <w:gridCol w:w="1"/>
    </w:tblGrid>
    <w:tr>
      <w:trPr>
        <w:trHeight w:hRule="exact" w:val="1683"/>
      </w:trPr>
      <w:tc>
        <w:tcPr>
          <w:tcW w:w="2700" w:type="pct"/>
          <w:vAlign w:val="center"/>
        </w:tcPr>
        <w:p>
          <w:pPr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Форма: Акт оценки возможного вреда субъектам персональных данных (образец заполнения)</w:t>
            <w:br/>
            <w:t>(КонсультантПлюс, 2026)</w:t>
          </w:r>
        </w:p>
      </w:tc>
      <w:tc>
        <w:tcPr>
          <w:tcW w:w="2300" w:type="pct"/>
          <w:vAlign w:val="center"/>
        </w:tcPr>
        <w:p>
          <w:pPr>
            <w:jc w:val="end"/>
            <w:rPr>
              <w:rFonts w:ascii="Tahoma" w:hAnsi="Tahoma" w:cs="Tahoma"/>
            </w:rPr>
          </w:pPr>
          <w:r>
            <w:rPr>
              <w:rFonts w:ascii="Tahoma" w:hAnsi="Tahoma" w:cs="Tahoma"/>
              <w:sz w:val="18"/>
              <w:szCs w:val="18"/>
              <w:noProof/>
            </w:rPr>
            <w:t xml:space="preserve">Документ предоставлен </w:t>
          </w:r>
          <w:hyperlink r:id="rId1" w:history="0" w:tooltip="КонсультантПлюс - надежная правовая система">
            <w:r>
              <w:rPr>
                <w:rFonts w:ascii="Tahoma" w:hAnsi="Tahoma" w:cs="Tahoma"/>
                <w:color w:val="0000FF"/>
                <w:sz w:val="18"/>
                <w:szCs w:val="18"/>
                <w:noProof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04.02.2026</w:t>
          </w:r>
        </w:p>
      </w:tc>
    </w:tr>
  </w:tbl>
  <w:p>
    <w:pPr>
      <w:pBdr>
        <w:bottom w:val="single" w:sz="12" w:space="0" w:color="auto"/>
      </w:pBdr>
      <w:rPr>
        <w:sz w:val="2"/>
        <w:szCs w:val="2"/>
      </w:rPr>
    </w:pPr>
  </w:p>
  <w:p/>
</w:hdr>
</file>

<file path=word/header2.xml><?xml version="1.0" encoding="utf-8"?>
<w:hd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tbl>
    <w:tblPr>
      <w:tblW w:w="5000" w:type="pct"/>
      <w:tblInd w:w="0" w:type="dxa"/>
      <w:tblLayout w:type="fixed"/>
      <w:tblCellMar>
        <w:left w:w="40" w:type="dxa"/>
        <w:right w:w="40" w:type="dxa"/>
      </w:tblCellMar>
    </w:tblPr>
    <w:tblGrid>
      <w:gridCol w:w="1"/>
      <w:gridCol w:w="1"/>
    </w:tblGrid>
    <w:tr>
      <w:trPr>
        <w:trHeight w:hRule="exact" w:val="1683"/>
      </w:trPr>
      <w:tc>
        <w:tcPr>
          <w:tcW w:w="2700" w:type="pct"/>
          <w:vAlign w:val="center"/>
        </w:tcPr>
        <w:p>
          <w:pPr>
            <w:rPr>
              <w:rFonts w:ascii="Tahoma" w:hAnsi="Tahoma" w:cs="Tahoma"/>
            </w:rPr>
          </w:pPr>
          <w:r>
            <w:drawing>
              <wp:inline distT="0" distB="0" distL="0" distR="0">
                <wp:extent cx="1910715" cy="445770"/>
                <wp:effectExtent l="0" t="0" r="0" b="0"/>
                <wp:docPr id="1" name="Консультант Плюс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 preferRelativeResize="0"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10715" cy="445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Форма: Акт оценки возможного вреда субъектам персональных данных (образец заполнения) (КонсультантПлюс, 2026)</w:t>
          </w:r>
        </w:p>
      </w:tc>
      <w:tc>
        <w:tcPr>
          <w:tcW w:w="2300" w:type="pct"/>
          <w:vAlign w:val="center"/>
        </w:tcPr>
        <w:p>
          <w:pPr>
            <w:jc w:val="end"/>
            <w:rPr>
              <w:rFonts w:ascii="Tahoma" w:hAnsi="Tahoma" w:cs="Tahoma"/>
            </w:rPr>
          </w:pPr>
          <w:r>
            <w:rPr>
              <w:rFonts w:ascii="Tahoma" w:hAnsi="Tahoma" w:cs="Tahoma"/>
              <w:sz w:val="18"/>
              <w:szCs w:val="18"/>
              <w:noProof/>
            </w:rPr>
            <w:t xml:space="preserve">Документ предоставлен </w:t>
          </w:r>
          <w:hyperlink r:id="rId1" w:history="0" w:tooltip="КонсультантПлюс - надежная правовая система">
            <w:r>
              <w:rPr>
                <w:rFonts w:ascii="Tahoma" w:hAnsi="Tahoma" w:cs="Tahoma"/>
                <w:color w:val="0000FF"/>
                <w:sz w:val="18"/>
                <w:szCs w:val="18"/>
                <w:noProof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04.02.2026</w:t>
          </w:r>
        </w:p>
      </w:tc>
    </w:tr>
  </w:tbl>
  <w:p>
    <w:pPr>
      <w:pBdr>
        <w:bottom w:val="single" w:sz="12" w:space="0" w:color="auto"/>
      </w:pBdr>
      <w:rPr>
        <w:sz w:val="2"/>
        <w:szCs w:val="2"/>
      </w:rPr>
    </w:pPr>
  </w:p>
  <w:p/>
</w:hdr>
</file>

<file path=word/settings.xml><?xml version="1.0" encoding="utf-8"?>
<w:settings xmlns:w="http://schemas.openxmlformats.org/wordprocessingml/2006/main">
  <w:themeFontLang w:val="ru-RU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pPrDefault>
      <w:pPr>
        <w:spacing w:before="0" w:after="0" w:line="240" w:lineRule="auto"/>
      </w:pPr>
    </w:pPrDefault>
    <w:rPrDefault>
      <w:rPr>
        <w:lang w:val="ru-RU" w:eastAsia="ru-RU" w:bidi="ar-SA"/>
      </w:rPr>
    </w:rPrDefault>
  </w:docDefaults>
  <w:style w:type="paragraph" w:default="1" w:customStyle="1" w:styleId="0">
    <w:name w:val="ConsPlusNormal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customStyle="1" w:styleId="1">
    <w:name w:val="ConsPlusNonformat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2">
    <w:name w:val="ConsPlusTitle"/>
    <w:pPr>
      <w:widowControl w:val="0"/>
      <w:autoSpaceDE w:val="0"/>
      <w:autoSpaceDN w:val="0"/>
    </w:pPr>
    <w:rPr>
      <w:rFonts w:ascii="Arial" w:hAnsi="Arial" w:cs="Arial"/>
      <w:sz w:val="24"/>
      <w:lang w:val="ru-RU" w:eastAsia="ru-RU" w:bidi="ar-SA"/>
      <w:b/>
    </w:rPr>
  </w:style>
  <w:style w:type="paragraph" w:customStyle="1" w:styleId="3">
    <w:name w:val="ConsPlusCell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4">
    <w:name w:val="ConsPlusDocList"/>
    <w:pPr>
      <w:widowControl w:val="0"/>
      <w:autoSpaceDE w:val="0"/>
      <w:autoSpaceDN w:val="0"/>
    </w:pPr>
    <w:rPr>
      <w:rFonts w:ascii="Tahoma" w:hAnsi="Tahoma" w:cs="Tahoma"/>
      <w:sz w:val="18"/>
      <w:lang w:val="ru-RU" w:eastAsia="ru-RU" w:bidi="ar-SA"/>
    </w:rPr>
  </w:style>
  <w:style w:type="paragraph" w:customStyle="1" w:styleId="5">
    <w:name w:val="ConsPlusTitlePage"/>
    <w:pPr>
      <w:widowControl w:val="0"/>
      <w:autoSpaceDE w:val="0"/>
      <w:autoSpaceDN w:val="0"/>
    </w:pPr>
    <w:rPr>
      <w:rFonts w:ascii="Tahoma" w:hAnsi="Tahoma" w:cs="Tahoma"/>
      <w:sz w:val="20"/>
      <w:lang w:val="ru-RU" w:eastAsia="ru-RU" w:bidi="ar-SA"/>
    </w:rPr>
  </w:style>
  <w:style w:type="paragraph" w:customStyle="1" w:styleId="6">
    <w:name w:val="ConsPlusJurTerm"/>
    <w:pPr>
      <w:widowControl w:val="0"/>
      <w:autoSpaceDE w:val="0"/>
      <w:autoSpaceDN w:val="0"/>
    </w:pPr>
    <w:rPr>
      <w:rFonts w:ascii="Tahoma" w:hAnsi="Tahoma" w:cs="Tahoma"/>
      <w:sz w:val="26"/>
      <w:lang w:val="ru-RU" w:eastAsia="ru-RU" w:bidi="ar-SA"/>
    </w:rPr>
  </w:style>
  <w:style w:type="paragraph" w:customStyle="1" w:styleId="7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customStyle="1" w:styleId="8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settings" Target="word/settings.xml"/><Relationship Id="rId2" Type="http://schemas.openxmlformats.org/officeDocument/2006/relationships/styles" Target="styles.xml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image" Target="media/image1.png"/><Relationship Id="rId6" Type="http://schemas.openxmlformats.org/officeDocument/2006/relationships/footer" Target="footer1.xml"/><Relationship Id="rId7" Type="http://schemas.openxmlformats.org/officeDocument/2006/relationships/hyperlink" Target="http://login.consultant.ru/link/?req=doc&amp;base=LAW&amp;n=499769&amp;date=04.02.2026&amp;dst=129&amp;field=134" TargetMode = "External"/><Relationship Id="rId8" Type="http://schemas.openxmlformats.org/officeDocument/2006/relationships/hyperlink" Target="http://login.consultant.ru/link/?req=doc&amp;base=LAW&amp;n=432555&amp;date=04.02.2026&amp;dst=100042&amp;field=134" TargetMode = "External"/><Relationship Id="rId9" Type="http://schemas.openxmlformats.org/officeDocument/2006/relationships/hyperlink" Target="http://login.consultant.ru/link/?req=doc&amp;base=LAW&amp;n=432555&amp;date=04.02.2026&amp;dst=100042&amp;field=134" TargetMode = "External"/><Relationship Id="rId10" Type="http://schemas.openxmlformats.org/officeDocument/2006/relationships/hyperlink" Target="http://login.consultant.ru/link/?req=doc&amp;base=LAW&amp;n=432555&amp;date=04.02.2026&amp;dst=100017&amp;field=134" TargetMode = "External"/><Relationship Id="rId11" Type="http://schemas.openxmlformats.org/officeDocument/2006/relationships/hyperlink" Target="http://login.consultant.ru/link/?req=doc&amp;base=LAW&amp;n=432555&amp;date=04.02.2026&amp;dst=100036&amp;field=134" TargetMode = "External"/><Relationship Id="rId12" Type="http://schemas.openxmlformats.org/officeDocument/2006/relationships/image" Target="media/image2.png"/><Relationship Id="rId13" Type="http://schemas.openxmlformats.org/officeDocument/2006/relationships/hyperlink" Target="http://login.consultant.ru/link/?req=doc&amp;base=LAW&amp;n=499769&amp;date=04.02.2026&amp;dst=129&amp;field=134" TargetMode = "External"/><Relationship Id="rId14" Type="http://schemas.openxmlformats.org/officeDocument/2006/relationships/hyperlink" Target="http://login.consultant.ru/link/?req=doc&amp;base=LAW&amp;n=499769&amp;date=04.02.2026" TargetMode = "External"/><Relationship Id="rId15" Type="http://schemas.openxmlformats.org/officeDocument/2006/relationships/hyperlink" Target="http://login.consultant.ru/link/?req=doc&amp;base=LAW&amp;n=432555&amp;date=04.02.2026&amp;dst=100028&amp;field=134" TargetMode = "External"/></Relationships>
</file>

<file path=word/_rels/footer1.xml.rels>&#65279;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 = "External"/></Relationships>
</file>

<file path=word/_rels/header1.xml.rels>&#65279;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 = "External"/></Relationships>
</file>

<file path=word/_rels/header2.xml.rels>&#65279;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 = "External"/><Relationship Id="rId2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КонсультантПлюс Версия 4025.00.30</Application>
  <Company>КонсультантПлюс Версия 4025.00.30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Форма: Акт оценки возможного вреда субъектам персональных данных (образец заполнения)
(КонсультантПлюс, 2026)</dc:title>
  <dcterms:created xsi:type="dcterms:W3CDTF">2026-02-04T07:30:43Z</dcterms:created>
</cp:coreProperties>
</file>