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eaf8d3b94123865fc34a8c9224cebdd27283e6"/>
    <w:p>
      <w:pPr>
        <w:pStyle w:val="Heading1"/>
      </w:pPr>
      <w:r>
        <w:t xml:space="preserve">DoIT AI Policy Compliance Map — DCFS ILC AI Pilot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V04222026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David Nika + Jim Daugherty review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Vinay Lagisetty (AI Transformation Leader, Krasan)</w:t>
      </w:r>
      <w:r>
        <w:t xml:space="preserve"> </w:t>
      </w:r>
      <w:r>
        <w:rPr>
          <w:b/>
          <w:bCs/>
        </w:rPr>
        <w:t xml:space="preserve">Policy basis:</w:t>
      </w:r>
      <w:r>
        <w:t xml:space="preserve"> </w:t>
      </w:r>
      <w:r>
        <w:t xml:space="preserve">State of Illinois DoIT Policy on the Acceptable and Responsible Use of Artificial Intelligence (effective April 1, 2025)</w:t>
      </w:r>
      <w:r>
        <w:t xml:space="preserve"> </w:t>
      </w:r>
      <w:r>
        <w:rPr>
          <w:b/>
          <w:bCs/>
        </w:rPr>
        <w:t xml:space="preserve">Framework basis:</w:t>
      </w:r>
      <w:r>
        <w:t xml:space="preserve"> </w:t>
      </w:r>
      <w:r>
        <w:t xml:space="preserve">NIST AI Risk Management Framework 1.0 (Jan 2023)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Demonstrate how the DCFS Illinois Connect AI pilot complies with the State of Illinois DoIT AI Policy. This document is a per-section mapping of the policy to our operational controls, training, artifacts, and evidence.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living document</w:t>
      </w:r>
      <w:r>
        <w:t xml:space="preserve">. Updated when the policy changes, when our controls change, or when a new audit item surfaces.</w:t>
      </w:r>
    </w:p>
    <w:p>
      <w:r>
        <w:pict>
          <v:rect style="width:0;height:1.5pt" o:hralign="center" o:hrstd="t" o:hr="t"/>
        </w:pict>
      </w:r>
    </w:p>
    <w:bookmarkEnd w:id="9"/>
    <w:bookmarkStart w:id="10" w:name="X8db5197ba7bf0cf7e78210b008d6b939252b4c6"/>
    <w:p>
      <w:pPr>
        <w:pStyle w:val="Heading2"/>
      </w:pPr>
      <w:r>
        <w:t xml:space="preserve">2. Scope of this map</w:t>
      </w:r>
    </w:p>
    <w:p>
      <w:pPr>
        <w:pStyle w:val="FirstParagraph"/>
      </w:pPr>
      <w:r>
        <w:t xml:space="preserve">Covers the DCFS ILC AI pilot (13 weeks, Intact team, 5 roles). Tools in scope: GitHub Copilot, Atlassian Rovo, Microsoft 365 Copilot, Dynamics 365 Copilot.</w:t>
      </w:r>
    </w:p>
    <w:p>
      <w:pPr>
        <w:pStyle w:val="BodyText"/>
      </w:pPr>
      <w:r>
        <w:t xml:space="preserve">Out of scope: anything touching DCFS protected data, case data, or PII — AI tools operate on code, stories, documentation, and configuration artifacts only.</w:t>
      </w:r>
    </w:p>
    <w:p>
      <w:r>
        <w:pict>
          <v:rect style="width:0;height:1.5pt" o:hralign="center" o:hrstd="t" o:hr="t"/>
        </w:pict>
      </w:r>
    </w:p>
    <w:bookmarkEnd w:id="10"/>
    <w:bookmarkStart w:id="12" w:name="X94c28540f14c9c929f3a0fa05030ce4d23e4d2e"/>
    <w:p>
      <w:pPr>
        <w:pStyle w:val="Heading2"/>
      </w:pPr>
      <w:r>
        <w:t xml:space="preserve">3. Section-by-section compliance</w:t>
      </w:r>
    </w:p>
    <w:bookmarkStart w:id="11" w:name="X0d7882d67c0db0b2d98ece47cc8cf5ef7c8d6fa"/>
    <w:p>
      <w:pPr>
        <w:pStyle w:val="Heading3"/>
      </w:pPr>
      <w:r>
        <w:t xml:space="preserve">3.1 Compliance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DoIT Section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Our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Non-discrimination / bias mitigation</w:t>
            </w:r>
          </w:p>
        </w:tc>
        <w:tc>
          <w:tcPr/>
          <w:p>
            <w:pPr>
              <w:pStyle w:val="Compact"/>
            </w:pPr>
            <w:r>
              <w:t xml:space="preserve">Bias awareness training for all pilot participants; per-sprint spot check of AI-generated content for bias patterns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No protected data in AI systems without authorization</w:t>
            </w:r>
          </w:p>
        </w:tc>
        <w:tc>
          <w:tcPr/>
          <w:p>
            <w:pPr>
              <w:pStyle w:val="Compact"/>
            </w:pPr>
            <w:r>
              <w:t xml:space="preserve">No DCFS case data, PII, or protected state data in AI prompts; enforced by training + spot checks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Human-in-the-loop on AI decisions</w:t>
            </w:r>
          </w:p>
        </w:tc>
        <w:tc>
          <w:tcPr/>
          <w:p>
            <w:pPr>
              <w:pStyle w:val="Compact"/>
            </w:pPr>
            <w:r>
              <w:t xml:space="preserve">HITL on 100% of AI output — developer accepts/edits every suggestion; peer review + PR approval before commit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4f</w:t>
            </w:r>
          </w:p>
        </w:tc>
        <w:tc>
          <w:tcPr/>
          <w:p>
            <w:pPr>
              <w:pStyle w:val="Compact"/>
            </w:pPr>
            <w:r>
              <w:t xml:space="preserve">No access to protected data without Agency Head authorization</w:t>
            </w:r>
          </w:p>
        </w:tc>
        <w:tc>
          <w:tcPr/>
          <w:p>
            <w:pPr>
              <w:pStyle w:val="Compact"/>
            </w:pPr>
            <w:r>
              <w:t xml:space="preserve">AI tools process code + JIRA stories + documentation only. No case data, CANTS data, or PII ever enters prompts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5a-c</w:t>
            </w:r>
          </w:p>
        </w:tc>
        <w:tc>
          <w:tcPr/>
          <w:p>
            <w:pPr>
              <w:pStyle w:val="Compact"/>
            </w:pPr>
            <w:r>
              <w:t xml:space="preserve">Transparency — disclose AI use</w:t>
            </w:r>
          </w:p>
        </w:tc>
        <w:tc>
          <w:tcPr/>
          <w:p>
            <w:pPr>
              <w:pStyle w:val="Compact"/>
            </w:pPr>
            <w:r>
              <w:t xml:space="preserve">Written disclosure to all pilot participants; AI-assisted deliverables labeled as such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Human reviews AI output before use</w:t>
            </w:r>
          </w:p>
        </w:tc>
        <w:tc>
          <w:tcPr/>
          <w:p>
            <w:pPr>
              <w:pStyle w:val="Compact"/>
            </w:pPr>
            <w:r>
              <w:t xml:space="preserve">Same as 4d — developer reviews before acceptance; peer review + PR gate before commit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5e</w:t>
            </w:r>
          </w:p>
        </w:tc>
        <w:tc>
          <w:tcPr/>
          <w:p>
            <w:pPr>
              <w:pStyle w:val="Compact"/>
            </w:pPr>
            <w:r>
              <w:t xml:space="preserve">State data use for AI requires Agency Head written consent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question: does Copilot on ILC source code = "State data for AI"?</w:t>
            </w:r>
            <w:r>
              <w:t xml:space="preserve"> </w:t>
            </w:r>
            <w:r>
              <w:t xml:space="preserve">Our interpretation: source code is not protected state data.</w:t>
            </w:r>
            <w:r>
              <w:t xml:space="preserve"> </w:t>
            </w:r>
            <w:r>
              <w:rPr>
                <w:b/>
                <w:bCs/>
              </w:rPr>
              <w:t xml:space="preserve">Awaiting written determination from David Nika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5f</w:t>
            </w:r>
          </w:p>
        </w:tc>
        <w:tc>
          <w:tcPr/>
          <w:p>
            <w:pPr>
              <w:pStyle w:val="Compact"/>
            </w:pPr>
            <w:r>
              <w:t xml:space="preserve">AI System Assessment Report + Agency Head signoff + 30-day advance notice to DoIT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report drafting in progress. 30-day notice to be filed after David's direction on template + owner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Continuous human oversight</w:t>
            </w:r>
          </w:p>
        </w:tc>
        <w:tc>
          <w:tcPr/>
          <w:p>
            <w:pPr>
              <w:pStyle w:val="Compact"/>
            </w:pPr>
            <w:r>
              <w:t xml:space="preserve">Weekly Pilot Governance Team review; per-sprint bias + quality spot checks; incident response path defined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monitoring + documentation</w:t>
            </w:r>
          </w:p>
        </w:tc>
        <w:tc>
          <w:tcPr/>
          <w:p>
            <w:pPr>
              <w:pStyle w:val="Compact"/>
            </w:pPr>
            <w:r>
              <w:t xml:space="preserve">Metrics dashboard (tools.ussp.co); JIRA + GitHub audit trail; weekly reviews in Pilot Governance Charter §5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Bias mitigation — regular reviews + corrective action</w:t>
            </w:r>
          </w:p>
        </w:tc>
        <w:tc>
          <w:tcPr/>
          <w:p>
            <w:pPr>
              <w:pStyle w:val="Compact"/>
            </w:pPr>
            <w:r>
              <w:t xml:space="preserve">Per-sprint bias spot checks; documented review process; corrective action logged in Change Request Register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Security reporting process</w:t>
            </w:r>
          </w:p>
        </w:tc>
        <w:tc>
          <w:tcPr/>
          <w:p>
            <w:pPr>
              <w:pStyle w:val="Compact"/>
            </w:pPr>
            <w:r>
              <w:t xml:space="preserve">AI security awareness training; incident reporting channel in Teams; escalation path in Pilot Governance Charter §9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10 of 12 sections fully covered. 2 sections (5e, 5f) pending David Nika's direction in Apr 22 meeting.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30672b46723fb4daa36c202965029dfba14d29f"/>
    <w:p>
      <w:pPr>
        <w:pStyle w:val="Heading2"/>
      </w:pPr>
      <w:r>
        <w:t xml:space="preserve">4. Operational controls — how we enforce compliance</w:t>
      </w:r>
    </w:p>
    <w:bookmarkStart w:id="13" w:name="X0a4c461214452da7ed96cd5b64ad8e53003a8f2"/>
    <w:p>
      <w:pPr>
        <w:pStyle w:val="Heading3"/>
      </w:pPr>
      <w:r>
        <w:t xml:space="preserve">4.1 Human-in-the-loop (§4d, §5d, §6)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must review + accept every AI suggestion</w:t>
            </w:r>
          </w:p>
        </w:tc>
        <w:tc>
          <w:tcPr/>
          <w:p>
            <w:pPr>
              <w:pStyle w:val="Compact"/>
            </w:pPr>
            <w:r>
              <w:t xml:space="preserve">Training + PR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 required on every AI-assisted PR</w:t>
            </w:r>
          </w:p>
        </w:tc>
        <w:tc>
          <w:tcPr/>
          <w:p>
            <w:pPr>
              <w:pStyle w:val="Compact"/>
            </w:pPr>
            <w:r>
              <w:t xml:space="preserve">GitHub branch protection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merged only after PR approval</w:t>
            </w:r>
          </w:p>
        </w:tc>
        <w:tc>
          <w:tcPr/>
          <w:p>
            <w:pPr>
              <w:pStyle w:val="Compact"/>
            </w:pPr>
            <w:r>
              <w:t xml:space="preserve">GitHub required-reviewer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Per-sprint spot check of AI output quality</w:t>
            </w:r>
          </w:p>
        </w:tc>
        <w:tc>
          <w:tcPr/>
          <w:p>
            <w:pPr>
              <w:pStyle w:val="Compact"/>
            </w:pPr>
            <w:r>
              <w:t xml:space="preserve">Pilot Governance Lead (weekly)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autonomous AI commits</w:t>
            </w:r>
          </w:p>
        </w:tc>
        <w:tc>
          <w:tcPr/>
          <w:p>
            <w:pPr>
              <w:pStyle w:val="Compact"/>
            </w:pPr>
            <w:r>
              <w:t xml:space="preserve">Policy + tooling — no CI/CD auto-apply of AI suggestions</w:t>
            </w:r>
          </w:p>
        </w:tc>
      </w:tr>
    </w:tbl>
    <w:bookmarkEnd w:id="13"/>
    <w:bookmarkStart w:id="14" w:name="Xb676cfffaa5d90eb80bd256faf66cc796360353"/>
    <w:p>
      <w:pPr>
        <w:pStyle w:val="Heading3"/>
      </w:pPr>
      <w:r>
        <w:t xml:space="preserve">4.2 Data boundaries (§4b, §4f)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DCFS case data in prompts</w:t>
            </w:r>
          </w:p>
        </w:tc>
        <w:tc>
          <w:tcPr/>
          <w:p>
            <w:pPr>
              <w:pStyle w:val="Compact"/>
            </w:pPr>
            <w:r>
              <w:t xml:space="preserve">Training + spot checks + incident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PII in prompts</w:t>
            </w:r>
          </w:p>
        </w:tc>
        <w:tc>
          <w:tcPr/>
          <w:p>
            <w:pPr>
              <w:pStyle w:val="Compact"/>
            </w:pPr>
            <w:r>
              <w:t xml:space="preserve">Training + automated prompt scanning (optional, 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only</w:t>
            </w:r>
          </w:p>
        </w:tc>
        <w:tc>
          <w:tcPr/>
          <w:p>
            <w:pPr>
              <w:pStyle w:val="Compact"/>
            </w:pPr>
            <w:r>
              <w:t xml:space="preserve">Tooling configuration limits Copilot scope to approved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stories only — no personal records</w:t>
            </w:r>
          </w:p>
        </w:tc>
        <w:tc>
          <w:tcPr/>
          <w:p>
            <w:pPr>
              <w:pStyle w:val="Compact"/>
            </w:pPr>
            <w:r>
              <w:t xml:space="preserve">Training + per-sprint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Maximus / federal-reporting data excluded</w:t>
            </w:r>
          </w:p>
        </w:tc>
        <w:tc>
          <w:tcPr/>
          <w:p>
            <w:pPr>
              <w:pStyle w:val="Compact"/>
            </w:pPr>
            <w:r>
              <w:t xml:space="preserve">Training + DCFS Data Privacy Lead oversight</w:t>
            </w:r>
          </w:p>
        </w:tc>
      </w:tr>
    </w:tbl>
    <w:bookmarkEnd w:id="14"/>
    <w:bookmarkStart w:id="15" w:name="Xd87e6251dbca4b251e0a6053a59024bfceaf35b"/>
    <w:p>
      <w:pPr>
        <w:pStyle w:val="Heading3"/>
      </w:pPr>
      <w:r>
        <w:t xml:space="preserve">4.3 Transparency (§5a-c)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participants acknowledge AI-use disclosure</w:t>
            </w:r>
          </w:p>
        </w:tc>
        <w:tc>
          <w:tcPr/>
          <w:p>
            <w:pPr>
              <w:pStyle w:val="Compact"/>
            </w:pPr>
            <w:r>
              <w:t xml:space="preserve">Onboarding paperwork (tracked in Teams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AI-assisted deliverables labeled in commit messages</w:t>
            </w:r>
          </w:p>
        </w:tc>
        <w:tc>
          <w:tcPr/>
          <w:p>
            <w:pPr>
              <w:pStyle w:val="Compact"/>
            </w:pPr>
            <w:r>
              <w:t xml:space="preserve">PR template + commit message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 (POs, business reps) told when AI is in use</w:t>
            </w:r>
          </w:p>
        </w:tc>
        <w:tc>
          <w:tcPr/>
          <w:p>
            <w:pPr>
              <w:pStyle w:val="Compact"/>
            </w:pPr>
            <w:r>
              <w:t xml:space="preserve">Weekly status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flags AI-generated sections</w:t>
            </w:r>
          </w:p>
        </w:tc>
        <w:tc>
          <w:tcPr/>
          <w:p>
            <w:pPr>
              <w:pStyle w:val="Compact"/>
            </w:pPr>
            <w:r>
              <w:t xml:space="preserve">Doc template standard</w:t>
            </w:r>
          </w:p>
        </w:tc>
      </w:tr>
    </w:tbl>
    <w:bookmarkEnd w:id="15"/>
    <w:bookmarkStart w:id="16" w:name="Xcc1bf928f821e3b11eb4976b334fc3ffd37dff1"/>
    <w:p>
      <w:pPr>
        <w:pStyle w:val="Heading3"/>
      </w:pPr>
      <w:r>
        <w:t xml:space="preserve">4.4 Bias mitigation (§4a, §11)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awareness training</w:t>
            </w:r>
          </w:p>
        </w:tc>
        <w:tc>
          <w:tcPr/>
          <w:p>
            <w:pPr>
              <w:pStyle w:val="Compact"/>
            </w:pPr>
            <w:r>
              <w:t xml:space="preserve">Required in Foundation training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Per-sprint bias spot check</w:t>
            </w:r>
          </w:p>
        </w:tc>
        <w:tc>
          <w:tcPr/>
          <w:p>
            <w:pPr>
              <w:pStyle w:val="Compact"/>
            </w:pPr>
            <w:r>
              <w:t xml:space="preserve">Pilot Governance Lead — part of weekly spot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action logged</w:t>
            </w:r>
          </w:p>
        </w:tc>
        <w:tc>
          <w:tcPr/>
          <w:p>
            <w:pPr>
              <w:pStyle w:val="Compact"/>
            </w:pPr>
            <w:r>
              <w:t xml:space="preserve">Change Request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review cycle</w:t>
            </w:r>
          </w:p>
        </w:tc>
        <w:tc>
          <w:tcPr/>
          <w:p>
            <w:pPr>
              <w:pStyle w:val="Compact"/>
            </w:pPr>
            <w:r>
              <w:t xml:space="preserve">Weekly (spot check) + mid-pilot checkpoint</w:t>
            </w:r>
          </w:p>
        </w:tc>
      </w:tr>
    </w:tbl>
    <w:bookmarkEnd w:id="16"/>
    <w:bookmarkStart w:id="17" w:name="X2e9e9fb20587f438a2e1a6b0ce7eb44c15f1274"/>
    <w:p>
      <w:pPr>
        <w:pStyle w:val="Heading3"/>
      </w:pPr>
      <w:r>
        <w:t xml:space="preserve">4.5 Security (§12)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security awareness training</w:t>
            </w:r>
          </w:p>
        </w:tc>
        <w:tc>
          <w:tcPr/>
          <w:p>
            <w:pPr>
              <w:pStyle w:val="Compact"/>
            </w:pPr>
            <w:r>
              <w:t xml:space="preserve">Required in Foundation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reporting channel</w:t>
            </w:r>
          </w:p>
        </w:tc>
        <w:tc>
          <w:tcPr/>
          <w:p>
            <w:pPr>
              <w:pStyle w:val="Compact"/>
            </w:pPr>
            <w:r>
              <w:t xml:space="preserve">Teams "DCFS AI Rollout" channel, dedicated incident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path</w:t>
            </w:r>
          </w:p>
        </w:tc>
        <w:tc>
          <w:tcPr/>
          <w:p>
            <w:pPr>
              <w:pStyle w:val="Compact"/>
            </w:pPr>
            <w:r>
              <w:t xml:space="preserve">Pilot Governance Charter §9 — Pilot team → AI Transformation Lead → Pilot Governance Lead → 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SLAs</w:t>
            </w:r>
          </w:p>
        </w:tc>
        <w:tc>
          <w:tcPr/>
          <w:p>
            <w:pPr>
              <w:pStyle w:val="Compact"/>
            </w:pPr>
            <w:r>
              <w:t xml:space="preserve">Data leak: 1 hr · Tool breach: 4 hr · Metric decline &gt;20%: weekly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ea960e9d0de738affa72af515dc6e414f877aa5"/>
    <w:p>
      <w:pPr>
        <w:pStyle w:val="Heading2"/>
      </w:pPr>
      <w:r>
        <w:t xml:space="preserve">5. Evidence artifacts</w:t>
      </w:r>
    </w:p>
    <w:p>
      <w:pPr>
        <w:pStyle w:val="FirstParagraph"/>
      </w:pPr>
      <w:r>
        <w:t xml:space="preserve">All compliance evidence lives in the "DCFS AI Rollout" Teams channel (shared tab).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completion records (all pilot participants)</w:t>
            </w:r>
          </w:p>
        </w:tc>
        <w:tc>
          <w:tcPr/>
          <w:p>
            <w:pPr>
              <w:pStyle w:val="Compact"/>
            </w:pPr>
            <w:r>
              <w:t xml:space="preserve">4a, 5a-c, 11, 12</w:t>
            </w:r>
          </w:p>
        </w:tc>
        <w:tc>
          <w:tcPr/>
          <w:p>
            <w:pPr>
              <w:pStyle w:val="Compact"/>
            </w:pPr>
            <w:r>
              <w:t xml:space="preserve">Once, pre-pilot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disclosure acknowledgments</w:t>
            </w:r>
          </w:p>
        </w:tc>
        <w:tc>
          <w:tcPr/>
          <w:p>
            <w:pPr>
              <w:pStyle w:val="Compact"/>
            </w:pPr>
            <w:r>
              <w:t xml:space="preserve">5a-c</w:t>
            </w:r>
          </w:p>
        </w:tc>
        <w:tc>
          <w:tcPr/>
          <w:p>
            <w:pPr>
              <w:pStyle w:val="Compact"/>
            </w:pPr>
            <w:r>
              <w:t xml:space="preserve">Once, pre-pilot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 document sign-offs</w:t>
            </w:r>
          </w:p>
        </w:tc>
        <w:tc>
          <w:tcPr/>
          <w:p>
            <w:pPr>
              <w:pStyle w:val="Compact"/>
            </w:pPr>
            <w:r>
              <w:t xml:space="preserve">4b, 4d, 4f, 5d</w:t>
            </w:r>
          </w:p>
        </w:tc>
        <w:tc>
          <w:tcPr/>
          <w:p>
            <w:pPr>
              <w:pStyle w:val="Compact"/>
            </w:pPr>
            <w:r>
              <w:t xml:space="preserve">Once, pre-pilot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DoIT 30-day notice + correspondence</w:t>
            </w:r>
          </w:p>
        </w:tc>
        <w:tc>
          <w:tcPr/>
          <w:p>
            <w:pPr>
              <w:pStyle w:val="Compact"/>
            </w:pPr>
            <w:r>
              <w:t xml:space="preserve">5f</w:t>
            </w:r>
          </w:p>
        </w:tc>
        <w:tc>
          <w:tcPr/>
          <w:p>
            <w:pPr>
              <w:pStyle w:val="Compact"/>
            </w:pPr>
            <w:r>
              <w:t xml:space="preserve">Once +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Per-sprint audit trail exports (JIRA + GitHub)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Pilot Governance meeting minutes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spot-check log</w:t>
            </w:r>
          </w:p>
        </w:tc>
        <w:tc>
          <w:tcPr/>
          <w:p>
            <w:pPr>
              <w:pStyle w:val="Compact"/>
            </w:pPr>
            <w:r>
              <w:t xml:space="preserve">4a, 11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reports (if any)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 hoc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Request Register</w:t>
            </w:r>
          </w:p>
        </w:tc>
        <w:tc>
          <w:tcPr/>
          <w:p>
            <w:pPr>
              <w:pStyle w:val="Compact"/>
            </w:pPr>
            <w:r>
              <w:t xml:space="preserve">11, 7</w:t>
            </w:r>
          </w:p>
        </w:tc>
        <w:tc>
          <w:tcPr/>
          <w:p>
            <w:pPr>
              <w:pStyle w:val="Compact"/>
            </w:pPr>
            <w:r>
              <w:t xml:space="preserve">Per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Mid-pilot assessment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Once (~Jun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End-of-pilot compliance summary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Once (~Jul 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b4d9811811a6272c7b74f1244bd10c57b12a429"/>
    <w:p>
      <w:pPr>
        <w:pStyle w:val="Heading2"/>
      </w:pPr>
      <w:r>
        <w:t xml:space="preserve">6. Open items (pending David Nika input)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Target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§5e determination:</w:t>
            </w:r>
            <w:r>
              <w:t xml:space="preserve"> </w:t>
            </w:r>
            <w:r>
              <w:t xml:space="preserve">Does Copilot operating on ILC source code count as "State data for AI purposes"?</w:t>
            </w:r>
          </w:p>
        </w:tc>
        <w:tc>
          <w:tcPr/>
          <w:p>
            <w:pPr>
              <w:pStyle w:val="Compact"/>
            </w:pPr>
            <w:r>
              <w:t xml:space="preserve">David's written determination</w:t>
            </w:r>
          </w:p>
        </w:tc>
        <w:tc>
          <w:tcPr/>
          <w:p>
            <w:pPr>
              <w:pStyle w:val="Compact"/>
            </w:pPr>
            <w:r>
              <w:t xml:space="preserve">Apr 22 meeting + follow-up within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§5f notice:</w:t>
            </w:r>
            <w:r>
              <w:t xml:space="preserve"> </w:t>
            </w:r>
            <w:r>
              <w:t xml:space="preserve">Template, owner, whether parallel work is permitted during the 30-day window</w:t>
            </w:r>
          </w:p>
        </w:tc>
        <w:tc>
          <w:tcPr/>
          <w:p>
            <w:pPr>
              <w:pStyle w:val="Compact"/>
            </w:pPr>
            <w:r>
              <w:t xml:space="preserve">David's direction + DCFS compliance/policy person</w:t>
            </w:r>
          </w:p>
        </w:tc>
        <w:tc>
          <w:tcPr/>
          <w:p>
            <w:pPr>
              <w:pStyle w:val="Compact"/>
            </w:pPr>
            <w:r>
              <w:t xml:space="preserve">Apr 22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Assessment report format (whatever DCFS/DoIT precedent requires)</w:t>
            </w:r>
          </w:p>
        </w:tc>
        <w:tc>
          <w:tcPr/>
          <w:p>
            <w:pPr>
              <w:pStyle w:val="Compact"/>
            </w:pPr>
            <w:r>
              <w:t xml:space="preserve">Template from DCFS</w:t>
            </w:r>
          </w:p>
        </w:tc>
        <w:tc>
          <w:tcPr/>
          <w:p>
            <w:pPr>
              <w:pStyle w:val="Compact"/>
            </w:pPr>
            <w:r>
              <w:t xml:space="preserve">Before 30-day filing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b9467d06aa09ec77ded9718cb981a292f482aa"/>
    <w:p>
      <w:pPr>
        <w:pStyle w:val="Heading2"/>
      </w:pPr>
      <w:r>
        <w:t xml:space="preserve">7. Compliance posture statement</w:t>
      </w:r>
    </w:p>
    <w:p>
      <w:pPr>
        <w:pStyle w:val="FirstParagraph"/>
      </w:pPr>
      <w:r>
        <w:t xml:space="preserve">DCFS pilot governance operates under this posture:</w:t>
      </w:r>
    </w:p>
    <w:p>
      <w:pPr>
        <w:pStyle w:val="BlockText"/>
      </w:pPr>
      <w:r>
        <w:rPr>
          <w:b/>
          <w:bCs/>
        </w:rPr>
        <w:t xml:space="preserve">DCFS governs; Krasan executes and reports.</w:t>
      </w:r>
      <w:r>
        <w:t xml:space="preserve"> </w:t>
      </w:r>
      <w:r>
        <w:t xml:space="preserve">AI suggests; human decides.</w:t>
      </w:r>
      <w:r>
        <w:t xml:space="preserve"> </w:t>
      </w:r>
      <w:r>
        <w:t xml:space="preserve">Code and stories only; no protected data, no PII, no case data.</w:t>
      </w:r>
      <w:r>
        <w:t xml:space="preserve"> </w:t>
      </w:r>
      <w:r>
        <w:t xml:space="preserve">Every AI output reviewed by a human before acceptance; every accepted suggestion reviewed again via PR before merge.</w:t>
      </w:r>
      <w:r>
        <w:t xml:space="preserve"> </w:t>
      </w:r>
      <w:r>
        <w:t xml:space="preserve">All activity auditable via JIRA transitions + GitHub history.</w:t>
      </w:r>
      <w:r>
        <w:t xml:space="preserve"> </w:t>
      </w:r>
      <w:r>
        <w:t xml:space="preserve">Weekly review by DCFS Pilot Governance Team.</w:t>
      </w:r>
      <w:r>
        <w:t xml:space="preserve"> </w:t>
      </w:r>
      <w:r>
        <w:t xml:space="preserve">Escalation to CIO on any safety or compliance concern within one hour.</w:t>
      </w:r>
    </w:p>
    <w:p>
      <w:r>
        <w:pict>
          <v:rect style="width:0;height:1.5pt" o:hralign="center" o:hrstd="t" o:hr="t"/>
        </w:pict>
      </w:r>
    </w:p>
    <w:bookmarkEnd w:id="21"/>
    <w:bookmarkStart w:id="22" w:name="Xb7debefb64fc7f6258503acc01265951acab17f"/>
    <w:p>
      <w:pPr>
        <w:pStyle w:val="Heading2"/>
      </w:pPr>
      <w:r>
        <w:t xml:space="preserve">8.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Jim Daugherty (DCFS CIO)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Interim AI Lead</w:t>
            </w:r>
          </w:p>
        </w:tc>
        <w:tc>
          <w:tcPr/>
          <w:p>
            <w:pPr>
              <w:pStyle w:val="Compact"/>
            </w:pPr>
            <w:r>
              <w:t xml:space="preserve">David Nika (Deputy CIO, Data Management)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Pilot Governance Lead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DCFS designee — 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Transformation Lead</w:t>
            </w:r>
          </w:p>
        </w:tc>
        <w:tc>
          <w:tcPr/>
          <w:p>
            <w:pPr>
              <w:pStyle w:val="Compact"/>
            </w:pPr>
            <w:r>
              <w:t xml:space="preserve">Vinay Lagisetty (Krasan)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0735b3dc65955ed4689d88137164723da53a2c"/>
    <w:p>
      <w:pPr>
        <w:pStyle w:val="Heading2"/>
      </w:pPr>
      <w:r>
        <w:t xml:space="preserve">9.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V04222026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Extracted from framework deck</w:t>
            </w:r>
            <w:r>
              <w:t xml:space="preserve"> </w:t>
            </w:r>
            <w:r>
              <w:rPr>
                <w:rStyle w:val="VerbatimChar"/>
              </w:rPr>
              <w:t xml:space="preserve">slides/A3-governance.html</w:t>
            </w:r>
            <w:r>
              <w:t xml:space="preserve">. Expanded into standalone deliverable. Pending sign-off.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(pre-version)</w:t>
            </w:r>
          </w:p>
        </w:tc>
        <w:tc>
          <w:tcPr/>
          <w:p>
            <w:pPr>
              <w:pStyle w:val="Compact"/>
            </w:pPr>
            <w:r>
              <w:t xml:space="preserve">2026-04-13</w:t>
            </w:r>
          </w:p>
        </w:tc>
        <w:tc>
          <w:tcPr/>
          <w:p>
            <w:pPr>
              <w:pStyle w:val="Compact"/>
            </w:pPr>
            <w:r>
              <w:t xml:space="preserve">Initial compliance mapping draft as part of Jim meeting prep.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aa4d51543ec141fa587235365a1a8f58412f0a5"/>
    <w:p>
      <w:pPr>
        <w:pStyle w:val="Heading2"/>
      </w:pPr>
      <w:r>
        <w:t xml:space="preserve">10. Conversion to Word</w:t>
      </w:r>
    </w:p>
    <w:p>
      <w:pPr>
        <w:pStyle w:val="SourceCode"/>
      </w:pPr>
      <w:r>
        <w:rPr>
          <w:rStyle w:val="CommentTok"/>
        </w:rPr>
        <w:t xml:space="preserve"># From planning/deliverables/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compliance-map-v04222026.md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compliance-map-v04222026.docx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../../assets/krasan-word-template.docx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bookmarkEnd w:id="24"/>
    <w:bookmarkStart w:id="30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Proposal:</w:t>
      </w:r>
      <w:r>
        <w:t xml:space="preserve"> </w:t>
      </w:r>
      <w:hyperlink r:id="rId25">
        <w:r>
          <w:rPr>
            <w:rStyle w:val="VerbatimChar"/>
          </w:rPr>
          <w:t xml:space="preserve">governance-proposal-v04142026.md</w:t>
        </w:r>
      </w:hyperlink>
      <w:r>
        <w:t xml:space="preserve"> </w:t>
      </w:r>
      <w:r>
        <w:t xml:space="preserve">— the two-phase team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Pilot Governance Charter:</w:t>
      </w:r>
      <w:r>
        <w:t xml:space="preserve"> </w:t>
      </w:r>
      <w:hyperlink r:id="rId26">
        <w:r>
          <w:rPr>
            <w:rStyle w:val="VerbatimChar"/>
          </w:rPr>
          <w:t xml:space="preserve">pilot-governance-charter-v04222026.md</w:t>
        </w:r>
      </w:hyperlink>
      <w:r>
        <w:t xml:space="preserve"> </w:t>
      </w:r>
      <w:r>
        <w:t xml:space="preserve">— the weekly operating rulebook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Generation Policy Review:</w:t>
      </w:r>
      <w:r>
        <w:t xml:space="preserve"> </w:t>
      </w:r>
      <w:hyperlink r:id="rId27">
        <w:r>
          <w:rPr>
            <w:rStyle w:val="VerbatimChar"/>
          </w:rPr>
          <w:t xml:space="preserve">code-generation-policy-review.md</w:t>
        </w:r>
      </w:hyperlink>
      <w:r>
        <w:t xml:space="preserve"> </w:t>
      </w:r>
      <w:r>
        <w:t xml:space="preserve">— HITL enforcement detail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Rollout Plan:</w:t>
      </w:r>
      <w:r>
        <w:t xml:space="preserve"> </w:t>
      </w:r>
      <w:hyperlink r:id="rId28">
        <w:r>
          <w:rPr>
            <w:rStyle w:val="VerbatimChar"/>
          </w:rPr>
          <w:t xml:space="preserve">../rollout-plan.md</w:t>
        </w:r>
      </w:hyperlink>
      <w:r>
        <w:t xml:space="preserve"> </w:t>
      </w:r>
      <w:r>
        <w:t xml:space="preserve">— master 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Risks Register:</w:t>
      </w:r>
      <w:r>
        <w:t xml:space="preserve"> </w:t>
      </w:r>
      <w:hyperlink r:id="rId29">
        <w:r>
          <w:rPr>
            <w:rStyle w:val="VerbatimChar"/>
          </w:rPr>
          <w:t xml:space="preserve">assumptions-and-risks.md</w:t>
        </w:r>
      </w:hyperlink>
      <w:r>
        <w:t xml:space="preserve"> </w:t>
      </w:r>
      <w:r>
        <w:t xml:space="preserve">— tracking compliance-adjacent risks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rollout-plan.md" TargetMode="External" /><Relationship Type="http://schemas.openxmlformats.org/officeDocument/2006/relationships/hyperlink" Id="rId29" Target="assumptions-and-risks.md" TargetMode="External" /><Relationship Type="http://schemas.openxmlformats.org/officeDocument/2006/relationships/hyperlink" Id="rId27" Target="code-generation-policy-review.md" TargetMode="External" /><Relationship Type="http://schemas.openxmlformats.org/officeDocument/2006/relationships/hyperlink" Id="rId25" Target="governance-proposal-v04142026.md" TargetMode="External" /><Relationship Type="http://schemas.openxmlformats.org/officeDocument/2006/relationships/hyperlink" Id="rId26" Target="pilot-governance-charter-v0422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rollout-plan.md" TargetMode="External" /><Relationship Type="http://schemas.openxmlformats.org/officeDocument/2006/relationships/hyperlink" Id="rId29" Target="assumptions-and-risks.md" TargetMode="External" /><Relationship Type="http://schemas.openxmlformats.org/officeDocument/2006/relationships/hyperlink" Id="rId27" Target="code-generation-policy-review.md" TargetMode="External" /><Relationship Type="http://schemas.openxmlformats.org/officeDocument/2006/relationships/hyperlink" Id="rId25" Target="governance-proposal-v04142026.md" TargetMode="External" /><Relationship Type="http://schemas.openxmlformats.org/officeDocument/2006/relationships/hyperlink" Id="rId26" Target="pilot-governance-charter-v0422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2026-05-15T13:43:25Z</dcterms:created>
  <dcterms:modified xsi:type="dcterms:W3CDTF">2026-05-15T13:43:25Z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