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Due Diligence Conversation Summary</w:t>
      </w:r>
    </w:p>
    <w:p>
      <w:pPr>
        <w:spacing w:after="80"/>
        <w:jc w:val="center"/>
      </w:pPr>
      <w:r>
        <w:rPr>
          <w:color w:val="666666"/>
          <w:sz w:val="26"/>
          <w:szCs w:val="26"/>
        </w:rPr>
        <w:t xml:space="preserve">TeleRay Investment — Virtual Nursing Market Validation</w:t>
      </w:r>
    </w:p>
    <w:p>
      <w:pPr>
        <w:spacing w:after="400"/>
        <w:jc w:val="center"/>
      </w:pPr>
      <w:r>
        <w:rPr>
          <w:color w:val="999999"/>
          <w:sz w:val="20"/>
          <w:szCs w:val="20"/>
        </w:rPr>
        <w:t xml:space="preserve">Confidential — Prepared by Vinay, Managing Partner, USSP</w:t>
      </w:r>
    </w:p>
    <w:p>
      <w:pPr>
        <w:pStyle w:val="Heading1"/>
      </w:pPr>
      <w:r>
        <w:t xml:space="preserve">Meeting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2"/>
                <w:szCs w:val="22"/>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 Ram Saladi, Managing Hospitalist</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2"/>
                <w:szCs w:val="22"/>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Orchard, Inc. (orchardcorp.com)</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2"/>
                <w:szCs w:val="22"/>
              </w:rPr>
              <w:t xml:space="preserve">Company 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Medical staffing firm — locum physicians, telemedicine, hospital consulting</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Glencoe, Illinois</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2"/>
                <w:szCs w:val="22"/>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April 2026</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2"/>
                <w:szCs w:val="22"/>
              </w:rPr>
              <w:t xml:space="preserve">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Market validation call for TeleRay virtual nursing investment thesis</w:t>
            </w:r>
          </w:p>
        </w:tc>
      </w:tr>
    </w:tbl>
    <w:p>
      <w:pPr>
        <w:pStyle w:val="Heading1"/>
      </w:pPr>
      <w:r>
        <w:t xml:space="preserve">Key Findings from Conversation</w:t>
      </w:r>
    </w:p>
    <w:p>
      <w:pPr>
        <w:pStyle w:val="Heading2"/>
      </w:pPr>
      <w:r>
        <w:t xml:space="preserve">1. Virtual Nursing Market Is Real and Growing</w:t>
      </w:r>
    </w:p>
    <w:p>
      <w:pPr>
        <w:spacing w:after="120"/>
      </w:pPr>
      <w:r>
        <w:t xml:space="preserve">Saladi confirmed that cameras have been deployed in hospitals for the last 10 years, but post-COVID, the use of cameras for clinical care delivery (not just security) is accelerating. The behavioral barrier — clinicians accepting virtual care delivery — was broken by COVID and is not reverting. This is a structural shift, not a cycle.</w:t>
      </w:r>
    </w:p>
    <w:p>
      <w:pPr>
        <w:pStyle w:val="Heading2"/>
      </w:pPr>
      <w:r>
        <w:t xml:space="preserve">2. Billing and Reimbursement — Uncertainty but Direction Is Clear</w:t>
      </w:r>
    </w:p>
    <w:p>
      <w:pPr>
        <w:spacing w:after="120"/>
      </w:pPr>
      <w:r>
        <w:t xml:space="preserve">Saladi was not sure whether virtual nursing encounters can be directly billed. This reflects the current state: there is no dedicated “virtual nursing” CPT code. However, CMS 2026 PFS Final Rule has made important changes that create billing pathways:</w:t>
      </w:r>
    </w:p>
    <w:p>
      <w:pPr>
        <w:pStyle w:val="ListParagraph"/>
        <w:numPr>
          <w:ilvl w:val="0"/>
          <w:numId w:val="2"/>
        </w:numPr>
        <w:spacing w:after="80"/>
      </w:pPr>
      <w:r>
        <w:t xml:space="preserve">CMS permanently allows direct supervision via real-time audio/video telecom — meaning a physician can be virtually present at discharge and the hospital can still bill for the encounter.</w:t>
      </w:r>
    </w:p>
    <w:p>
      <w:pPr>
        <w:pStyle w:val="ListParagraph"/>
        <w:numPr>
          <w:ilvl w:val="0"/>
          <w:numId w:val="2"/>
        </w:numPr>
        <w:spacing w:after="80"/>
      </w:pPr>
      <w:r>
        <w:t xml:space="preserve">Frequency limitations permanently removed for subsequent inpatient visits, nursing facility visits, and critical care consultations via telehealth.</w:t>
      </w:r>
    </w:p>
    <w:p>
      <w:pPr>
        <w:pStyle w:val="ListParagraph"/>
        <w:numPr>
          <w:ilvl w:val="0"/>
          <w:numId w:val="2"/>
        </w:numPr>
        <w:spacing w:after="80"/>
      </w:pPr>
      <w:r>
        <w:t xml:space="preserve">Medicare telehealth flexibilities (home originating site, expanded providers, no geographic restrictions) extended through December 31, 2027.</w:t>
      </w:r>
    </w:p>
    <w:p>
      <w:pPr>
        <w:pStyle w:val="ListParagraph"/>
        <w:numPr>
          <w:ilvl w:val="0"/>
          <w:numId w:val="2"/>
        </w:numPr>
        <w:spacing w:after="80"/>
      </w:pPr>
      <w:r>
        <w:t xml:space="preserve">RPM codes (99457, 99458) already provide reimbursement for remote monitoring and treatment management.</w:t>
      </w:r>
    </w:p>
    <w:p>
      <w:pPr>
        <w:spacing w:after="120"/>
      </w:pPr>
      <w:r>
        <w:t xml:space="preserve">Current hospital ROI is primarily cost avoidance (reduced travel nurse spend, lower turnover, shorter LOS) rather than direct revenue generation from billing codes. However, the regulatory trajectory is clearly toward more virtual encounters being reimbursable.</w:t>
      </w:r>
    </w:p>
    <w:p>
      <w:pPr>
        <w:pStyle w:val="Heading2"/>
      </w:pPr>
      <w:r>
        <w:t xml:space="preserve">2a. CMS Billing Codes Applicable to Virtual Nursing (Requires Validation with TeleRay)</w:t>
      </w:r>
    </w:p>
    <w:p>
      <w:pPr>
        <w:spacing w:after="120"/>
      </w:pPr>
      <w:r>
        <w:t xml:space="preserve">The following existing CMS billing codes create reimbursement pathways for virtual nursing and virtual care encounters. A key diligence question is which of these codes TeleRay’s Epic billing integration currently supports or is working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CPT Code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Applicability to Virtual Nursing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Est. Reimbursement</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99457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Remote treatment management — initial 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Virtual nurse managing patients remotely via video, text, or phone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~$52/session</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99458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Remote treatment management — each addtl 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Extended virtual nursing sessions beyond initial 20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~$52/session</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99490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Chronic Care Management — 20 min/month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Ongoing virtual care coordination for patients with 2+ chronic conditions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~$60–$85/patient/mo</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99439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Chronic Care Management — each addtl 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Extended CCM services beyond initial 20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~$47/session</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98979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RTM MSK — 10–19 min monitoring (NEW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 code for shorter monitoring durations; lowers billing threshold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TBD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98985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RTM MSK treatment management (NEW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 code complementing existing RTM; more billing flexibility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TBD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G0508/G0509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Critical care telehealth consultations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Frequency limitations permanently removed for 2026; supports virtual specialist consults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Varies</w:t>
            </w:r>
          </w:p>
        </w:tc>
      </w:tr>
    </w:tbl>
    <w:p>
      <w:pPr>
        <w:spacing w:after="80" w:before="120"/>
      </w:pPr>
      <w:r>
        <w:rPr>
          <w:b/>
          <w:bCs/>
          <w:sz w:val="22"/>
          <w:szCs w:val="22"/>
        </w:rPr>
        <w:t xml:space="preserve">Key regulatory enablers (CMS 2026 PFS Final Rule):</w:t>
      </w:r>
    </w:p>
    <w:p>
      <w:pPr>
        <w:pStyle w:val="ListParagraph"/>
        <w:numPr>
          <w:ilvl w:val="0"/>
          <w:numId w:val="2"/>
        </w:numPr>
        <w:spacing w:after="80"/>
      </w:pPr>
      <w:r>
        <w:t xml:space="preserve">Direct supervision via real-time audio/video permanently allowed — virtual physician presence at discharge is now billable.</w:t>
      </w:r>
    </w:p>
    <w:p>
      <w:pPr>
        <w:pStyle w:val="ListParagraph"/>
        <w:numPr>
          <w:ilvl w:val="0"/>
          <w:numId w:val="2"/>
        </w:numPr>
        <w:spacing w:after="80"/>
      </w:pPr>
      <w:r>
        <w:t xml:space="preserve">Telehealth frequency limitations permanently removed for subsequent inpatient and nursing facility visits.</w:t>
      </w:r>
    </w:p>
    <w:p>
      <w:pPr>
        <w:pStyle w:val="ListParagraph"/>
        <w:numPr>
          <w:ilvl w:val="0"/>
          <w:numId w:val="2"/>
        </w:numPr>
        <w:spacing w:after="80"/>
      </w:pPr>
      <w:r>
        <w:t xml:space="preserve">Medicare telehealth flexibilities extended through December 31, 2027 (home originating site, expanded providers, no geographic restrictions).</w:t>
      </w:r>
    </w:p>
    <w:p>
      <w:pPr>
        <w:pStyle w:val="ListParagraph"/>
        <w:numPr>
          <w:ilvl w:val="0"/>
          <w:numId w:val="2"/>
        </w:numPr>
        <w:spacing w:after="80"/>
      </w:pPr>
      <w:r>
        <w:t xml:space="preserve">Teaching physicians can permanently have virtual presence for billing in all teaching settings when service is furnished virtually.</w:t>
      </w:r>
    </w:p>
    <w:p>
      <w:pPr>
        <w:spacing w:after="200" w:before="120"/>
      </w:pPr>
      <w:r>
        <w:rPr>
          <w:b/>
          <w:bCs/>
          <w:color w:val="C00000"/>
        </w:rPr>
        <w:t xml:space="preserve">Validation required: </w:t>
      </w:r>
      <w:r>
        <w:t xml:space="preserve">Confirm with TeleRay which of these CPT codes their Epic billing integration currently auto-generates. If the platform cannot attach specific codes to virtual encounters automatically, the auto-billing claim is incomplete. Also confirm whether TeleRay is actively working with CMS or AMA on a dedicated virtual nursing CPT code, which would dramatically accelerate market adoption.</w:t>
      </w:r>
    </w:p>
    <w:p>
      <w:pPr>
        <w:pStyle w:val="Heading2"/>
      </w:pPr>
      <w:r>
        <w:t xml:space="preserve">3. Epic Integration Is the Real Value — Not Cameras</w:t>
      </w:r>
    </w:p>
    <w:p>
      <w:pPr>
        <w:spacing w:after="120"/>
      </w:pPr>
      <w:r>
        <w:t xml:space="preserve">Saladi was highly positive about Epic integration. He described Epic as a conservative company and a good partner. His view: the strong integration between TeleRay and Epic, where a remote physician logging in auto-generates billing records in the EMR, is the real differentiator. Saladi noted that hospitals often fail to bill for virtual encounters because the documentation doesn’t flow into the EMR automatically. Revenue leakage on telehealth encounters is a known problem, especially at smaller hospitals.</w:t>
      </w:r>
    </w:p>
    <w:p>
      <w:pPr>
        <w:spacing w:after="120"/>
      </w:pPr>
      <w:r>
        <w:rPr>
          <w:b/>
          <w:bCs/>
        </w:rPr>
        <w:t xml:space="preserve">Key quote direction: The Epic billing automation feature is “really valued” — hospitals are leaving money on the table without it.</w:t>
      </w:r>
    </w:p>
    <w:p>
      <w:pPr>
        <w:spacing w:after="120"/>
      </w:pPr>
      <w:r>
        <w:t xml:space="preserve">Saladi also noted that Epic does not give partnerships to fly-by-night companies — if TeleRay has a real Epic partnership, there must be something substantive behind the company. Epic’s conservative vetting process serves as a de facto credibility filter, which partially de-risks the technology validation question.</w:t>
      </w:r>
    </w:p>
    <w:p>
      <w:pPr>
        <w:spacing w:after="120"/>
      </w:pPr>
      <w:r>
        <w:t xml:space="preserve">Additionally, Saladi emphasized that Epic billing integration specifically must be validated — Epic treats billing integrations with extra scrutiny because errors in automated billing can create compliance and fraud risk. If TeleRay’s billing automation is Epic-validated (not just a custom workaround), that is a significant technical and regulatory moat. This is both a key diligence validation point and a strong selling feature for hospitals evaluating the platform.</w:t>
      </w:r>
    </w:p>
    <w:p>
      <w:pPr>
        <w:pStyle w:val="Heading2"/>
      </w:pPr>
      <w:r>
        <w:t xml:space="preserve">4. Axis Camera Partnership — Not a Differentiator</w:t>
      </w:r>
    </w:p>
    <w:p>
      <w:pPr>
        <w:spacing w:after="120"/>
      </w:pPr>
      <w:r>
        <w:t xml:space="preserve">Saladi had not heard of Axis and was not excited when told about the partnership. This signals that camera hardware is commodity to hospital buyers. The CNO, CMO, and CFO making purchasing decisions do not care about camera brand. TeleRay leading with Axis in their pitch is wasted messaging on the buyer personas that matter.</w:t>
      </w:r>
    </w:p>
    <w:p>
      <w:pPr>
        <w:pStyle w:val="Heading2"/>
      </w:pPr>
      <w:r>
        <w:t xml:space="preserve">5. Small/Rural Hospitals Are the Real Beachhead</w:t>
      </w:r>
    </w:p>
    <w:p>
      <w:pPr>
        <w:spacing w:after="120"/>
      </w:pPr>
      <w:r>
        <w:t xml:space="preserve">Saladi’s most important insight: small hospitals that lack specialists need this solution most because they lose patients (and revenue) every time they transfer to a larger system. A remote specialist logging in lets the community hospital retain the case and bill for it. This is a revenue retention play, not a cost savings play.</w:t>
      </w:r>
    </w:p>
    <w:p>
      <w:pPr>
        <w:spacing w:after="120"/>
      </w:pPr>
      <w:r>
        <w:t xml:space="preserve">This shifts the competitive framing:</w:t>
      </w:r>
    </w:p>
    <w:p>
      <w:pPr>
        <w:pStyle w:val="ListParagraph"/>
        <w:numPr>
          <w:ilvl w:val="0"/>
          <w:numId w:val="2"/>
        </w:numPr>
        <w:spacing w:after="80"/>
      </w:pPr>
      <w:r>
        <w:t xml:space="preserve">Big health systems → Care.ai wins (ambient smart rooms, virtual nursing at scale, Stryker distribution, purpose-built platform).</w:t>
      </w:r>
    </w:p>
    <w:p>
      <w:pPr>
        <w:pStyle w:val="ListParagraph"/>
        <w:numPr>
          <w:ilvl w:val="0"/>
          <w:numId w:val="2"/>
        </w:numPr>
        <w:spacing w:after="80"/>
      </w:pPr>
      <w:r>
        <w:t xml:space="preserve">Small/rural hospitals → TeleRay wins (specialist access, DICOM imaging exchange, revenue retention, doesn’t require Epic).</w:t>
      </w:r>
    </w:p>
    <w:p>
      <w:pPr>
        <w:spacing w:after="120"/>
      </w:pPr>
      <w:r>
        <w:t xml:space="preserve">Important clarification: TeleRay’s 3,000+ site footprint is entirely legacy radiology/DICOM imaging. They currently have ZERO virtual nursing or virtual care deployments. The virtual nursing product is pre-market. The radiology installed base represents a potential cross-sell channel, but converting imaging customers to virtual nursing buyers is an unproven sales motion with a different buyer persona (CNO/CFO vs. radiology department).</w:t>
      </w:r>
    </w:p>
    <w:p>
      <w:pPr>
        <w:spacing w:after="120"/>
      </w:pPr>
      <w:r>
        <w:t xml:space="preserve">TeleRay’s imaging/DICOM backbone becomes the core product for this segment, not the differentiator. A rural hospital needs the remote specialist to see the CT, X-ray, or echo — not just a video feed. Care.ai doesn’t offer this.</w:t>
      </w:r>
    </w:p>
    <w:p>
      <w:pPr>
        <w:pStyle w:val="Heading1"/>
      </w:pPr>
      <w:r>
        <w:t xml:space="preserve">Competitive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Care.ai</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TeleRay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234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Target buyer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Large health 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Small/rural hospitals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Different markets, limited direct competition</w:t>
            </w:r>
          </w:p>
        </w:tc>
      </w:tr>
      <w:tr>
        <w:tc>
          <w:tcPr>
            <w:tcW w:type="dxa" w:w="234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Core value prop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Ambient smart rooms, virtual nursing at 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Remote specialist access, DICOM imaging, auto-billing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TeleRay = revenue retention; Care.ai = cost efficiency</w:t>
            </w:r>
          </w:p>
        </w:tc>
      </w:tr>
      <w:tr>
        <w:tc>
          <w:tcPr>
            <w:tcW w:type="dxa" w:w="234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Distribution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Stryker partnership, 1,500+ virtual nursing/ambient sites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3,000+ radiology/imaging sites; ZERO virtual nursing deployments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Care.ai has massive head start in virtual nursing; TeleRay’s scale is legacy imaging only</w:t>
            </w:r>
          </w:p>
        </w:tc>
      </w:tr>
      <w:tr>
        <w:tc>
          <w:tcPr>
            <w:tcW w:type="dxa" w:w="234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EMR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Unknown depth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Epic auto-billing claimed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Must validate TeleRay’s Epic claim</w:t>
            </w:r>
          </w:p>
        </w:tc>
      </w:tr>
      <w:tr>
        <w:tc>
          <w:tcPr>
            <w:tcW w:type="dxa" w:w="234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Funding/momentum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Significant VC funding, brand recognition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Care.ai has momentum advantage</w:t>
            </w:r>
          </w:p>
        </w:tc>
      </w:tr>
      <w:tr>
        <w:tc>
          <w:tcPr>
            <w:tcW w:type="dxa" w:w="234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18"/>
                <w:szCs w:val="18"/>
              </w:rPr>
              <w:t xml:space="preserve">Imaging capability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DICOM/imaging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FDA-registered viewer, DICOM streaming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TeleRay’s unique moat for specialist use case</w:t>
            </w:r>
          </w:p>
        </w:tc>
      </w:tr>
    </w:tbl>
    <w:p>
      <w:r>
        <w:br w:type="page"/>
      </w:r>
    </w:p>
    <w:p>
      <w:pPr>
        <w:pStyle w:val="Heading1"/>
      </w:pPr>
      <w:r>
        <w:t xml:space="preserve">Open Due Diligence Questions</w:t>
      </w:r>
    </w:p>
    <w:p>
      <w:pPr>
        <w:pStyle w:val="Heading2"/>
      </w:pPr>
      <w:r>
        <w:t xml:space="preserve">A. TeleRay Product Validation (Ask TeleRay CEO)</w:t>
      </w:r>
    </w:p>
    <w:p>
      <w:pPr>
        <w:pStyle w:val="ListParagraph"/>
        <w:numPr>
          <w:ilvl w:val="0"/>
          <w:numId w:val="3"/>
        </w:numPr>
        <w:spacing w:after="80"/>
      </w:pPr>
      <w:r>
        <w:rPr>
          <w:b/>
          <w:bCs/>
        </w:rPr>
        <w:t xml:space="preserve">Epic Integration Depth: </w:t>
      </w:r>
      <w:r>
        <w:t xml:space="preserve">Is TeleRay listed on Epic Marketplace (formally validated), or is this a custom HL7/FHIR API connection? What is the certification level? Critically, is the billing integration specifically validated by Epic? Epic applies extra scrutiny to billing integrations due to compliance and fraud risk — an Epic-validated billing automation is a significant moat that competitors cannot easily replicate.</w:t>
      </w:r>
    </w:p>
    <w:p>
      <w:pPr>
        <w:pStyle w:val="ListParagraph"/>
        <w:numPr>
          <w:ilvl w:val="0"/>
          <w:numId w:val="3"/>
        </w:numPr>
        <w:spacing w:after="80"/>
      </w:pPr>
      <w:r>
        <w:rPr>
          <w:b/>
          <w:bCs/>
        </w:rPr>
        <w:t xml:space="preserve">Auto-Billing Claim: </w:t>
      </w:r>
      <w:r>
        <w:t xml:space="preserve">Does the Epic integration auto-populate the encounter note AND attach the correct CPT/billing codes, or does a coder still intervene manually?</w:t>
      </w:r>
    </w:p>
    <w:p>
      <w:pPr>
        <w:pStyle w:val="ListParagraph"/>
        <w:numPr>
          <w:ilvl w:val="0"/>
          <w:numId w:val="3"/>
        </w:numPr>
        <w:spacing w:after="80"/>
      </w:pPr>
      <w:r>
        <w:rPr>
          <w:b/>
          <w:bCs/>
        </w:rPr>
        <w:t xml:space="preserve">Live Billing Sites: </w:t>
      </w:r>
      <w:r>
        <w:t xml:space="preserve">How many sites are actively billing through the Epic integration today — not contracted, not piloted, but actually submitting claims through it?</w:t>
      </w:r>
    </w:p>
    <w:p>
      <w:pPr>
        <w:pStyle w:val="ListParagraph"/>
        <w:numPr>
          <w:ilvl w:val="0"/>
          <w:numId w:val="3"/>
        </w:numPr>
        <w:spacing w:after="80"/>
      </w:pPr>
      <w:r>
        <w:rPr>
          <w:b/>
          <w:bCs/>
        </w:rPr>
        <w:t xml:space="preserve">Non-Epic EMR Support: </w:t>
      </w:r>
      <w:r>
        <w:t xml:space="preserve">What is the integration depth with Cerner/Oracle Health and Meditech? Small/rural hospitals (TeleRay’s strongest market) often run these systems, not Epic.</w:t>
      </w:r>
    </w:p>
    <w:p>
      <w:pPr>
        <w:pStyle w:val="ListParagraph"/>
        <w:numPr>
          <w:ilvl w:val="0"/>
          <w:numId w:val="3"/>
        </w:numPr>
        <w:spacing w:after="80"/>
      </w:pPr>
      <w:r>
        <w:rPr>
          <w:b/>
          <w:bCs/>
        </w:rPr>
        <w:t xml:space="preserve">Buyer Persona: </w:t>
      </w:r>
      <w:r>
        <w:t xml:space="preserve">Who is TeleRay’s typical buyer — CIO, CNO, or CFO? What is the first slide in the pitch deck? If the answer is cameras and Axis, that’s a sales execution risk.</w:t>
      </w:r>
    </w:p>
    <w:p>
      <w:pPr>
        <w:pStyle w:val="ListParagraph"/>
        <w:numPr>
          <w:ilvl w:val="0"/>
          <w:numId w:val="3"/>
        </w:numPr>
        <w:spacing w:after="80"/>
      </w:pPr>
      <w:r>
        <w:rPr>
          <w:b/>
          <w:bCs/>
        </w:rPr>
        <w:t xml:space="preserve">Revenue Model: </w:t>
      </w:r>
      <w:r>
        <w:t xml:space="preserve">What percentage of virtual nursing customers are billing for encounters vs. treating it as operational cost savings? This reveals which market phase TeleRay is actually in.</w:t>
      </w:r>
    </w:p>
    <w:p>
      <w:pPr>
        <w:pStyle w:val="ListParagraph"/>
        <w:numPr>
          <w:ilvl w:val="0"/>
          <w:numId w:val="3"/>
        </w:numPr>
        <w:spacing w:after="80"/>
      </w:pPr>
      <w:r>
        <w:rPr>
          <w:b/>
          <w:bCs/>
        </w:rPr>
        <w:t xml:space="preserve">Site Validation: </w:t>
      </w:r>
      <w:r>
        <w:t xml:space="preserve">TeleRay claims 3,000+ sites and 70% of top 50 US medical centers, but this is entirely their legacy radiology/DICOM imaging business. Virtual nursing and virtual care deployments are currently at ZERO. This is pre-revenue for virtual nursing. Diligence must focus on: what is the pipeline? Are there signed LOIs or pilots for virtual nursing? What is the timeline to first live virtual nursing site?</w:t>
      </w:r>
    </w:p>
    <w:p>
      <w:pPr>
        <w:pStyle w:val="Heading2"/>
      </w:pPr>
      <w:r>
        <w:t xml:space="preserve">B. Reference Customer Validation</w:t>
      </w:r>
    </w:p>
    <w:p>
      <w:pPr>
        <w:pStyle w:val="ListParagraph"/>
        <w:numPr>
          <w:ilvl w:val="0"/>
          <w:numId w:val="3"/>
        </w:numPr>
        <w:spacing w:after="80"/>
      </w:pPr>
      <w:r>
        <w:rPr>
          <w:b/>
          <w:bCs/>
        </w:rPr>
        <w:t xml:space="preserve">Virtual Nursing Pipeline: </w:t>
      </w:r>
      <w:r>
        <w:t xml:space="preserve">Since TeleRay has zero live virtual nursing deployments, request details on pipeline: signed LOIs, active pilots, hospitals in contract negotiation. What is the timeline to first live virtual nursing site?</w:t>
      </w:r>
    </w:p>
    <w:p>
      <w:pPr>
        <w:pStyle w:val="ListParagraph"/>
        <w:numPr>
          <w:ilvl w:val="0"/>
          <w:numId w:val="3"/>
        </w:numPr>
        <w:spacing w:after="80"/>
      </w:pPr>
      <w:r>
        <w:rPr>
          <w:b/>
          <w:bCs/>
        </w:rPr>
        <w:t xml:space="preserve">Radiology Cross-Sell Evidence: </w:t>
      </w:r>
      <w:r>
        <w:t xml:space="preserve">Have any of the 3,000+ existing radiology customers expressed interest in virtual nursing? Is there a defined cross-sell motion, or is this aspirational?</w:t>
      </w:r>
    </w:p>
    <w:p>
      <w:pPr>
        <w:pStyle w:val="ListParagraph"/>
        <w:numPr>
          <w:ilvl w:val="0"/>
          <w:numId w:val="3"/>
        </w:numPr>
        <w:spacing w:after="80"/>
      </w:pPr>
      <w:r>
        <w:rPr>
          <w:b/>
          <w:bCs/>
        </w:rPr>
        <w:t xml:space="preserve">Revenue Cycle Director: </w:t>
      </w:r>
      <w:r>
        <w:t xml:space="preserve">Once a live virtual nursing site exists, talk to the revenue cycle director (not the CMO) to confirm whether the Epic auto-billing integration actually works or requires manual workarounds.</w:t>
      </w:r>
    </w:p>
    <w:p>
      <w:pPr>
        <w:pStyle w:val="ListParagraph"/>
        <w:numPr>
          <w:ilvl w:val="0"/>
          <w:numId w:val="3"/>
        </w:numPr>
        <w:spacing w:after="80"/>
      </w:pPr>
      <w:r>
        <w:rPr>
          <w:b/>
          <w:bCs/>
        </w:rPr>
        <w:t xml:space="preserve">Competitive Displacement: </w:t>
      </w:r>
      <w:r>
        <w:t xml:space="preserve">Has any hospital evaluated Care.ai and chosen TeleRay instead? If not, has TeleRay even been in competitive evaluations for virtual nursing?</w:t>
      </w:r>
    </w:p>
    <w:p>
      <w:pPr>
        <w:pStyle w:val="Heading2"/>
      </w:pPr>
      <w:r>
        <w:t xml:space="preserve">C. Payer/Market Validation (Ask Optum EVP)</w:t>
      </w:r>
    </w:p>
    <w:p>
      <w:pPr>
        <w:pStyle w:val="ListParagraph"/>
        <w:numPr>
          <w:ilvl w:val="0"/>
          <w:numId w:val="3"/>
        </w:numPr>
        <w:spacing w:after="80"/>
      </w:pPr>
      <w:r>
        <w:rPr>
          <w:b/>
          <w:bCs/>
        </w:rPr>
        <w:t xml:space="preserve">Payer Demand Signal: </w:t>
      </w:r>
      <w:r>
        <w:t xml:space="preserve">Is Optum seeing virtual nursing reduce cost per episode in claims data, or is it still too early to measure?</w:t>
      </w:r>
    </w:p>
    <w:p>
      <w:pPr>
        <w:pStyle w:val="ListParagraph"/>
        <w:numPr>
          <w:ilvl w:val="0"/>
          <w:numId w:val="3"/>
        </w:numPr>
        <w:spacing w:after="80"/>
      </w:pPr>
      <w:r>
        <w:rPr>
          <w:b/>
          <w:bCs/>
        </w:rPr>
        <w:t xml:space="preserve">Reimbursement Trajectory: </w:t>
      </w:r>
      <w:r>
        <w:t xml:space="preserve">Are payers moving toward reimbursing virtual nursing models directly, or is this a cost the hospital absorbs?</w:t>
      </w:r>
    </w:p>
    <w:p>
      <w:pPr>
        <w:pStyle w:val="ListParagraph"/>
        <w:numPr>
          <w:ilvl w:val="0"/>
          <w:numId w:val="3"/>
        </w:numPr>
        <w:spacing w:after="80"/>
      </w:pPr>
      <w:r>
        <w:rPr>
          <w:b/>
          <w:bCs/>
        </w:rPr>
        <w:t xml:space="preserve">Rural Transfer Pattern: </w:t>
      </w:r>
      <w:r>
        <w:t xml:space="preserve">Is Optum seeing rural/community hospitals adopt virtual specialist models to retain cases they’d otherwise transfer? Are payers seeing fewer transfers to high-cost academic centers?</w:t>
      </w:r>
    </w:p>
    <w:p>
      <w:pPr>
        <w:pStyle w:val="ListParagraph"/>
        <w:numPr>
          <w:ilvl w:val="0"/>
          <w:numId w:val="3"/>
        </w:numPr>
        <w:spacing w:after="80"/>
      </w:pPr>
      <w:r>
        <w:rPr>
          <w:b/>
          <w:bCs/>
        </w:rPr>
        <w:t xml:space="preserve">Payer-Driven Adoption: </w:t>
      </w:r>
      <w:r>
        <w:t xml:space="preserve">Could Optum/UHG incentivize virtual nursing adoption across the network, or is this purely a hospital operations decision?</w:t>
      </w:r>
    </w:p>
    <w:p>
      <w:pPr>
        <w:pStyle w:val="ListParagraph"/>
        <w:numPr>
          <w:ilvl w:val="0"/>
          <w:numId w:val="3"/>
        </w:numPr>
        <w:spacing w:after="80"/>
      </w:pPr>
      <w:r>
        <w:rPr>
          <w:b/>
          <w:bCs/>
        </w:rPr>
        <w:t xml:space="preserve">Structural vs. Cyclical: </w:t>
      </w:r>
      <w:r>
        <w:t xml:space="preserve">Is virtual nursing a permanent shift, or does the market shrink if the staffing shortage normalizes?</w:t>
      </w:r>
    </w:p>
    <w:p>
      <w:pPr>
        <w:pStyle w:val="Heading2"/>
      </w:pPr>
      <w:r>
        <w:t xml:space="preserve">D. Market &amp; Regulatory Validation</w:t>
      </w:r>
    </w:p>
    <w:p>
      <w:pPr>
        <w:pStyle w:val="ListParagraph"/>
        <w:numPr>
          <w:ilvl w:val="0"/>
          <w:numId w:val="3"/>
        </w:numPr>
        <w:spacing w:after="80"/>
      </w:pPr>
      <w:r>
        <w:rPr>
          <w:b/>
          <w:bCs/>
        </w:rPr>
        <w:t xml:space="preserve">Dedicated CPT Code Timeline: </w:t>
      </w:r>
      <w:r>
        <w:t xml:space="preserve">Is there any AMA or CMS activity toward creating a dedicated virtual nursing CPT code? A dedicated code would accelerate adoption dramatically.</w:t>
      </w:r>
    </w:p>
    <w:p>
      <w:pPr>
        <w:pStyle w:val="ListParagraph"/>
        <w:numPr>
          <w:ilvl w:val="0"/>
          <w:numId w:val="3"/>
        </w:numPr>
        <w:spacing w:after="80"/>
      </w:pPr>
      <w:r>
        <w:rPr>
          <w:b/>
          <w:bCs/>
        </w:rPr>
        <w:t xml:space="preserve">Post-2027 Telehealth Risk: </w:t>
      </w:r>
      <w:r>
        <w:t xml:space="preserve">Current Medicare telehealth flexibilities expire December 31, 2027. What is the likelihood of permanent extension? If not extended, what is the impact on virtual nursing economics?</w:t>
      </w:r>
    </w:p>
    <w:p>
      <w:pPr>
        <w:pStyle w:val="ListParagraph"/>
        <w:numPr>
          <w:ilvl w:val="0"/>
          <w:numId w:val="3"/>
        </w:numPr>
        <w:spacing w:after="80"/>
      </w:pPr>
      <w:r>
        <w:rPr>
          <w:b/>
          <w:bCs/>
        </w:rPr>
        <w:t xml:space="preserve">Care.ai Funding &amp; Valuation: </w:t>
      </w:r>
      <w:r>
        <w:t xml:space="preserve">What is Care.ai’s current funding status, valuation, and burn rate? Are they profitable or still venture-subsidized? A well-funded competitor that isn’t profitable may be vulnerable.</w:t>
      </w:r>
    </w:p>
    <w:p>
      <w:pPr>
        <w:pStyle w:val="ListParagraph"/>
        <w:numPr>
          <w:ilvl w:val="0"/>
          <w:numId w:val="3"/>
        </w:numPr>
        <w:spacing w:after="80"/>
      </w:pPr>
      <w:r>
        <w:rPr>
          <w:b/>
          <w:bCs/>
        </w:rPr>
        <w:t xml:space="preserve">Stryker–Care.ai Exclusivity: </w:t>
      </w:r>
      <w:r>
        <w:t xml:space="preserve">Is the Stryker–Care.ai partnership exclusive? Could Stryker also distribute TeleRay, or is this a locked channel?</w:t>
      </w:r>
    </w:p>
    <w:p>
      <w:pPr>
        <w:pStyle w:val="Heading1"/>
      </w:pPr>
      <w:r>
        <w:t xml:space="preserve">Emerging Investment Thesis</w:t>
      </w:r>
    </w:p>
    <w:p>
      <w:pPr>
        <w:spacing w:after="120"/>
      </w:pPr>
      <w:r>
        <w:t xml:space="preserve">Based on the Orchard conversation and supporting market research, the TeleRay investment thesis is sharpening around three pillars:</w:t>
      </w:r>
    </w:p>
    <w:p>
      <w:pPr>
        <w:pStyle w:val="ListParagraph"/>
        <w:numPr>
          <w:ilvl w:val="0"/>
          <w:numId w:val="3"/>
        </w:numPr>
        <w:spacing w:after="100"/>
      </w:pPr>
      <w:r>
        <w:rPr>
          <w:b/>
          <w:bCs/>
        </w:rPr>
        <w:t xml:space="preserve">Revenue retention for small/rural hospitals </w:t>
      </w:r>
      <w:r>
        <w:t xml:space="preserve">— remote specialist access via DICOM imaging prevents patient transfers and captures revenue that would otherwise be lost. This is TeleRay’s unique moat vs. Care.ai.</w:t>
      </w:r>
    </w:p>
    <w:p>
      <w:pPr>
        <w:pStyle w:val="ListParagraph"/>
        <w:numPr>
          <w:ilvl w:val="0"/>
          <w:numId w:val="3"/>
        </w:numPr>
        <w:spacing w:after="100"/>
      </w:pPr>
      <w:r>
        <w:rPr>
          <w:b/>
          <w:bCs/>
        </w:rPr>
        <w:t xml:space="preserve">Auto-billing via Epic integration </w:t>
      </w:r>
      <w:r>
        <w:t xml:space="preserve">— eliminating revenue leakage on virtual encounters by automating documentation and CPT code attachment in the EMR. This converts virtual care from a cost center to a revenue generator. Must be validated.</w:t>
      </w:r>
    </w:p>
    <w:p>
      <w:pPr>
        <w:pStyle w:val="ListParagraph"/>
        <w:numPr>
          <w:ilvl w:val="0"/>
          <w:numId w:val="3"/>
        </w:numPr>
        <w:spacing w:after="100"/>
      </w:pPr>
      <w:r>
        <w:rPr>
          <w:b/>
          <w:bCs/>
        </w:rPr>
        <w:t xml:space="preserve">Regulatory tailwind </w:t>
      </w:r>
      <w:r>
        <w:t xml:space="preserve">— CMS 2026 permanently allowing virtual physician supervision for billing purposes, expanding telehealth codes, and extending flexibilities through 2027. The direction of travel favors virtual care models.</w:t>
      </w:r>
    </w:p>
    <w:p>
      <w:pPr>
        <w:spacing w:after="120" w:before="200"/>
      </w:pPr>
      <w:r>
        <w:rPr>
          <w:b/>
          <w:bCs/>
          <w:color w:val="C00000"/>
        </w:rPr>
        <w:t xml:space="preserve">Critical risks: </w:t>
      </w:r>
      <w:r>
        <w:t xml:space="preserve">(1) TeleRay has ZERO virtual nursing deployments today — this is a pre-revenue product in a market where Care.ai already has 1,500+ sites and Stryker distribution. The 3,000+ site claim is legacy radiology only. (2) The Epic auto-billing integration claim is the linchpin of the thesis and must be validated with reference customers. If TeleRay has no live virtual nursing sites, this feature may be theoretical, not production-tested.</w:t>
      </w:r>
    </w:p>
    <w:p>
      <w:pPr>
        <w:pBdr>
          <w:top w:val="single" w:color="CCCCCC" w:sz="1" w:space="8"/>
        </w:pBdr>
        <w:spacing w:before="600"/>
      </w:pPr>
      <w:r>
        <w:rPr>
          <w:i/>
          <w:iCs/>
          <w:color w:val="999999"/>
          <w:sz w:val="18"/>
          <w:szCs w:val="18"/>
        </w:rPr>
        <w:t xml:space="preserve">Document prepared April 2026.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2026-04-07T15:43:36.630Z</dcterms:created>
  <dcterms:modified xsi:type="dcterms:W3CDTF">2026-04-07T15:43:36.631Z</dcterms:modified>
</cp:coreProperties>
</file>

<file path=docProps/custom.xml><?xml version="1.0" encoding="utf-8"?>
<Properties xmlns="http://schemas.openxmlformats.org/officeDocument/2006/custom-properties" xmlns:vt="http://schemas.openxmlformats.org/officeDocument/2006/docPropsVTypes"/>
</file>