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Merriweather Light" w:cs="Merriweather Light" w:eastAsia="Merriweather Light" w:hAnsi="Merriweather Light"/>
          <w:sz w:val="32"/>
          <w:szCs w:val="32"/>
        </w:rPr>
      </w:pPr>
      <w:bookmarkStart w:colFirst="0" w:colLast="0" w:name="_5kk3ajpmljio" w:id="0"/>
      <w:bookmarkEnd w:id="0"/>
      <w:r w:rsidDel="00000000" w:rsidR="00000000" w:rsidRPr="00000000">
        <w:rPr>
          <w:rFonts w:ascii="Merriweather Light" w:cs="Merriweather Light" w:eastAsia="Merriweather Light" w:hAnsi="Merriweather Light"/>
          <w:sz w:val="32"/>
          <w:szCs w:val="32"/>
          <w:rtl w:val="0"/>
        </w:rPr>
        <w:t xml:space="preserve">Informe – Actualización de Contratación Estatal (SECOP II)</w:t>
      </w:r>
    </w:p>
    <w:p w:rsidR="00000000" w:rsidDel="00000000" w:rsidP="00000000" w:rsidRDefault="00000000" w:rsidRPr="00000000" w14:paraId="00000002">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3">
      <w:pPr>
        <w:spacing w:after="240" w:befor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Fecha de corte inicial:</w:t>
      </w:r>
      <w:r w:rsidDel="00000000" w:rsidR="00000000" w:rsidRPr="00000000">
        <w:rPr>
          <w:rFonts w:ascii="Merriweather Light" w:cs="Merriweather Light" w:eastAsia="Merriweather Light" w:hAnsi="Merriweather Light"/>
          <w:rtl w:val="0"/>
        </w:rPr>
        <w:t xml:space="preserve"> 9 de septiembre de 2025</w:t>
        <w:br w:type="textWrapping"/>
      </w:r>
      <w:r w:rsidDel="00000000" w:rsidR="00000000" w:rsidRPr="00000000">
        <w:rPr>
          <w:rFonts w:ascii="Merriweather Light" w:cs="Merriweather Light" w:eastAsia="Merriweather Light" w:hAnsi="Merriweather Light"/>
          <w:rtl w:val="0"/>
        </w:rPr>
        <w:t xml:space="preserve">Fecha de actualización:</w:t>
      </w:r>
      <w:r w:rsidDel="00000000" w:rsidR="00000000" w:rsidRPr="00000000">
        <w:rPr>
          <w:rFonts w:ascii="Merriweather Light" w:cs="Merriweather Light" w:eastAsia="Merriweather Light" w:hAnsi="Merriweather Light"/>
          <w:rtl w:val="0"/>
        </w:rPr>
        <w:t xml:space="preserve"> 13 de septiembre de 2025</w:t>
      </w:r>
    </w:p>
    <w:p w:rsidR="00000000" w:rsidDel="00000000" w:rsidP="00000000" w:rsidRDefault="00000000" w:rsidRPr="00000000" w14:paraId="00000004">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6dzfukk35uu4" w:id="1"/>
      <w:bookmarkEnd w:id="1"/>
      <w:r w:rsidDel="00000000" w:rsidR="00000000" w:rsidRPr="00000000">
        <w:rPr>
          <w:rFonts w:ascii="Merriweather Light" w:cs="Merriweather Light" w:eastAsia="Merriweather Light" w:hAnsi="Merriweather Light"/>
          <w:sz w:val="22"/>
          <w:szCs w:val="22"/>
          <w:u w:val="single"/>
          <w:rtl w:val="0"/>
        </w:rPr>
        <w:t xml:space="preserve">1. Resultados generales</w:t>
      </w:r>
    </w:p>
    <w:p w:rsidR="00000000" w:rsidDel="00000000" w:rsidP="00000000" w:rsidRDefault="00000000" w:rsidRPr="00000000" w14:paraId="00000005">
      <w:pPr>
        <w:numPr>
          <w:ilvl w:val="0"/>
          <w:numId w:val="4"/>
        </w:numPr>
        <w:spacing w:after="0" w:afterAutospacing="0" w:before="240" w:lineRule="auto"/>
        <w:ind w:left="720" w:hanging="360"/>
        <w:jc w:val="both"/>
        <w:rPr/>
      </w:pPr>
      <w:r w:rsidDel="00000000" w:rsidR="00000000" w:rsidRPr="00000000">
        <w:rPr>
          <w:rFonts w:ascii="Merriweather Light" w:cs="Merriweather Light" w:eastAsia="Merriweather Light" w:hAnsi="Merriweather Light"/>
          <w:rtl w:val="0"/>
        </w:rPr>
        <w:t xml:space="preserve">Total histórico al 9 de septiembre:</w:t>
      </w:r>
      <w:r w:rsidDel="00000000" w:rsidR="00000000" w:rsidRPr="00000000">
        <w:rPr>
          <w:rFonts w:ascii="Merriweather Light" w:cs="Merriweather Light" w:eastAsia="Merriweather Light" w:hAnsi="Merriweather Light"/>
          <w:rtl w:val="0"/>
        </w:rPr>
        <w:t xml:space="preserve"> 349,038 registros.</w:t>
      </w:r>
    </w:p>
    <w:p w:rsidR="00000000" w:rsidDel="00000000" w:rsidP="00000000" w:rsidRDefault="00000000" w:rsidRPr="00000000" w14:paraId="00000006">
      <w:pPr>
        <w:numPr>
          <w:ilvl w:val="0"/>
          <w:numId w:val="4"/>
        </w:numPr>
        <w:spacing w:after="0" w:afterAutospacing="0" w:before="0" w:beforeAutospacing="0" w:lineRule="auto"/>
        <w:ind w:left="720" w:hanging="360"/>
        <w:jc w:val="both"/>
        <w:rPr/>
      </w:pPr>
      <w:r w:rsidDel="00000000" w:rsidR="00000000" w:rsidRPr="00000000">
        <w:rPr>
          <w:rFonts w:ascii="Merriweather Light" w:cs="Merriweather Light" w:eastAsia="Merriweather Light" w:hAnsi="Merriweather Light"/>
          <w:rtl w:val="0"/>
        </w:rPr>
        <w:t xml:space="preserve">Nuevos registros encontrados (13 de septiembre):</w:t>
      </w:r>
      <w:r w:rsidDel="00000000" w:rsidR="00000000" w:rsidRPr="00000000">
        <w:rPr>
          <w:rFonts w:ascii="Merriweather Light" w:cs="Merriweather Light" w:eastAsia="Merriweather Light" w:hAnsi="Merriweather Light"/>
          <w:rtl w:val="0"/>
        </w:rPr>
        <w:t xml:space="preserve"> 19,188.</w:t>
      </w:r>
    </w:p>
    <w:p w:rsidR="00000000" w:rsidDel="00000000" w:rsidP="00000000" w:rsidRDefault="00000000" w:rsidRPr="00000000" w14:paraId="00000007">
      <w:pPr>
        <w:numPr>
          <w:ilvl w:val="0"/>
          <w:numId w:val="4"/>
        </w:numPr>
        <w:spacing w:after="0" w:afterAutospacing="0" w:before="0" w:beforeAutospacing="0" w:lineRule="auto"/>
        <w:ind w:left="720" w:hanging="360"/>
        <w:jc w:val="both"/>
        <w:rPr/>
      </w:pPr>
      <w:r w:rsidDel="00000000" w:rsidR="00000000" w:rsidRPr="00000000">
        <w:rPr>
          <w:rFonts w:ascii="Merriweather Light" w:cs="Merriweather Light" w:eastAsia="Merriweather Light" w:hAnsi="Merriweather Light"/>
          <w:rtl w:val="0"/>
        </w:rPr>
        <w:t xml:space="preserve">Registros existentes con modificaciones:</w:t>
      </w:r>
      <w:r w:rsidDel="00000000" w:rsidR="00000000" w:rsidRPr="00000000">
        <w:rPr>
          <w:rFonts w:ascii="Merriweather Light" w:cs="Merriweather Light" w:eastAsia="Merriweather Light" w:hAnsi="Merriweather Light"/>
          <w:rtl w:val="0"/>
        </w:rPr>
        <w:t xml:space="preserve"> 76.</w:t>
      </w:r>
    </w:p>
    <w:p w:rsidR="00000000" w:rsidDel="00000000" w:rsidP="00000000" w:rsidRDefault="00000000" w:rsidRPr="00000000" w14:paraId="00000008">
      <w:pPr>
        <w:numPr>
          <w:ilvl w:val="0"/>
          <w:numId w:val="4"/>
        </w:numPr>
        <w:spacing w:after="240" w:before="0" w:beforeAutospacing="0" w:lineRule="auto"/>
        <w:ind w:left="720" w:hanging="360"/>
        <w:jc w:val="both"/>
        <w:rPr/>
      </w:pPr>
      <w:r w:rsidDel="00000000" w:rsidR="00000000" w:rsidRPr="00000000">
        <w:rPr>
          <w:rFonts w:ascii="Merriweather Light" w:cs="Merriweather Light" w:eastAsia="Merriweather Light" w:hAnsi="Merriweather Light"/>
          <w:rtl w:val="0"/>
        </w:rPr>
        <w:t xml:space="preserve">Total consolidado después de actualización:</w:t>
      </w:r>
      <w:r w:rsidDel="00000000" w:rsidR="00000000" w:rsidRPr="00000000">
        <w:rPr>
          <w:rFonts w:ascii="Merriweather Light" w:cs="Merriweather Light" w:eastAsia="Merriweather Light" w:hAnsi="Merriweather Light"/>
          <w:rtl w:val="0"/>
        </w:rPr>
        <w:t xml:space="preserve"> 368,226 registros.</w:t>
        <w:br w:type="textWrapping"/>
      </w:r>
    </w:p>
    <w:p w:rsidR="00000000" w:rsidDel="00000000" w:rsidP="00000000" w:rsidRDefault="00000000" w:rsidRPr="00000000" w14:paraId="00000009">
      <w:pPr>
        <w:spacing w:after="240" w:befor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Estos resultados reflejan un crecimiento del </w:t>
      </w:r>
      <w:r w:rsidDel="00000000" w:rsidR="00000000" w:rsidRPr="00000000">
        <w:rPr>
          <w:rFonts w:ascii="Merriweather Light" w:cs="Merriweather Light" w:eastAsia="Merriweather Light" w:hAnsi="Merriweather Light"/>
          <w:rtl w:val="0"/>
        </w:rPr>
        <w:t xml:space="preserve">5.5 %</w:t>
      </w:r>
      <w:r w:rsidDel="00000000" w:rsidR="00000000" w:rsidRPr="00000000">
        <w:rPr>
          <w:rFonts w:ascii="Merriweather Light" w:cs="Merriweather Light" w:eastAsia="Merriweather Light" w:hAnsi="Merriweather Light"/>
          <w:rtl w:val="0"/>
        </w:rPr>
        <w:t xml:space="preserve"> en el número de procesos contractuales en tan solo cuatro días, lo que confirma la alta dinámica de la contratación estatal en Colombia.</w:t>
      </w:r>
    </w:p>
    <w:p w:rsidR="00000000" w:rsidDel="00000000" w:rsidP="00000000" w:rsidRDefault="00000000" w:rsidRPr="00000000" w14:paraId="0000000A">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x4oj90o3zipw" w:id="2"/>
      <w:bookmarkEnd w:id="2"/>
      <w:r w:rsidDel="00000000" w:rsidR="00000000" w:rsidRPr="00000000">
        <w:rPr>
          <w:rFonts w:ascii="Merriweather Light" w:cs="Merriweather Light" w:eastAsia="Merriweather Light" w:hAnsi="Merriweather Light"/>
          <w:sz w:val="22"/>
          <w:szCs w:val="22"/>
          <w:u w:val="single"/>
          <w:rtl w:val="0"/>
        </w:rPr>
        <w:t xml:space="preserve">2. Cobertura institucional</w:t>
      </w:r>
    </w:p>
    <w:p w:rsidR="00000000" w:rsidDel="00000000" w:rsidP="00000000" w:rsidRDefault="00000000" w:rsidRPr="00000000" w14:paraId="0000000B">
      <w:pPr>
        <w:numPr>
          <w:ilvl w:val="0"/>
          <w:numId w:val="1"/>
        </w:numPr>
        <w:spacing w:after="240" w:before="240" w:lineRule="auto"/>
        <w:ind w:left="720" w:hanging="360"/>
        <w:jc w:val="both"/>
        <w:rPr/>
      </w:pPr>
      <w:r w:rsidDel="00000000" w:rsidR="00000000" w:rsidRPr="00000000">
        <w:rPr>
          <w:rFonts w:ascii="Merriweather Light" w:cs="Merriweather Light" w:eastAsia="Merriweather Light" w:hAnsi="Merriweather Light"/>
          <w:rtl w:val="0"/>
        </w:rPr>
        <w:t xml:space="preserve">Número de entidades con nuevos registros:</w:t>
      </w:r>
      <w:r w:rsidDel="00000000" w:rsidR="00000000" w:rsidRPr="00000000">
        <w:rPr>
          <w:rFonts w:ascii="Merriweather Light" w:cs="Merriweather Light" w:eastAsia="Merriweather Light" w:hAnsi="Merriweather Light"/>
          <w:rtl w:val="0"/>
        </w:rPr>
        <w:t xml:space="preserve"> 2,941.</w:t>
        <w:br w:type="textWrapping"/>
        <w:t xml:space="preserve">Esto evidencia que la actualización tuvo un alcance </w:t>
      </w:r>
      <w:r w:rsidDel="00000000" w:rsidR="00000000" w:rsidRPr="00000000">
        <w:rPr>
          <w:rFonts w:ascii="Merriweather Light" w:cs="Merriweather Light" w:eastAsia="Merriweather Light" w:hAnsi="Merriweather Light"/>
          <w:rtl w:val="0"/>
        </w:rPr>
        <w:t xml:space="preserve">amplio y diversificado, con participación de entidades del orden nacional, departamental y municipal</w:t>
      </w:r>
      <w:r w:rsidDel="00000000" w:rsidR="00000000" w:rsidRPr="00000000">
        <w:rPr>
          <w:rFonts w:ascii="Merriweather Light" w:cs="Merriweather Light" w:eastAsia="Merriweather Light" w:hAnsi="Merriweather Light"/>
          <w:rtl w:val="0"/>
        </w:rPr>
        <w:t xml:space="preserve">, además de universidades, hospitales, alcaldías y corporaciones públicas.</w:t>
      </w:r>
    </w:p>
    <w:p w:rsidR="00000000" w:rsidDel="00000000" w:rsidP="00000000" w:rsidRDefault="00000000" w:rsidRPr="00000000" w14:paraId="0000000C">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3bsatek3t0zh" w:id="3"/>
      <w:bookmarkEnd w:id="3"/>
      <w:r w:rsidDel="00000000" w:rsidR="00000000" w:rsidRPr="00000000">
        <w:rPr>
          <w:rFonts w:ascii="Merriweather Light" w:cs="Merriweather Light" w:eastAsia="Merriweather Light" w:hAnsi="Merriweather Light"/>
          <w:sz w:val="22"/>
          <w:szCs w:val="22"/>
          <w:u w:val="single"/>
          <w:rtl w:val="0"/>
        </w:rPr>
        <w:t xml:space="preserve">3. Principales entidades con mayor número de registros nuevos</w:t>
      </w:r>
    </w:p>
    <w:p w:rsidR="00000000" w:rsidDel="00000000" w:rsidP="00000000" w:rsidRDefault="00000000" w:rsidRPr="00000000" w14:paraId="0000000D">
      <w:pPr>
        <w:spacing w:after="240" w:befor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Del total de entidades que reportaron procesos en la actualización (2,941), se seleccionó un </w:t>
      </w:r>
      <w:r w:rsidDel="00000000" w:rsidR="00000000" w:rsidRPr="00000000">
        <w:rPr>
          <w:rFonts w:ascii="Merriweather Light" w:cs="Merriweather Light" w:eastAsia="Merriweather Light" w:hAnsi="Merriweather Light"/>
          <w:rtl w:val="0"/>
        </w:rPr>
        <w:t xml:space="preserve">Top 10</w:t>
      </w:r>
      <w:r w:rsidDel="00000000" w:rsidR="00000000" w:rsidRPr="00000000">
        <w:rPr>
          <w:rFonts w:ascii="Merriweather Light" w:cs="Merriweather Light" w:eastAsia="Merriweather Light" w:hAnsi="Merriweather Light"/>
          <w:rtl w:val="0"/>
        </w:rPr>
        <w:t xml:space="preserve">. Esta decisión responde a criterios de </w:t>
      </w:r>
      <w:r w:rsidDel="00000000" w:rsidR="00000000" w:rsidRPr="00000000">
        <w:rPr>
          <w:rFonts w:ascii="Merriweather Light" w:cs="Merriweather Light" w:eastAsia="Merriweather Light" w:hAnsi="Merriweather Light"/>
          <w:rtl w:val="0"/>
        </w:rPr>
        <w:t xml:space="preserve">síntesis y claridad</w:t>
      </w:r>
      <w:r w:rsidDel="00000000" w:rsidR="00000000" w:rsidRPr="00000000">
        <w:rPr>
          <w:rFonts w:ascii="Merriweather Light" w:cs="Merriweather Light" w:eastAsia="Merriweather Light" w:hAnsi="Merriweather Light"/>
          <w:rtl w:val="0"/>
        </w:rPr>
        <w:t xml:space="preserve">, ya que incluir el listado completo haría el informe excesivamente extenso y difícil de interpretar. El análisis permite resaltar las entidades más dinámicas en la contratación reciente, que en conjunto concentran una proporción significativa del total de nuevos registros.</w:t>
      </w:r>
    </w:p>
    <w:p w:rsidR="00000000" w:rsidDel="00000000" w:rsidP="00000000" w:rsidRDefault="00000000" w:rsidRPr="00000000" w14:paraId="0000000E">
      <w:pPr>
        <w:spacing w:after="240" w:befor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4557713" cy="17287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57713"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Este Top 10 refleja principalmente</w:t>
      </w:r>
      <w:r w:rsidDel="00000000" w:rsidR="00000000" w:rsidRPr="00000000">
        <w:rPr>
          <w:rFonts w:ascii="Merriweather Light" w:cs="Merriweather Light" w:eastAsia="Merriweather Light" w:hAnsi="Merriweather Light"/>
          <w:rtl w:val="0"/>
        </w:rPr>
        <w:t xml:space="preserve"> a universidades públicas, hospitales de referencia y secretarías municipales, lo que confirma que los sectores de educación y salud son los más representativos en la dinámica de contratación.</w:t>
      </w:r>
    </w:p>
    <w:p w:rsidR="00000000" w:rsidDel="00000000" w:rsidP="00000000" w:rsidRDefault="00000000" w:rsidRPr="00000000" w14:paraId="00000010">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ebc9d81mg3jw" w:id="4"/>
      <w:bookmarkEnd w:id="4"/>
      <w:r w:rsidDel="00000000" w:rsidR="00000000" w:rsidRPr="00000000">
        <w:rPr>
          <w:rFonts w:ascii="Merriweather Light" w:cs="Merriweather Light" w:eastAsia="Merriweather Light" w:hAnsi="Merriweather Light"/>
          <w:sz w:val="22"/>
          <w:szCs w:val="22"/>
          <w:u w:val="single"/>
          <w:rtl w:val="0"/>
        </w:rPr>
        <w:t xml:space="preserve">4. Análisis territorial</w:t>
      </w:r>
    </w:p>
    <w:p w:rsidR="00000000" w:rsidDel="00000000" w:rsidP="00000000" w:rsidRDefault="00000000" w:rsidRPr="00000000" w14:paraId="00000011">
      <w:pPr>
        <w:numPr>
          <w:ilvl w:val="0"/>
          <w:numId w:val="2"/>
        </w:numPr>
        <w:spacing w:after="0" w:afterAutospacing="0" w:before="24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Se observa una fuerte concentración de registros en entidades de </w:t>
      </w:r>
      <w:r w:rsidDel="00000000" w:rsidR="00000000" w:rsidRPr="00000000">
        <w:rPr>
          <w:rFonts w:ascii="Merriweather Light" w:cs="Merriweather Light" w:eastAsia="Merriweather Light" w:hAnsi="Merriweather Light"/>
          <w:rtl w:val="0"/>
        </w:rPr>
        <w:t xml:space="preserve">Antioquia, Valle del Cauca, Santander, Cauca y Distrito Capital</w:t>
      </w:r>
      <w:r w:rsidDel="00000000" w:rsidR="00000000" w:rsidRPr="00000000">
        <w:rPr>
          <w:rFonts w:ascii="Merriweather Light" w:cs="Merriweather Light" w:eastAsia="Merriweather Light" w:hAnsi="Merriweather Light"/>
          <w:rtl w:val="0"/>
        </w:rPr>
        <w:t xml:space="preserve">, lo que refleja la relevancia de estos departamentos en la contratación estatal.</w:t>
        <w:br w:type="textWrapping"/>
      </w:r>
    </w:p>
    <w:p w:rsidR="00000000" w:rsidDel="00000000" w:rsidP="00000000" w:rsidRDefault="00000000" w:rsidRPr="00000000" w14:paraId="00000012">
      <w:pPr>
        <w:numPr>
          <w:ilvl w:val="0"/>
          <w:numId w:val="2"/>
        </w:numPr>
        <w:spacing w:after="240" w:before="0" w:beforeAutospacing="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En particular, Medellín y Cali concentran varias entidades con alta actividad contractual, tanto en el ámbito educativo como en el sector salud y cultura.</w:t>
      </w:r>
    </w:p>
    <w:p w:rsidR="00000000" w:rsidDel="00000000" w:rsidP="00000000" w:rsidRDefault="00000000" w:rsidRPr="00000000" w14:paraId="00000013">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cnbajbfzzu0u" w:id="5"/>
      <w:bookmarkEnd w:id="5"/>
      <w:r w:rsidDel="00000000" w:rsidR="00000000" w:rsidRPr="00000000">
        <w:rPr>
          <w:rFonts w:ascii="Merriweather Light" w:cs="Merriweather Light" w:eastAsia="Merriweather Light" w:hAnsi="Merriweather Light"/>
          <w:sz w:val="22"/>
          <w:szCs w:val="22"/>
          <w:u w:val="single"/>
          <w:rtl w:val="0"/>
        </w:rPr>
        <w:t xml:space="preserve">5. Sectores destacados</w:t>
      </w:r>
    </w:p>
    <w:p w:rsidR="00000000" w:rsidDel="00000000" w:rsidP="00000000" w:rsidRDefault="00000000" w:rsidRPr="00000000" w14:paraId="00000014">
      <w:pPr>
        <w:numPr>
          <w:ilvl w:val="0"/>
          <w:numId w:val="5"/>
        </w:numPr>
        <w:spacing w:after="0" w:afterAutospacing="0" w:before="240" w:lineRule="auto"/>
        <w:ind w:left="720" w:hanging="360"/>
        <w:jc w:val="both"/>
        <w:rPr/>
      </w:pPr>
      <w:r w:rsidDel="00000000" w:rsidR="00000000" w:rsidRPr="00000000">
        <w:rPr>
          <w:rFonts w:ascii="Merriweather Light" w:cs="Merriweather Light" w:eastAsia="Merriweather Light" w:hAnsi="Merriweather Light"/>
          <w:rtl w:val="0"/>
        </w:rPr>
        <w:t xml:space="preserve">El </w:t>
      </w:r>
      <w:r w:rsidDel="00000000" w:rsidR="00000000" w:rsidRPr="00000000">
        <w:rPr>
          <w:rFonts w:ascii="Merriweather" w:cs="Merriweather" w:eastAsia="Merriweather" w:hAnsi="Merriweather"/>
          <w:b w:val="1"/>
          <w:rtl w:val="0"/>
        </w:rPr>
        <w:t xml:space="preserve">sector educativo</w:t>
      </w:r>
      <w:r w:rsidDel="00000000" w:rsidR="00000000" w:rsidRPr="00000000">
        <w:rPr>
          <w:rFonts w:ascii="Merriweather Light" w:cs="Merriweather Light" w:eastAsia="Merriweather Light" w:hAnsi="Merriweather Light"/>
          <w:rtl w:val="0"/>
        </w:rPr>
        <w:t xml:space="preserve"> concentra gran parte de la contratación reciente porque las universidades públicas se encuentran en plena ejecución de los presupuestos de funcionamiento e inversión correspondientes al segundo semestre del año. Esto incluye procesos relacionados con la contratación de docentes ocasionales, la compra de equipos tecnológicos, el mantenimiento de infraestructura y la financiación de proyectos de investigación. </w:t>
      </w:r>
    </w:p>
    <w:p w:rsidR="00000000" w:rsidDel="00000000" w:rsidP="00000000" w:rsidRDefault="00000000" w:rsidRPr="00000000" w14:paraId="00000015">
      <w:pPr>
        <w:numPr>
          <w:ilvl w:val="0"/>
          <w:numId w:val="5"/>
        </w:numPr>
        <w:spacing w:after="0" w:afterAutospacing="0" w:before="0" w:beforeAutospacing="0" w:lineRule="auto"/>
        <w:ind w:left="720" w:hanging="360"/>
        <w:jc w:val="both"/>
        <w:rPr/>
      </w:pPr>
      <w:r w:rsidDel="00000000" w:rsidR="00000000" w:rsidRPr="00000000">
        <w:rPr>
          <w:rFonts w:ascii="Merriweather Light" w:cs="Merriweather Light" w:eastAsia="Merriweather Light" w:hAnsi="Merriweather Light"/>
          <w:rtl w:val="0"/>
        </w:rPr>
        <w:t xml:space="preserve">En el </w:t>
      </w:r>
      <w:r w:rsidDel="00000000" w:rsidR="00000000" w:rsidRPr="00000000">
        <w:rPr>
          <w:rFonts w:ascii="Merriweather" w:cs="Merriweather" w:eastAsia="Merriweather" w:hAnsi="Merriweather"/>
          <w:b w:val="1"/>
          <w:rtl w:val="0"/>
        </w:rPr>
        <w:t xml:space="preserve">sector salud</w:t>
      </w:r>
      <w:r w:rsidDel="00000000" w:rsidR="00000000" w:rsidRPr="00000000">
        <w:rPr>
          <w:rFonts w:ascii="Merriweather Light" w:cs="Merriweather Light" w:eastAsia="Merriweather Light" w:hAnsi="Merriweather Light"/>
          <w:rtl w:val="0"/>
        </w:rPr>
        <w:t xml:space="preserve">, la dinámica de contratación se explica por la necesidad permanente de los hospitales y Empresas Sociales del Estado (ESE) de asegurar la adquisición de insumos médicos, medicamentos y equipos, además de la vinculación de personal asistencial. Septiembre, en particular, coincide con un periodo de refuerzo presupuestal, ya que muchas entidades ejecutan recursos adicionales asignados en la vigencia fiscal. </w:t>
      </w:r>
    </w:p>
    <w:p w:rsidR="00000000" w:rsidDel="00000000" w:rsidP="00000000" w:rsidRDefault="00000000" w:rsidRPr="00000000" w14:paraId="00000016">
      <w:pPr>
        <w:numPr>
          <w:ilvl w:val="0"/>
          <w:numId w:val="5"/>
        </w:numPr>
        <w:spacing w:after="240" w:before="0" w:beforeAutospacing="0" w:lineRule="auto"/>
        <w:ind w:left="720" w:hanging="360"/>
        <w:jc w:val="both"/>
        <w:rPr/>
      </w:pPr>
      <w:r w:rsidDel="00000000" w:rsidR="00000000" w:rsidRPr="00000000">
        <w:rPr>
          <w:rFonts w:ascii="Merriweather Light" w:cs="Merriweather Light" w:eastAsia="Merriweather Light" w:hAnsi="Merriweather Light"/>
          <w:rtl w:val="0"/>
        </w:rPr>
        <w:t xml:space="preserve">Las </w:t>
      </w:r>
      <w:r w:rsidDel="00000000" w:rsidR="00000000" w:rsidRPr="00000000">
        <w:rPr>
          <w:rFonts w:ascii="Merriweather" w:cs="Merriweather" w:eastAsia="Merriweather" w:hAnsi="Merriweather"/>
          <w:b w:val="1"/>
          <w:rtl w:val="0"/>
        </w:rPr>
        <w:t xml:space="preserve">entidades territoriales</w:t>
      </w:r>
      <w:r w:rsidDel="00000000" w:rsidR="00000000" w:rsidRPr="00000000">
        <w:rPr>
          <w:rFonts w:ascii="Merriweather Light" w:cs="Merriweather Light" w:eastAsia="Merriweather Light" w:hAnsi="Merriweather Light"/>
          <w:rtl w:val="0"/>
        </w:rPr>
        <w:t xml:space="preserve"> como alcaldías y gobernaciones también muestran un alto nivel de contratación. Esto responde a la necesidad de ejecutar los recursos anuales antes del cierre de la vigencia fiscal, lo que intensifica la firma de contratos en el segundo semestre. Los procesos incluyen obras públicas, servicios logísticos, programas sociales y proyectos culturales o deportivos que impactan directamente a las comunidades locales. Esta dinámica refleja tanto la presión por cumplir metas presupuestales como la importancia de atender demandas ciudadanas a nivel regional.</w:t>
      </w:r>
      <w:r w:rsidDel="00000000" w:rsidR="00000000" w:rsidRPr="00000000">
        <w:rPr>
          <w:rFonts w:ascii="Merriweather Light" w:cs="Merriweather Light" w:eastAsia="Merriweather Light" w:hAnsi="Merriweather Light"/>
          <w:rtl w:val="0"/>
        </w:rPr>
        <w:br w:type="textWrapping"/>
      </w:r>
    </w:p>
    <w:p w:rsidR="00000000" w:rsidDel="00000000" w:rsidP="00000000" w:rsidRDefault="00000000" w:rsidRPr="00000000" w14:paraId="00000017">
      <w:pPr>
        <w:pStyle w:val="Heading2"/>
        <w:keepNext w:val="0"/>
        <w:keepLines w:val="0"/>
        <w:spacing w:after="80" w:lineRule="auto"/>
        <w:jc w:val="both"/>
        <w:rPr>
          <w:rFonts w:ascii="Merriweather Light" w:cs="Merriweather Light" w:eastAsia="Merriweather Light" w:hAnsi="Merriweather Light"/>
          <w:sz w:val="22"/>
          <w:szCs w:val="22"/>
          <w:u w:val="single"/>
        </w:rPr>
      </w:pPr>
      <w:bookmarkStart w:colFirst="0" w:colLast="0" w:name="_rzlykvq4jvdy" w:id="6"/>
      <w:bookmarkEnd w:id="6"/>
      <w:r w:rsidDel="00000000" w:rsidR="00000000" w:rsidRPr="00000000">
        <w:rPr>
          <w:rFonts w:ascii="Merriweather Light" w:cs="Merriweather Light" w:eastAsia="Merriweather Light" w:hAnsi="Merriweather Light"/>
          <w:sz w:val="22"/>
          <w:szCs w:val="22"/>
          <w:u w:val="single"/>
          <w:rtl w:val="0"/>
        </w:rPr>
        <w:t xml:space="preserve">6. Conclusiones</w:t>
      </w:r>
    </w:p>
    <w:p w:rsidR="00000000" w:rsidDel="00000000" w:rsidP="00000000" w:rsidRDefault="00000000" w:rsidRPr="00000000" w14:paraId="00000018">
      <w:pPr>
        <w:numPr>
          <w:ilvl w:val="0"/>
          <w:numId w:val="3"/>
        </w:numPr>
        <w:spacing w:after="0" w:afterAutospacing="0" w:before="24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 contratación estatal mantiene una alta dinámica, con un incremento de más de 19 mil registros en cuatro días.</w:t>
      </w:r>
    </w:p>
    <w:p w:rsidR="00000000" w:rsidDel="00000000" w:rsidP="00000000" w:rsidRDefault="00000000" w:rsidRPr="00000000" w14:paraId="00000019">
      <w:pPr>
        <w:numPr>
          <w:ilvl w:val="0"/>
          <w:numId w:val="3"/>
        </w:numPr>
        <w:spacing w:after="0" w:afterAutospacing="0" w:before="0" w:beforeAutospacing="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 descentralización es evidente: casi 3 mil entidades reportaron nuevos procesos, con amplia participación de municipios, hospitales y universidades.</w:t>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Los sectores educación, salud y gestión territorial concentran la mayor parte de los contratos recientes.</w:t>
      </w:r>
    </w:p>
    <w:p w:rsidR="00000000" w:rsidDel="00000000" w:rsidP="00000000" w:rsidRDefault="00000000" w:rsidRPr="00000000" w14:paraId="0000001B">
      <w:pPr>
        <w:numPr>
          <w:ilvl w:val="0"/>
          <w:numId w:val="3"/>
        </w:numPr>
        <w:spacing w:after="240" w:before="0" w:beforeAutospacing="0" w:lineRule="auto"/>
        <w:ind w:lef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 universidades y hospitales aparecen como los principales motores de contratación, lo que sugiere un enfoque prioritario en fortalecimiento de servicios sociales.</w:t>
      </w:r>
    </w:p>
    <w:p w:rsidR="00000000" w:rsidDel="00000000" w:rsidP="00000000" w:rsidRDefault="00000000" w:rsidRPr="00000000" w14:paraId="0000001C">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D">
      <w:pPr>
        <w:spacing w:after="240" w:befor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E">
      <w:pPr>
        <w:rPr>
          <w:rFonts w:ascii="Merriweather Light" w:cs="Merriweather Light" w:eastAsia="Merriweather Light" w:hAnsi="Merriweather Ligh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