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Q4Title"/>
      </w:pPr>
      <w:r>
        <w:t>8  技术演进的历史归因与条件前沿预测</w:t>
      </w:r>
    </w:p>
    <w:p>
      <w:pPr>
        <w:pStyle w:val="Q4Body"/>
      </w:pPr>
      <w:r>
        <w:t>本问依次回答历史增长来源、损失换算依据和未来能力前沿。问题二提供规模收益形状，问题三给出最优资源配置，附件C估计能力响应；历史归因与未来预测分别建模、验证。</w:t>
      </w:r>
    </w:p>
    <w:p>
      <w:pPr>
        <w:pStyle w:val="Q4H2"/>
      </w:pPr>
      <w:r>
        <w:t>8.1  研究对象与能力指标</w:t>
      </w:r>
    </w:p>
    <w:p>
      <w:pPr>
        <w:pStyle w:val="Q4Body"/>
      </w:pPr>
      <w:r>
        <w:t>历史归因使用参数量、训练Token数和发布日期齐全的35个基础模型，覆盖10家机构；2449条经筛选、去重的榜单记录只承担分类型趋势对照。这里“开源”的操作口径为附件声明权重开放且许可证明确允许至少研究使用。主样本排除已标注底模的衍生模型及明显的混合专家模型，不填补缺失训练量，以减少后训练数据与预训练数据混用。</w:t>
      </w:r>
    </w:p>
    <w:p>
      <w:pPr>
        <w:pStyle w:val="Q4Body"/>
        <w:keepNext/>
      </w:pPr>
      <w:r>
        <w:t>综合能力S由IFEval、BBH、MATH Lvl 5、GPQA、MuSR、MMLU-PRO六项归一化得分等权计算，单位为分：</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6</m:t>
                    </m:r>
                  </m:den>
                </m:f>
                <m:nary>
                  <m:naryPr>
                    <m:chr m:val="∑"/>
                    <m:limLoc m:val="undOvr"/>
                    <m:ctrlPr>
                      <w:rPr>
                        <w:rFonts w:ascii="Cambria Math" w:hAnsi="Cambria Math"/>
                      </w:rPr>
                    </m:ctrlPr>
                  </m:naryPr>
                  <m:sub>
                    <m:r>
                      <w:rPr>
                        <w:rFonts w:ascii="Cambria Math" w:hAnsi="Cambria Math" w:hint="eastAsia"/>
                      </w:rPr>
                      <m:t>k</m:t>
                    </m:r>
                    <m:r>
                      <m:rPr>
                        <m:sty m:val="p"/>
                      </m:rPr>
                      <w:rPr>
                        <w:rFonts w:ascii="Cambria Math" w:hAnsi="Cambria Math" w:hint="eastAsia"/>
                      </w:rPr>
                      <m:t>=1</m:t>
                    </m:r>
                  </m:sub>
                  <m:sup>
                    <m:r>
                      <m:rPr>
                        <m:sty m:val="p"/>
                      </m:rPr>
                      <w:rPr>
                        <w:rFonts w:ascii="Cambria Math" w:hAnsi="Cambria Math" w:hint="eastAsia"/>
                      </w:rPr>
                      <m:t>6</m:t>
                    </m:r>
                  </m:sup>
                  <m:e>
                    <m:sSub>
                      <m:sSubPr>
                        <m:ctrlPr>
                          <w:rPr>
                            <w:rFonts w:ascii="Cambria Math" w:hAnsi="Cambria Math"/>
                          </w:rPr>
                        </m:ctrlPr>
                      </m:sSubPr>
                      <m:e>
                        <m:r>
                          <w:rPr>
                            <w:rFonts w:ascii="Cambria Math" w:hAnsi="Cambria Math" w:hint="eastAsia"/>
                          </w:rPr>
                          <m:t>s</m:t>
                        </m:r>
                      </m:e>
                      <m:sub>
                        <m:r>
                          <w:rPr>
                            <w:rFonts w:ascii="Cambria Math" w:hAnsi="Cambria Math" w:hint="eastAsia"/>
                          </w:rPr>
                          <m:t>ik</m:t>
                        </m:r>
                      </m:sub>
                    </m:sSub>
                  </m:e>
                </m:nary>
                <m:r>
                  <m:rPr>
                    <m:sty m:val="p"/>
                  </m:rPr>
                  <w:rPr>
                    <w:rFonts w:ascii="Cambria Math" w:hAnsi="Cambria Math" w:hint="eastAsia"/>
                  </w:rPr>
                  <m:t>,</m:t>
                </m:r>
                <m:r>
                  <m:rPr>
                    <m:sty m:val="p"/>
                  </m:rPr>
                  <w:rPr>
                    <w:rFonts w:ascii="MS Gothic" w:eastAsia="MS Gothic" w:hAnsi="MS Gothic" w:cs="MS Gothic" w:hint="eastAsia"/>
                  </w:rPr>
                  <m:t>  </m:t>
                </m:r>
                <m:r>
                  <m:rPr>
                    <m:sty m:val="p"/>
                  </m:rPr>
                  <w:rPr>
                    <w:rFonts w:ascii="Cambria Math" w:hAnsi="Cambria Math" w:hint="eastAsia"/>
                  </w:rPr>
                  <m:t>0</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hint="eastAsia"/>
                  </w:rPr>
                  <m:t>100.</m:t>
                </m:r>
              </m:oMath>
            </m:oMathPara>
          </w:p>
        </w:tc>
        <w:tc>
          <w:tcPr>
            <w:tcW w:w="1070" w:type="dxa"/>
            <w:tcMar>
              <w:top w:w="0" w:type="dxa"/>
              <w:left w:w="0" w:type="dxa"/>
              <w:bottom w:w="0" w:type="dxa"/>
              <w:right w:w="0" w:type="dxa"/>
            </w:tcMar>
            <w:vAlign w:val="center"/>
          </w:tcPr>
          <w:p>
            <w:pPr>
              <w:pStyle w:val="Q4Equation"/>
              <w:jc w:val="right"/>
            </w:pPr>
            <w:r>
              <w:t>(8-1)</w:t>
            </w:r>
          </w:p>
        </w:tc>
      </w:tr>
    </w:tbl>
    <w:p>
      <w:pPr>
        <w:pStyle w:val="Q4Body"/>
      </w:pPr>
      <w:r>
        <w:t>令Z=logit(S/100)，即把0—100分转换到实数尺度；计算时将S/100截断至[0.001,0.999]，逆变换为S=100/(1+e⁻ᶻ)。N、D分别表示以十亿计的参数量和训练Token数。历史时间T为发布日期距2023年1月1日的年数，每年按365.25天计算；榜单提交日期仅用于独立的趋势对照。数据匹配、任务重建与其他时间原点见附录四。</w:t>
      </w:r>
    </w:p>
    <w:p>
      <w:pPr>
        <w:pStyle w:val="Q4H2"/>
      </w:pPr>
      <w:r>
        <w:t>8.2  历史能力增长的两路径模型</w:t>
      </w:r>
    </w:p>
    <w:p>
      <w:pPr>
        <w:pStyle w:val="Q4H3"/>
      </w:pPr>
      <w:r>
        <w:t>8.2.1  从规模扩张到能力响应</w:t>
      </w:r>
    </w:p>
    <w:p>
      <w:pPr>
        <w:pStyle w:val="Q4Body"/>
      </w:pPr>
      <w:r>
        <w:t>结构中介模型＝把时间对能力的变化拆成经规模传递和直接进入能力响应的两条路径。如图8-1，时间推动参数量与训练量变化，再通过标度响应影响能力；控制规模后剩余的时间项，在无未处理的时间—规模—能力混杂、样本选择未扭曲比较、评测口径可比且规模范围充分重叠的主假设下，解释为非规模进步。架构、优化和数据工程等因素在此合并体现，现有样本无法再单独识别历史质量与配比贡献。</w:t>
      </w:r>
    </w:p>
    <w:p>
      <w:pPr>
        <w:pStyle w:val="Q4Caption"/>
        <w:keepNext/>
        <w:spacing w:line="240" w:lineRule="auto"/>
        <w:jc w:val="center"/>
      </w:pPr>
      <w:r>
        <w:drawing>
          <wp:inline xmlns:a="http://schemas.openxmlformats.org/drawingml/2006/main" xmlns:pic="http://schemas.openxmlformats.org/drawingml/2006/picture">
            <wp:extent cx="5760000" cy="1920000"/>
            <wp:docPr id="1" name="Picture 1"/>
            <wp:cNvGraphicFramePr>
              <a:graphicFrameLocks noChangeAspect="1"/>
            </wp:cNvGraphicFramePr>
            <a:graphic>
              <a:graphicData uri="http://schemas.openxmlformats.org/drawingml/2006/picture">
                <pic:pic>
                  <pic:nvPicPr>
                    <pic:cNvPr id="0" name="q4_causal_publication.png"/>
                    <pic:cNvPicPr/>
                  </pic:nvPicPr>
                  <pic:blipFill>
                    <a:blip r:embed="rId9"/>
                    <a:stretch>
                      <a:fillRect/>
                    </a:stretch>
                  </pic:blipFill>
                  <pic:spPr>
                    <a:xfrm>
                      <a:off x="0" y="0"/>
                      <a:ext cx="5760000" cy="1920000"/>
                    </a:xfrm>
                    <a:prstGeom prst="rect"/>
                  </pic:spPr>
                </pic:pic>
              </a:graphicData>
            </a:graphic>
          </wp:inline>
        </w:drawing>
      </w:r>
    </w:p>
    <w:p>
      <w:pPr>
        <w:pStyle w:val="Q4Caption"/>
        <w:jc w:val="center"/>
      </w:pPr>
      <w:r>
        <w:t>图8-1  历史能力变化的规模路径与非规模路径</w:t>
      </w:r>
    </w:p>
    <w:p>
      <w:pPr>
        <w:pStyle w:val="Q4Body"/>
        <w:keepNext/>
      </w:pPr>
      <w:r>
        <w:t>首先建立规模中介方程，保留同一模型参数投入与数据投入的相关性：</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d>
                  <m:dPr>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mr>
                      <m:m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mr>
                    </m:m>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oMath>
            </m:oMathPara>
          </w:p>
        </w:tc>
        <w:tc>
          <w:tcPr>
            <w:tcW w:w="1070" w:type="dxa"/>
            <w:tcMar>
              <w:top w:w="0" w:type="dxa"/>
              <w:left w:w="0" w:type="dxa"/>
              <w:bottom w:w="0" w:type="dxa"/>
              <w:right w:w="0" w:type="dxa"/>
            </w:tcMar>
            <w:vAlign w:val="center"/>
          </w:tcPr>
          <w:p>
            <w:pPr>
              <w:pStyle w:val="Q4Equation"/>
              <w:jc w:val="right"/>
            </w:pPr>
            <w:r>
              <w:t>(8-2)</w:t>
            </w:r>
          </w:p>
        </w:tc>
      </w:tr>
    </w:tbl>
    <w:p>
      <w:pPr>
        <w:pStyle w:val="Q4Body"/>
        <w:keepNext/>
      </w:pPr>
      <w:r>
        <w:t>其中M为两维对数规模向量，a₀、</w:t>
      </w:r>
      <m:oMath>
        <m:sSub>
          <m:e>
            <m:r>
              <m:t>a</m:t>
            </m:r>
          </m:e>
          <m:sub>
            <m:r>
              <m:t>T</m:t>
            </m:r>
          </m:sub>
        </m:sSub>
      </m:oMath>
      <w:r>
        <w:t>为待估系数，</w:t>
      </w:r>
      <m:oMath>
        <m:sSub>
          <m:e>
            <m:r>
              <m:t>ε</m:t>
            </m:r>
          </m:e>
          <m:sub>
            <m:r>
              <m:t>M</m:t>
            </m:r>
          </m:sub>
        </m:sSub>
      </m:oMath>
      <w:r>
        <w:t>为规模扰动。由问题二固定的A、B、α、ν构造可约损失r及规模指数x：</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eqArr>
                  <m:eqArrPr>
                    <m:ctrlPr>
                      <w:rPr>
                        <w:rFonts w:ascii="Cambria Math" w:hAnsi="Cambria Math"/>
                      </w:rPr>
                    </m:ctrlPr>
                  </m:eqArrPr>
                  <m:e>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w:rPr>
                        <w:rFonts w:ascii="Cambria Math" w:hAnsi="Cambria Math" w:hint="eastAsia"/>
                      </w:rPr>
                      <m:t>A</m:t>
                    </m:r>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α</m:t>
                        </m:r>
                      </m:sup>
                    </m:sSubSup>
                    <m:r>
                      <m:rPr>
                        <m:sty m:val="p"/>
                      </m:rPr>
                      <w:rPr>
                        <w:rFonts w:ascii="Cambria Math" w:hAnsi="Cambria Math" w:hint="eastAsia"/>
                      </w:rPr>
                      <m:t>+</m:t>
                    </m:r>
                    <m:r>
                      <w:rPr>
                        <w:rFonts w:ascii="Cambria Math" w:hAnsi="Cambria Math" w:hint="eastAsia"/>
                      </w:rPr>
                      <m:t>B</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ν</m:t>
                        </m:r>
                      </m:sup>
                    </m:sSubSup>
                    <m:r>
                      <m:rPr>
                        <m:sty m:val="p"/>
                      </m:rPr>
                      <w:rPr>
                        <w:rFonts w:ascii="Cambria Math" w:hAnsi="Cambria Math" w:hint="eastAsia"/>
                      </w:rPr>
                      <m:t>,</m:t>
                    </m:r>
                  </m:e>
                  <m:e>
                    <m:r>
                      <w:rPr>
                        <w:rFonts w:ascii="Cambria Math" w:hAnsi="Cambria Math" w:hint="eastAsia"/>
                      </w:rPr>
                      <m:t>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m:rPr>
                        <m:sty m:val="p"/>
                      </m:rPr>
                      <w:rPr>
                        <w:rFonts w:ascii="微软雅黑" w:eastAsia="微软雅黑" w:hAnsi="微软雅黑" w:cs="微软雅黑" w:hint="eastAsia"/>
                      </w:rPr>
                      <m:t>-</m:t>
                    </m:r>
                    <m:r>
                      <m:rPr>
                        <m:sty m:val="p"/>
                      </m:rPr>
                      <w:rPr>
                        <w:rFonts w:ascii="Cambria Math" w:hAnsi="Cambria Math" w:hint="eastAsia"/>
                      </w:rPr>
                      <m:t>ln</m:t>
                    </m:r>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e>
                </m:eqArr>
              </m:oMath>
            </m:oMathPara>
          </w:p>
        </w:tc>
        <w:tc>
          <w:tcPr>
            <w:tcW w:w="1070" w:type="dxa"/>
            <w:tcMar>
              <w:top w:w="0" w:type="dxa"/>
              <w:left w:w="0" w:type="dxa"/>
              <w:bottom w:w="0" w:type="dxa"/>
              <w:right w:w="0" w:type="dxa"/>
            </w:tcMar>
            <w:vAlign w:val="center"/>
          </w:tcPr>
          <w:p>
            <w:pPr>
              <w:pStyle w:val="Q4Equation"/>
              <w:jc w:val="right"/>
            </w:pPr>
            <w:r>
              <w:t>(8-3)</w:t>
            </w:r>
          </w:p>
        </w:tc>
      </w:tr>
    </w:tbl>
    <w:p>
      <w:pPr>
        <w:pStyle w:val="Q4Body"/>
        <w:keepNext/>
      </w:pPr>
      <w:r>
        <w:t>x越大，表示该规模对应的可约损失越低。将其接入能力响应：</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m:rPr>
                        <m:sty m:val="p"/>
                      </m:rPr>
                      <w:rPr>
                        <w:rFonts w:ascii="Cambria Math" w:hAnsi="Cambria Math" w:hint="eastAsia"/>
                      </w:rPr>
                      <m:t>0</m:t>
                    </m:r>
                  </m:sub>
                </m:sSub>
                <m:r>
                  <m:rPr>
                    <m:sty m:val="p"/>
                  </m:rPr>
                  <w:rPr>
                    <w:rFonts w:ascii="Cambria Math" w:hAnsi="Cambria Math" w:hint="eastAsia"/>
                  </w:rPr>
                  <m:t>+</m:t>
                </m:r>
                <m:r>
                  <w:rPr>
                    <w:rFonts w:ascii="Cambria Math" w:hAnsi="Cambria Math" w:hint="eastAsia"/>
                  </w:rPr>
                  <m:t>κx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(8-4)</w:t>
            </w:r>
          </w:p>
        </w:tc>
      </w:tr>
    </w:tbl>
    <w:p>
      <w:pPr>
        <w:pStyle w:val="Q4Body"/>
      </w:pPr>
      <w:r>
        <w:t>β₀、κ、</w:t>
      </w:r>
      <m:oMath>
        <m:sSub>
          <m:e>
            <m:r>
              <m:t>γ</m:t>
            </m:r>
          </m:e>
          <m:sub>
            <m:r>
              <m:t>T</m:t>
            </m:r>
          </m:sub>
        </m:sSub>
      </m:oMath>
      <w:r>
        <w:t>由35个模型重新估计，主模型不限制κ与</w:t>
      </w:r>
      <m:oMath>
        <m:sSub>
          <m:e>
            <m:r>
              <m:t>γ</m:t>
            </m:r>
          </m:e>
          <m:sub>
            <m:r>
              <m:t>T</m:t>
            </m:r>
          </m:sub>
        </m:sSub>
      </m:oMath>
      <w:r>
        <w:t>的符号。固定标度形状可减少小样本中待估参数，但引入跨模型族迁移假设；其合理性由自由对数规模模型、仅规模模型和仅时间模型进行同划分对照。主假设允许两维规模扰动相关，同时要求规模扰动与能力扰动</w:t>
      </w:r>
      <m:oMath>
        <m:sSub>
          <m:e>
            <m:r>
              <m:t>ε</m:t>
            </m:r>
          </m:e>
          <m:sub>
            <m:r>
              <m:t>Y</m:t>
            </m:r>
          </m:sub>
        </m:sSub>
      </m:oMath>
      <w:r>
        <w:t>独立、扰动分布跨期稳定。</w:t>
      </w:r>
    </w:p>
    <w:p>
      <w:pPr>
        <w:pStyle w:val="Q4H3"/>
      </w:pPr>
      <w:r>
        <w:t>8.2.2  参数估计与贡献分解</w:t>
      </w:r>
    </w:p>
    <w:p>
      <w:pPr>
        <w:pStyle w:val="Q4Body"/>
      </w:pPr>
      <w:r>
        <w:t>两组方程均以无权最小二乘估计。由于规模响应和分数逆变换均为非线性，贡献不能由回归系数直接相除得到。定义G(t,t′)为“非规模条件取t、规模条件取t′”时的反事实平均能力：先在t′下生成规模，再在t下计算能力，并对经验扰动平均。规模残差成对保留，两类方程残差交叉平均，具体计算见附录四。</w:t>
      </w:r>
    </w:p>
    <w:p>
      <w:pPr>
        <w:pStyle w:val="Q4Body"/>
        <w:keepNext/>
      </w:pPr>
      <w:r>
        <w:t>比较初期t₀与后期t₁，对两条路径的两种切换顺序取平均，得到规模贡献</w:t>
      </w:r>
      <m:oMath>
        <m:sSub>
          <m:e>
            <m:r>
              <m:t>Δ</m:t>
            </m:r>
          </m:e>
          <m:sub>
            <m:r>
              <m:t>S</m:t>
            </m:r>
          </m:sub>
        </m:sSub>
      </m:oMath>
      <w:r>
        <w:t>和非规模贡献</w:t>
      </w:r>
      <m:oMath>
        <m:sSub>
          <m:e>
            <m:r>
              <m:t>Δ</m:t>
            </m:r>
          </m:e>
          <m:sub>
            <m:r>
              <m:t>T</m:t>
            </m:r>
          </m:sub>
        </m:sSub>
      </m:oMath>
      <w:r>
        <w:t>：</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d>
                  <m:dPr>
                    <m:begChr m:val="["/>
                    <m:endChr m:val="]"/>
                    <m:ctrlPr>
                      <w:rPr>
                        <w:rFonts w:ascii="Cambria Math" w:hAnsi="Cambria Math"/>
                      </w:rPr>
                    </m:ctrlPr>
                  </m:dPr>
                  <m:e>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e>
                </m:d>
              </m:oMath>
            </m:oMathPara>
          </w:p>
        </w:tc>
        <w:tc>
          <w:tcPr>
            <w:tcW w:w="1070" w:type="dxa"/>
            <w:tcMar>
              <w:top w:w="0" w:type="dxa"/>
              <w:left w:w="0" w:type="dxa"/>
              <w:bottom w:w="0" w:type="dxa"/>
              <w:right w:w="0" w:type="dxa"/>
            </w:tcMar>
            <w:vAlign w:val="center"/>
          </w:tcPr>
          <w:p>
            <w:pPr>
              <w:pStyle w:val="Q4Equation"/>
              <w:jc w:val="right"/>
            </w:pPr>
            <w:r>
              <w:t>(8-5)</w:t>
            </w:r>
          </w:p>
        </w:tc>
      </w:tr>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d>
                  <m:dPr>
                    <m:begChr m:val="["/>
                    <m:endChr m:val="]"/>
                    <m:ctrlPr>
                      <w:rPr>
                        <w:rFonts w:ascii="Cambria Math" w:hAnsi="Cambria Math"/>
                      </w:rPr>
                    </m:ctrlPr>
                  </m:dPr>
                  <m:e>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e>
                </m:d>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(8-6)</w:t>
            </w:r>
          </w:p>
        </w:tc>
      </w:tr>
    </w:tbl>
    <w:p>
      <w:pPr>
        <w:pStyle w:val="Q4Body"/>
      </w:pPr>
      <w:r>
        <w:t>两项之和恰等于G(t₁,t₁)−G(t₀,t₀)，因此能力增量完整分配而不重复计算。比较日期固定为主样本发布日期的上下四分位，即2023年4月3日与2024年6月7日；按机构整组重抽样400次，每次重估模型，以2.5%和97.5%分位构造95%区间。</w:t>
      </w:r>
    </w:p>
    <w:p>
      <w:pPr>
        <w:pStyle w:val="Q4H3"/>
      </w:pPr>
      <w:r>
        <w:t>8.2.3  历史贡献及其可解释范围</w:t>
      </w:r>
    </w:p>
    <w:p>
      <w:pPr>
        <w:pStyle w:val="Q4Body"/>
      </w:pPr>
      <w:r>
        <w:t>主模型的反事实平均能力由9.115分升至14.273分，增量为5.159分。规模贡献为2.939分，占56.98%；非规模贡献为2.219分，占43.02%。图8-2将贡献区间与混杂敏感性放在一起，区分点估计与结论的稳定程度。</w:t>
      </w:r>
    </w:p>
    <w:p>
      <w:pPr>
        <w:pStyle w:val="Q4Caption"/>
        <w:keepNext/>
        <w:spacing w:line="240" w:lineRule="auto"/>
        <w:jc w:val="center"/>
      </w:pPr>
      <w:r>
        <w:drawing>
          <wp:inline xmlns:a="http://schemas.openxmlformats.org/drawingml/2006/main" xmlns:pic="http://schemas.openxmlformats.org/drawingml/2006/picture">
            <wp:extent cx="5760000" cy="2342729"/>
            <wp:docPr id="2" name="Picture 2"/>
            <wp:cNvGraphicFramePr>
              <a:graphicFrameLocks noChangeAspect="1"/>
            </wp:cNvGraphicFramePr>
            <a:graphic>
              <a:graphicData uri="http://schemas.openxmlformats.org/drawingml/2006/picture">
                <pic:pic>
                  <pic:nvPicPr>
                    <pic:cNvPr id="0" name="fig_39_q4_mediation_and_sensitivity.png"/>
                    <pic:cNvPicPr/>
                  </pic:nvPicPr>
                  <pic:blipFill>
                    <a:blip r:embed="rId10"/>
                    <a:stretch>
                      <a:fillRect/>
                    </a:stretch>
                  </pic:blipFill>
                  <pic:spPr>
                    <a:xfrm>
                      <a:off x="0" y="0"/>
                      <a:ext cx="5760000" cy="2342729"/>
                    </a:xfrm>
                    <a:prstGeom prst="rect"/>
                  </pic:spPr>
                </pic:pic>
              </a:graphicData>
            </a:graphic>
          </wp:inline>
        </w:drawing>
      </w:r>
    </w:p>
    <w:p>
      <w:pPr>
        <w:pStyle w:val="Q4Caption"/>
        <w:jc w:val="center"/>
      </w:pPr>
      <w:r>
        <w:t>图8-2  历史贡献的95%重抽样区间与混杂敏感性</w:t>
      </w:r>
    </w:p>
    <w:p>
      <w:pPr>
        <w:pStyle w:val="Q4Body"/>
      </w:pPr>
      <w:r>
        <w:t>规模贡献的95%区间为[0.359,7.412]分，非规模贡献为[−1.754,5.887]分。因此，两条路径的点估计均为正，但现有样本尚不能精确确定非规模贡献的符号及比例。自由规模响应下的规模份额降为44.44%；当假设混杂相关系数ρ在[−0.6,0.6]内变化时，规模份额为20.12%—93.09%。规模是否占多数取决于响应结构与混杂假设，56.98%应作为主模型条件下的估计报告。</w:t>
      </w:r>
    </w:p>
    <w:p>
      <w:pPr>
        <w:pStyle w:val="Q4Caption"/>
        <w:keepNext/>
      </w:pPr>
      <w:r>
        <w:t>表8-1  历史能力模型的样本外误差</w:t>
      </w:r>
    </w:p>
    <w:tbl>
      <w:tblPr>
        <w:tblW w:type="auto" w:w="0"/>
        <w:tblLayout w:type="fixed"/>
        <w:tblLook w:firstColumn="1" w:firstRow="1" w:lastColumn="0" w:lastRow="0" w:noHBand="0" w:noVBand="1" w:val="04A0"/>
      </w:tblPr>
      <w:tblGrid>
        <w:gridCol w:w="3628"/>
        <w:gridCol w:w="2721"/>
        <w:gridCol w:w="2721"/>
      </w:tblGrid>
      <w:tr>
        <w:trPr>
          <w:cantSplit/>
          <w:tblHeader/>
        </w:trPr>
        <w:tc>
          <w:tcPr>
            <w:tcW w:type="dxa" w:w="3628"/>
            <w:tcBorders>
              <w:top w:val="single" w:sz="8"/>
              <w:bottom w:val="single" w:sz="4"/>
              <w:left w:val="nil" w:sz="4"/>
              <w:right w:val="nil" w:sz="4"/>
            </w:tcBorders>
          </w:tcPr>
          <w:p>
            <w:pPr>
              <w:pStyle w:val="Q4Table"/>
              <w:keepNext/>
              <w:spacing w:after="80" w:before="80"/>
              <w:jc w:val="left"/>
            </w:pPr>
            <w:r>
              <w:rPr>
                <w:b/>
              </w:rPr>
              <w:t>模型</w:t>
            </w:r>
          </w:p>
        </w:tc>
        <w:tc>
          <w:tcPr>
            <w:tcW w:type="dxa" w:w="2721"/>
            <w:tcBorders>
              <w:top w:val="single" w:sz="8"/>
              <w:bottom w:val="single" w:sz="4"/>
              <w:left w:val="nil" w:sz="4"/>
              <w:right w:val="nil" w:sz="4"/>
            </w:tcBorders>
          </w:tcPr>
          <w:p>
            <w:pPr>
              <w:pStyle w:val="Q4Table"/>
              <w:keepNext/>
              <w:spacing w:after="80" w:before="80"/>
              <w:jc w:val="center"/>
            </w:pPr>
            <w:r>
              <w:rPr>
                <w:b/>
              </w:rPr>
              <w:t>机构留出</w:t>
              <w:br/>
              <w:t>MAE / RMSE</w:t>
            </w:r>
          </w:p>
        </w:tc>
        <w:tc>
          <w:tcPr>
            <w:tcW w:type="dxa" w:w="2721"/>
            <w:tcBorders>
              <w:top w:val="single" w:sz="8"/>
              <w:bottom w:val="single" w:sz="4"/>
              <w:left w:val="nil" w:sz="4"/>
              <w:right w:val="nil" w:sz="4"/>
            </w:tcBorders>
          </w:tcPr>
          <w:p>
            <w:pPr>
              <w:pStyle w:val="Q4Table"/>
              <w:keepNext/>
              <w:spacing w:after="80" w:before="80"/>
              <w:jc w:val="center"/>
            </w:pPr>
            <w:r>
              <w:rPr>
                <w:b/>
              </w:rPr>
              <w:t>日期留出</w:t>
              <w:br/>
              <w:t>MAE / RMSE</w:t>
            </w:r>
          </w:p>
        </w:tc>
      </w:tr>
      <w:tr>
        <w:trPr>
          <w:cantSplit/>
        </w:trPr>
        <w:tc>
          <w:tcPr>
            <w:tcW w:type="dxa" w:w="3628"/>
            <w:tcBorders>
              <w:top w:val="nil" w:sz="4"/>
              <w:bottom w:val="nil" w:sz="4"/>
              <w:left w:val="nil" w:sz="4"/>
              <w:right w:val="nil" w:sz="4"/>
            </w:tcBorders>
          </w:tcPr>
          <w:p>
            <w:pPr>
              <w:pStyle w:val="Q4Table"/>
              <w:keepNext/>
              <w:spacing w:after="80" w:before="80"/>
              <w:jc w:val="left"/>
            </w:pPr>
            <w:r>
              <w:t>标度响应＋时间</w:t>
            </w:r>
          </w:p>
        </w:tc>
        <w:tc>
          <w:tcPr>
            <w:tcW w:type="dxa" w:w="2721"/>
            <w:tcBorders>
              <w:top w:val="nil" w:sz="4"/>
              <w:bottom w:val="nil" w:sz="4"/>
              <w:left w:val="nil" w:sz="4"/>
              <w:right w:val="nil" w:sz="4"/>
            </w:tcBorders>
          </w:tcPr>
          <w:p>
            <w:pPr>
              <w:pStyle w:val="Q4Table"/>
              <w:keepNext/>
              <w:spacing w:after="80" w:before="80"/>
              <w:jc w:val="center"/>
            </w:pPr>
            <w:r>
              <w:t>3.205 / 4.646</w:t>
            </w:r>
          </w:p>
        </w:tc>
        <w:tc>
          <w:tcPr>
            <w:tcW w:type="dxa" w:w="2721"/>
            <w:tcBorders>
              <w:top w:val="nil" w:sz="4"/>
              <w:bottom w:val="nil" w:sz="4"/>
              <w:left w:val="nil" w:sz="4"/>
              <w:right w:val="nil" w:sz="4"/>
            </w:tcBorders>
          </w:tcPr>
          <w:p>
            <w:pPr>
              <w:pStyle w:val="Q4Table"/>
              <w:keepNext/>
              <w:spacing w:after="80" w:before="80"/>
              <w:jc w:val="center"/>
            </w:pPr>
            <w:r>
              <w:t>6.426 / 8.810</w:t>
            </w:r>
          </w:p>
        </w:tc>
      </w:tr>
      <w:tr>
        <w:trPr>
          <w:cantSplit/>
        </w:trPr>
        <w:tc>
          <w:tcPr>
            <w:tcW w:type="dxa" w:w="3628"/>
            <w:tcBorders>
              <w:top w:val="nil" w:sz="4"/>
              <w:bottom w:val="nil" w:sz="4"/>
              <w:left w:val="nil" w:sz="4"/>
              <w:right w:val="nil" w:sz="4"/>
            </w:tcBorders>
          </w:tcPr>
          <w:p>
            <w:pPr>
              <w:pStyle w:val="Q4Table"/>
              <w:keepNext/>
              <w:spacing w:after="80" w:before="80"/>
              <w:jc w:val="left"/>
            </w:pPr>
            <w:r>
              <w:t>自由lnN、lnD＋时间</w:t>
            </w:r>
          </w:p>
        </w:tc>
        <w:tc>
          <w:tcPr>
            <w:tcW w:type="dxa" w:w="2721"/>
            <w:tcBorders>
              <w:top w:val="nil" w:sz="4"/>
              <w:bottom w:val="nil" w:sz="4"/>
              <w:left w:val="nil" w:sz="4"/>
              <w:right w:val="nil" w:sz="4"/>
            </w:tcBorders>
          </w:tcPr>
          <w:p>
            <w:pPr>
              <w:pStyle w:val="Q4Table"/>
              <w:keepNext/>
              <w:spacing w:after="80" w:before="80"/>
              <w:jc w:val="center"/>
            </w:pPr>
            <w:r>
              <w:t>3.776 / 5.139</w:t>
            </w:r>
          </w:p>
        </w:tc>
        <w:tc>
          <w:tcPr>
            <w:tcW w:type="dxa" w:w="2721"/>
            <w:tcBorders>
              <w:top w:val="nil" w:sz="4"/>
              <w:bottom w:val="nil" w:sz="4"/>
              <w:left w:val="nil" w:sz="4"/>
              <w:right w:val="nil" w:sz="4"/>
            </w:tcBorders>
          </w:tcPr>
          <w:p>
            <w:pPr>
              <w:pStyle w:val="Q4Table"/>
              <w:keepNext/>
              <w:spacing w:after="80" w:before="80"/>
              <w:jc w:val="center"/>
            </w:pPr>
            <w:r>
              <w:t>6.657 / 9.136</w:t>
            </w:r>
          </w:p>
        </w:tc>
      </w:tr>
      <w:tr>
        <w:trPr>
          <w:cantSplit/>
        </w:trPr>
        <w:tc>
          <w:tcPr>
            <w:tcW w:type="dxa" w:w="3628"/>
            <w:tcBorders>
              <w:top w:val="nil" w:sz="4"/>
              <w:bottom w:val="nil" w:sz="4"/>
              <w:left w:val="nil" w:sz="4"/>
              <w:right w:val="nil" w:sz="4"/>
            </w:tcBorders>
          </w:tcPr>
          <w:p>
            <w:pPr>
              <w:pStyle w:val="Q4Table"/>
              <w:keepNext/>
              <w:spacing w:after="80" w:before="80"/>
              <w:jc w:val="left"/>
            </w:pPr>
            <w:r>
              <w:t>仅规模</w:t>
            </w:r>
          </w:p>
        </w:tc>
        <w:tc>
          <w:tcPr>
            <w:tcW w:type="dxa" w:w="2721"/>
            <w:tcBorders>
              <w:top w:val="nil" w:sz="4"/>
              <w:bottom w:val="nil" w:sz="4"/>
              <w:left w:val="nil" w:sz="4"/>
              <w:right w:val="nil" w:sz="4"/>
            </w:tcBorders>
          </w:tcPr>
          <w:p>
            <w:pPr>
              <w:pStyle w:val="Q4Table"/>
              <w:keepNext/>
              <w:spacing w:after="80" w:before="80"/>
              <w:jc w:val="center"/>
            </w:pPr>
            <w:r>
              <w:t>3.375 / 4.817</w:t>
            </w:r>
          </w:p>
        </w:tc>
        <w:tc>
          <w:tcPr>
            <w:tcW w:type="dxa" w:w="2721"/>
            <w:tcBorders>
              <w:top w:val="nil" w:sz="4"/>
              <w:bottom w:val="nil" w:sz="4"/>
              <w:left w:val="nil" w:sz="4"/>
              <w:right w:val="nil" w:sz="4"/>
            </w:tcBorders>
          </w:tcPr>
          <w:p>
            <w:pPr>
              <w:pStyle w:val="Q4Table"/>
              <w:keepNext/>
              <w:spacing w:after="80" w:before="80"/>
              <w:jc w:val="center"/>
            </w:pPr>
            <w:r>
              <w:t>7.114 / 9.845</w:t>
            </w:r>
          </w:p>
        </w:tc>
      </w:tr>
      <w:tr>
        <w:trPr>
          <w:cantSplit/>
        </w:trPr>
        <w:tc>
          <w:tcPr>
            <w:tcW w:type="dxa" w:w="3628"/>
            <w:tcBorders>
              <w:top w:val="nil" w:sz="4"/>
              <w:bottom w:val="single" w:sz="4"/>
              <w:left w:val="nil" w:sz="4"/>
              <w:right w:val="nil" w:sz="4"/>
            </w:tcBorders>
          </w:tcPr>
          <w:p>
            <w:pPr>
              <w:pStyle w:val="Q4Table"/>
              <w:keepNext w:val="0"/>
              <w:spacing w:after="80" w:before="80"/>
              <w:jc w:val="left"/>
            </w:pPr>
            <w:r>
              <w:t>仅时间</w:t>
            </w:r>
          </w:p>
        </w:tc>
        <w:tc>
          <w:tcPr>
            <w:tcW w:type="dxa" w:w="2721"/>
            <w:tcBorders>
              <w:top w:val="nil" w:sz="4"/>
              <w:bottom w:val="single" w:sz="4"/>
              <w:left w:val="nil" w:sz="4"/>
              <w:right w:val="nil" w:sz="4"/>
            </w:tcBorders>
          </w:tcPr>
          <w:p>
            <w:pPr>
              <w:pStyle w:val="Q4Table"/>
              <w:keepNext w:val="0"/>
              <w:spacing w:after="80" w:before="80"/>
              <w:jc w:val="center"/>
            </w:pPr>
            <w:r>
              <w:t>5.506 / 7.158</w:t>
            </w:r>
          </w:p>
        </w:tc>
        <w:tc>
          <w:tcPr>
            <w:tcW w:type="dxa" w:w="2721"/>
            <w:tcBorders>
              <w:top w:val="nil" w:sz="4"/>
              <w:bottom w:val="single" w:sz="4"/>
              <w:left w:val="nil" w:sz="4"/>
              <w:right w:val="nil" w:sz="4"/>
            </w:tcBorders>
          </w:tcPr>
          <w:p>
            <w:pPr>
              <w:pStyle w:val="Q4Table"/>
              <w:keepNext w:val="0"/>
              <w:spacing w:after="80" w:before="80"/>
              <w:jc w:val="center"/>
            </w:pPr>
            <w:r>
              <w:t>9.088 / 12.075</w:t>
            </w:r>
          </w:p>
        </w:tc>
      </w:tr>
    </w:tbl>
    <w:p>
      <w:pPr>
        <w:pStyle w:val="Q4Body"/>
      </w:pPr>
      <w:r>
        <w:t>MAE＝平均绝对误差，RMSE＝均方根误差，均以能力分计。表8-1中主模型在两种留出方式下均优于三个对照，支持保留规模与时间两个部分；但机构留出相对仅规模的MAE仅减少0.170分。日期留出MAE达6.426分，且平均偏差为−4.387分，表明向较晚模型迁移时仍明显低估。预测对照支持响应结构的实用性，不能据此证明贡献比例具有因果确定性。</w:t>
      </w:r>
    </w:p>
    <w:p>
      <w:pPr>
        <w:pStyle w:val="Q4H2"/>
      </w:pPr>
      <w:r>
        <w:t>8.3  损失能否直接换算为能力</w:t>
      </w:r>
    </w:p>
    <w:p>
      <w:pPr>
        <w:pStyle w:val="Q4Body"/>
        <w:keepNext/>
      </w:pPr>
      <w:r>
        <w:t>接入问题三之前，需要检验其预测损失能否直接换算为能力分。采用C6的损失与六任务平均分配对记录，按损失可比性分别拟合单调不增的等渗回归，即在“损失更高、能力不更高”的约束下最小化平方误差：</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m:rPr>
                        <m:scr m:val="script"/>
                        <m:sty m:val="p"/>
                      </m:rPr>
                      <w:rPr>
                        <w:rFonts w:ascii="微软雅黑" w:eastAsia="微软雅黑" w:hAnsi="微软雅黑" w:cs="微软雅黑" w:hint="eastAsia"/>
                      </w:rPr>
                      <m:t>l</m:t>
                    </m:r>
                  </m:sub>
                </m:sSub>
                <m:r>
                  <m:rPr>
                    <m:sty m:val="p"/>
                  </m:rPr>
                  <w:rPr>
                    <w:rFonts w:ascii="Cambria Math" w:hAnsi="Cambria Math" w:hint="eastAsia"/>
                  </w:rPr>
                  <m:t>=arg</m:t>
                </m:r>
                <m:limLow>
                  <m:limLowPr>
                    <m:ctrlPr>
                      <w:rPr>
                        <w:rFonts w:ascii="Cambria Math" w:hAnsi="Cambria Math"/>
                      </w:rPr>
                    </m:ctrlPr>
                  </m:limLowPr>
                  <m:e>
                    <m:r>
                      <m:rPr>
                        <m:sty m:val="p"/>
                      </m:rPr>
                      <w:rPr>
                        <w:rFonts w:ascii="Cambria Math" w:hAnsi="Cambria Math" w:hint="eastAsia"/>
                      </w:rPr>
                      <m:t>min</m:t>
                    </m:r>
                  </m:e>
                  <m:lim>
                    <m:r>
                      <w:rPr>
                        <w:rFonts w:ascii="Cambria Math" w:hAnsi="Cambria Math" w:hint="eastAsia"/>
                      </w:rPr>
                      <m:t>f</m:t>
                    </m:r>
                    <m:r>
                      <w:rPr>
                        <w:rFonts w:ascii="MS Gothic" w:eastAsia="MS Gothic" w:hAnsi="MS Gothic" w:cs="MS Gothic" w:hint="eastAsia"/>
                      </w:rPr>
                      <m:t> </m:t>
                    </m:r>
                    <m:r>
                      <m:rPr>
                        <m:sty m:val="p"/>
                      </m:rPr>
                      <w:rPr>
                        <w:rFonts w:ascii="Cambria Math" w:hAnsi="Cambria Math" w:hint="eastAsia"/>
                      </w:rPr>
                      <m:t>nonincreasing</m:t>
                    </m:r>
                  </m:lim>
                </m:limLow>
                <m:nary>
                  <m:naryPr>
                    <m:chr m:val="∑"/>
                    <m:limLoc m:val="undOvr"/>
                    <m:supHide m:val="1"/>
                    <m:ctrlPr>
                      <w:rPr>
                        <w:rFonts w:ascii="Cambria Math" w:hAnsi="Cambria Math"/>
                      </w:rPr>
                    </m:ctrlPr>
                  </m:naryPr>
                  <m:sub>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sub>
                  <m:sup>
                    <m:r>
                      <w:rPr>
                        <w:rFonts w:ascii="MS Gothic" w:eastAsia="MS Gothic" w:hAnsi="MS Gothic" w:cs="MS Gothic" w:hint="eastAsia"/>
                      </w:rPr>
                      <m:t>​</m:t>
                    </m:r>
                  </m:sup>
                  <m:e>
                    <m:r>
                      <m:rPr>
                        <m:sty m:val="p"/>
                      </m:rPr>
                      <w:rPr>
                        <w:rFonts w:ascii="Cambria Math" w:hAnsi="Cambria Math" w:hint="eastAsia"/>
                      </w:rPr>
                      <m:t>(</m:t>
                    </m:r>
                  </m:e>
                </m:nary>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微软雅黑" w:eastAsia="微软雅黑" w:hAnsi="微软雅黑" w:cs="微软雅黑" w:hint="eastAsia"/>
                  </w:rPr>
                  <m:t>-</m:t>
                </m:r>
                <m:r>
                  <w:rPr>
                    <w:rFonts w:ascii="Cambria Math" w:hAnsi="Cambria Math" w:hint="eastAsia"/>
                  </w:rPr>
                  <m:t>f</m:t>
                </m:r>
                <m:d>
                  <m:dPr>
                    <m:ctrlPr>
                      <w:rPr>
                        <w:rFonts w:ascii="Cambria Math" w:hAnsi="Cambria Math"/>
                      </w:rPr>
                    </m:ctrlPr>
                  </m:dPr>
                  <m:e>
                    <m:sSub>
                      <m:sSubPr>
                        <m:ctrlPr>
                          <w:rPr>
                            <w:rFonts w:ascii="Cambria Math" w:hAnsi="Cambria Math"/>
                          </w:rPr>
                        </m:ctrlPr>
                      </m:sSubPr>
                      <m:e>
                        <m:r>
                          <w:rPr>
                            <w:rFonts w:ascii="Cambria Math" w:hAnsi="Cambria Math" w:hint="eastAsia"/>
                          </w:rPr>
                          <m:t>L</m:t>
                        </m:r>
                      </m:e>
                      <m:sub>
                        <m:r>
                          <w:rPr>
                            <w:rFonts w:ascii="Cambria Math" w:hAnsi="Cambria Math" w:hint="eastAsia"/>
                          </w:rPr>
                          <m:t>i</m:t>
                        </m:r>
                      </m:sub>
                    </m:sSub>
                  </m:e>
                </m:d>
                <m:sSup>
                  <m:sSupPr>
                    <m:ctrlPr>
                      <w:rPr>
                        <w:rFonts w:ascii="Cambria Math" w:hAnsi="Cambria Math"/>
                      </w:rPr>
                    </m:ctrlPr>
                  </m:sSupPr>
                  <m:e>
                    <m:r>
                      <m:rPr>
                        <m:sty m:val="p"/>
                      </m:rPr>
                      <w:rPr>
                        <w:rFonts w:ascii="Cambria Math" w:hAnsi="Cambria Math" w:hint="eastAsia"/>
                      </w:rPr>
                      <m:t>)</m:t>
                    </m:r>
                  </m:e>
                  <m:sup>
                    <m:r>
                      <w:rPr>
                        <w:rFonts w:ascii="Cambria Math" w:hAnsi="Cambria Math" w:hint="eastAsia"/>
                      </w:rPr>
                      <m:t>2</m:t>
                    </m:r>
                  </m:sup>
                </m:sSup>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(8-7)</w:t>
            </w:r>
          </w:p>
        </w:tc>
      </w:tr>
    </w:tbl>
    <w:p>
      <w:pPr>
        <w:pStyle w:val="Q4Body"/>
      </w:pPr>
      <w:r>
        <w:t>其中</w:t>
      </w:r>
      <m:oMath>
        <m:sSub>
          <m:e>
            <m:r>
              <m:t>I</m:t>
            </m:r>
          </m:e>
          <m:sub>
            <m:r>
              <m:t>ℓ</m:t>
            </m:r>
          </m:sub>
        </m:sSub>
      </m:oMath>
      <w:r>
        <w:t>为可比层ℓ的样本集合。预测只在该层观测损失范围内定义；逐条留出时，也只对处于训练范围内的测试点计算误差，同时报告有效点数。</w:t>
      </w:r>
    </w:p>
    <w:p>
      <w:pPr>
        <w:pStyle w:val="Q4Caption"/>
        <w:keepNext/>
      </w:pPr>
      <w:r>
        <w:t>表8-2  直接损失换算的验证结果与适用范围</w:t>
      </w:r>
    </w:p>
    <w:tbl>
      <w:tblPr>
        <w:tblW w:type="auto" w:w="0"/>
        <w:tblLayout w:type="fixed"/>
        <w:tblLook w:firstColumn="1" w:firstRow="1" w:lastColumn="0" w:lastRow="0" w:noHBand="0" w:noVBand="1" w:val="04A0"/>
      </w:tblPr>
      <w:tblGrid>
        <w:gridCol w:w="1304"/>
        <w:gridCol w:w="1871"/>
        <w:gridCol w:w="2268"/>
        <w:gridCol w:w="3628"/>
      </w:tblGrid>
      <w:tr>
        <w:trPr>
          <w:cantSplit/>
          <w:tblHeader/>
        </w:trPr>
        <w:tc>
          <w:tcPr>
            <w:tcW w:type="dxa" w:w="1304"/>
            <w:tcBorders>
              <w:top w:val="single" w:sz="8"/>
              <w:bottom w:val="single" w:sz="4"/>
              <w:left w:val="nil" w:sz="4"/>
              <w:right w:val="nil" w:sz="4"/>
            </w:tcBorders>
          </w:tcPr>
          <w:p>
            <w:pPr>
              <w:pStyle w:val="Q4Table"/>
              <w:keepNext/>
              <w:spacing w:after="80" w:before="80"/>
              <w:jc w:val="left"/>
            </w:pPr>
            <w:r>
              <w:rPr>
                <w:b/>
              </w:rPr>
              <w:t>可比层</w:t>
            </w:r>
          </w:p>
        </w:tc>
        <w:tc>
          <w:tcPr>
            <w:tcW w:type="dxa" w:w="1871"/>
            <w:tcBorders>
              <w:top w:val="single" w:sz="8"/>
              <w:bottom w:val="single" w:sz="4"/>
              <w:left w:val="nil" w:sz="4"/>
              <w:right w:val="nil" w:sz="4"/>
            </w:tcBorders>
          </w:tcPr>
          <w:p>
            <w:pPr>
              <w:pStyle w:val="Q4Table"/>
              <w:keepNext/>
              <w:spacing w:after="80" w:before="80"/>
              <w:jc w:val="center"/>
            </w:pPr>
            <w:r>
              <w:rPr>
                <w:b/>
              </w:rPr>
              <w:t>总点数 /</w:t>
              <w:br/>
              <w:t>有效留出点</w:t>
            </w:r>
          </w:p>
        </w:tc>
        <w:tc>
          <w:tcPr>
            <w:tcW w:type="dxa" w:w="2268"/>
            <w:tcBorders>
              <w:top w:val="single" w:sz="8"/>
              <w:bottom w:val="single" w:sz="4"/>
              <w:left w:val="nil" w:sz="4"/>
              <w:right w:val="nil" w:sz="4"/>
            </w:tcBorders>
          </w:tcPr>
          <w:p>
            <w:pPr>
              <w:pStyle w:val="Q4Table"/>
              <w:keepNext/>
              <w:spacing w:after="80" w:before="80"/>
              <w:jc w:val="center"/>
            </w:pPr>
            <w:r>
              <w:rPr>
                <w:b/>
              </w:rPr>
              <w:t>MAE / RMSE</w:t>
              <w:br/>
              <w:t>分</w:t>
            </w:r>
          </w:p>
        </w:tc>
        <w:tc>
          <w:tcPr>
            <w:tcW w:type="dxa" w:w="3628"/>
            <w:tcBorders>
              <w:top w:val="single" w:sz="8"/>
              <w:bottom w:val="single" w:sz="4"/>
              <w:left w:val="nil" w:sz="4"/>
              <w:right w:val="nil" w:sz="4"/>
            </w:tcBorders>
          </w:tcPr>
          <w:p>
            <w:pPr>
              <w:pStyle w:val="Q4Table"/>
              <w:keepNext/>
              <w:spacing w:after="80" w:before="80"/>
              <w:jc w:val="center"/>
            </w:pPr>
            <w:r>
              <w:rPr>
                <w:b/>
              </w:rPr>
              <w:t>对未来主情景的支持</w:t>
            </w:r>
          </w:p>
        </w:tc>
      </w:tr>
      <w:tr>
        <w:trPr>
          <w:cantSplit/>
        </w:trPr>
        <w:tc>
          <w:tcPr>
            <w:tcW w:type="dxa" w:w="1304"/>
            <w:tcBorders>
              <w:top w:val="nil" w:sz="4"/>
              <w:bottom w:val="nil" w:sz="4"/>
              <w:left w:val="nil" w:sz="4"/>
              <w:right w:val="nil" w:sz="4"/>
            </w:tcBorders>
          </w:tcPr>
          <w:p>
            <w:pPr>
              <w:pStyle w:val="Q4Table"/>
              <w:keepNext/>
              <w:spacing w:after="80" w:before="80"/>
              <w:jc w:val="left"/>
            </w:pPr>
            <w:r>
              <w:t>高可比</w:t>
            </w:r>
          </w:p>
        </w:tc>
        <w:tc>
          <w:tcPr>
            <w:tcW w:type="dxa" w:w="1871"/>
            <w:tcBorders>
              <w:top w:val="nil" w:sz="4"/>
              <w:bottom w:val="nil" w:sz="4"/>
              <w:left w:val="nil" w:sz="4"/>
              <w:right w:val="nil" w:sz="4"/>
            </w:tcBorders>
          </w:tcPr>
          <w:p>
            <w:pPr>
              <w:pStyle w:val="Q4Table"/>
              <w:keepNext/>
              <w:spacing w:after="80" w:before="80"/>
              <w:jc w:val="center"/>
            </w:pPr>
            <w:r>
              <w:t>7 / 5</w:t>
            </w:r>
          </w:p>
        </w:tc>
        <w:tc>
          <w:tcPr>
            <w:tcW w:type="dxa" w:w="2268"/>
            <w:tcBorders>
              <w:top w:val="nil" w:sz="4"/>
              <w:bottom w:val="nil" w:sz="4"/>
              <w:left w:val="nil" w:sz="4"/>
              <w:right w:val="nil" w:sz="4"/>
            </w:tcBorders>
          </w:tcPr>
          <w:p>
            <w:pPr>
              <w:pStyle w:val="Q4Table"/>
              <w:keepNext/>
              <w:spacing w:after="80" w:before="80"/>
              <w:jc w:val="center"/>
            </w:pPr>
            <w:r>
              <w:t>0.370 / 0.444</w:t>
            </w:r>
          </w:p>
        </w:tc>
        <w:tc>
          <w:tcPr>
            <w:tcW w:type="dxa" w:w="3628"/>
            <w:tcBorders>
              <w:top w:val="nil" w:sz="4"/>
              <w:bottom w:val="nil" w:sz="4"/>
              <w:left w:val="nil" w:sz="4"/>
              <w:right w:val="nil" w:sz="4"/>
            </w:tcBorders>
          </w:tcPr>
          <w:p>
            <w:pPr>
              <w:pStyle w:val="Q4Table"/>
              <w:keepNext/>
              <w:spacing w:after="80" w:before="80"/>
              <w:jc w:val="center"/>
            </w:pPr>
            <w:r>
              <w:t>损失1.863、1.856均出界</w:t>
            </w:r>
          </w:p>
        </w:tc>
      </w:tr>
      <w:tr>
        <w:trPr>
          <w:cantSplit/>
        </w:trPr>
        <w:tc>
          <w:tcPr>
            <w:tcW w:type="dxa" w:w="1304"/>
            <w:tcBorders>
              <w:top w:val="nil" w:sz="4"/>
              <w:bottom w:val="single" w:sz="4"/>
              <w:left w:val="nil" w:sz="4"/>
              <w:right w:val="nil" w:sz="4"/>
            </w:tcBorders>
          </w:tcPr>
          <w:p>
            <w:pPr>
              <w:pStyle w:val="Q4Table"/>
              <w:keepNext w:val="0"/>
              <w:spacing w:after="80" w:before="80"/>
              <w:jc w:val="left"/>
            </w:pPr>
            <w:r>
              <w:t>中可比</w:t>
            </w:r>
          </w:p>
        </w:tc>
        <w:tc>
          <w:tcPr>
            <w:tcW w:type="dxa" w:w="1871"/>
            <w:tcBorders>
              <w:top w:val="nil" w:sz="4"/>
              <w:bottom w:val="single" w:sz="4"/>
              <w:left w:val="nil" w:sz="4"/>
              <w:right w:val="nil" w:sz="4"/>
            </w:tcBorders>
          </w:tcPr>
          <w:p>
            <w:pPr>
              <w:pStyle w:val="Q4Table"/>
              <w:keepNext w:val="0"/>
              <w:spacing w:after="80" w:before="80"/>
              <w:jc w:val="center"/>
            </w:pPr>
            <w:r>
              <w:t>68 / 67</w:t>
            </w:r>
          </w:p>
        </w:tc>
        <w:tc>
          <w:tcPr>
            <w:tcW w:type="dxa" w:w="2268"/>
            <w:tcBorders>
              <w:top w:val="nil" w:sz="4"/>
              <w:bottom w:val="single" w:sz="4"/>
              <w:left w:val="nil" w:sz="4"/>
              <w:right w:val="nil" w:sz="4"/>
            </w:tcBorders>
          </w:tcPr>
          <w:p>
            <w:pPr>
              <w:pStyle w:val="Q4Table"/>
              <w:keepNext w:val="0"/>
              <w:spacing w:after="80" w:before="80"/>
              <w:jc w:val="center"/>
            </w:pPr>
            <w:r>
              <w:t>7.276 / 9.039</w:t>
            </w:r>
          </w:p>
        </w:tc>
        <w:tc>
          <w:tcPr>
            <w:tcW w:type="dxa" w:w="3628"/>
            <w:tcBorders>
              <w:top w:val="nil" w:sz="4"/>
              <w:bottom w:val="single" w:sz="4"/>
              <w:left w:val="nil" w:sz="4"/>
              <w:right w:val="nil" w:sz="4"/>
            </w:tcBorders>
          </w:tcPr>
          <w:p>
            <w:pPr>
              <w:pStyle w:val="Q4Table"/>
              <w:keepNext w:val="0"/>
              <w:spacing w:after="80" w:before="80"/>
              <w:jc w:val="center"/>
            </w:pPr>
            <w:r>
              <w:t>可计算，但损失验证集与模型类型混合</w:t>
            </w:r>
          </w:p>
        </w:tc>
      </w:tr>
    </w:tbl>
    <w:p>
      <w:pPr>
        <w:pStyle w:val="Q4Body"/>
      </w:pPr>
      <w:r>
        <w:t>高可比层的损失范围为[2.0933,2.5978]，其局部误差虽小，却无法覆盖问题三未来主情景的1.863和1.856。中可比层按附件来源字段留出时，66条有效预测的MAE为7.365分；来源名称存在同一报告的不同写法，该检验仍可能保留同报告相关性。因而，现有数据不足以提供经过验证的跨来源绝对损失换算。</w:t>
      </w:r>
    </w:p>
    <w:p>
      <w:pPr>
        <w:pStyle w:val="Q4Body"/>
      </w:pPr>
      <w:r>
        <w:t>这一检验决定后续预测的解释方式：使用问题二的标度形状和附件C估计的能力响应，给出明确假设下的条件前沿。中可比直接换算只作为附录对照，不与条件前沿合并，也不向其结果重复叠加技术时间收益。</w:t>
      </w:r>
    </w:p>
    <w:p>
      <w:pPr>
        <w:pStyle w:val="Q4H2"/>
      </w:pPr>
      <w:r>
        <w:t>8.4  算力增长放缓下的条件前沿</w:t>
      </w:r>
    </w:p>
    <w:p>
      <w:pPr>
        <w:pStyle w:val="Q4H3"/>
      </w:pPr>
      <w:r>
        <w:t>8.4.1  预算到能力的传导链</w:t>
      </w:r>
    </w:p>
    <w:p>
      <w:pPr>
        <w:pStyle w:val="Q4Body"/>
      </w:pPr>
      <w:r>
        <w:t>未来预测遵循“算力预算 → 问题三最优资源配置 → 可约损失变化 → 能力条件分位”。条件90%分位＝给定规模与时间时能力分布的第90百分位，用于表示领先水平；它与历史平均贡献及榜单总体90%分位分别估计。预测从附件最后有效提交日2025年3月13日起算，目标日期固定为2026年3月13日和2027年3月13日。</w:t>
      </w:r>
    </w:p>
    <w:p>
      <w:pPr>
        <w:pStyle w:val="Q4Body"/>
        <w:keepNext/>
      </w:pPr>
      <w:r>
        <w:t>215条开放权重算力记录的季度90%分位用于拟合对数趋势。最近一年算力90%分位给出起点预算C⋆=3.303422×10²⁴ FLOPs，历史年对数增速</w:t>
      </w:r>
      <m:oMath>
        <m:sSub>
          <m:e>
            <m:r>
              <m:t>g</m:t>
            </m:r>
          </m:e>
          <m:sub>
            <m:r>
              <m:t>C</m:t>
            </m:r>
          </m:sub>
        </m:sSub>
      </m:oMath>
      <w:r>
        <w:t>=1.033713；未来h个月预算为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C</m:t>
                    </m:r>
                  </m:e>
                  <m:sub>
                    <m:r>
                      <m:rPr>
                        <m:sty m:val="p"/>
                      </m:rPr>
                      <w:rPr>
                        <w:rFonts w:ascii="MS Gothic" w:eastAsia="MS Gothic" w:hAnsi="MS Gothic" w:cs="MS Gothic" w:hint="eastAsia"/>
                      </w:rPr>
                      <m:t>⋆</m:t>
                    </m:r>
                  </m:sub>
                </m:sSub>
                <m:r>
                  <m:rPr>
                    <m:sty m:val="p"/>
                  </m:rPr>
                  <w:rPr>
                    <w:rFonts w:ascii="Cambria Math" w:hAnsi="Cambria Math" w:hint="eastAsia"/>
                  </w:rPr>
                  <m:t>exp</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r>
                      <m:rPr>
                        <m:sty m:val="p"/>
                      </m:rPr>
                      <w:rPr>
                        <w:rFonts w:ascii="Cambria Math" w:hAnsi="Cambria Math" w:hint="eastAsia"/>
                      </w:rPr>
                      <m:t>max</m:t>
                    </m:r>
                    <m:d>
                      <m:dPr>
                        <m:ctrlPr>
                          <w:rPr>
                            <w:rFonts w:ascii="Cambria Math" w:hAnsi="Cambria Math"/>
                          </w:rPr>
                        </m:ctrlPr>
                      </m:dPr>
                      <m:e>
                        <m:sSub>
                          <m:sSubPr>
                            <m:ctrlPr>
                              <w:rPr>
                                <w:rFonts w:ascii="Cambria Math" w:hAnsi="Cambria Math"/>
                              </w:rPr>
                            </m:ctrlPr>
                          </m:sSubPr>
                          <m:e>
                            <m:r>
                              <w:rPr>
                                <w:rFonts w:ascii="Cambria Math" w:hAnsi="Cambria Math" w:hint="eastAsia"/>
                              </w:rPr>
                              <m:t>g</m:t>
                            </m:r>
                          </m:e>
                          <m:sub>
                            <m:r>
                              <w:rPr>
                                <w:rFonts w:ascii="Cambria Math" w:hAnsi="Cambria Math" w:hint="eastAsia"/>
                              </w:rPr>
                              <m:t>C</m:t>
                            </m:r>
                          </m:sub>
                        </m:sSub>
                        <m:r>
                          <m:rPr>
                            <m:sty m:val="p"/>
                          </m:rPr>
                          <w:rPr>
                            <w:rFonts w:ascii="Cambria Math" w:hAnsi="Cambria Math" w:hint="eastAsia"/>
                          </w:rPr>
                          <m:t>,</m:t>
                        </m:r>
                        <m:r>
                          <w:rPr>
                            <w:rFonts w:ascii="Cambria Math" w:hAnsi="Cambria Math" w:hint="eastAsia"/>
                          </w:rPr>
                          <m:t>0</m:t>
                        </m:r>
                      </m:e>
                    </m:d>
                    <m:f>
                      <m:fPr>
                        <m:ctrlPr>
                          <w:rPr>
                            <w:rFonts w:ascii="Cambria Math" w:hAnsi="Cambria Math"/>
                          </w:rPr>
                        </m:ctrlPr>
                      </m:fPr>
                      <m:num>
                        <m:r>
                          <w:rPr>
                            <w:rFonts w:ascii="MS Gothic" w:eastAsia="MS Gothic" w:hAnsi="MS Gothic" w:cs="MS Gothic" w:hint="eastAsia"/>
                          </w:rPr>
                          <m:t>h</m:t>
                        </m:r>
                      </m:num>
                      <m:den>
                        <m:r>
                          <w:rPr>
                            <w:rFonts w:ascii="Cambria Math" w:hAnsi="Cambria Math" w:hint="eastAsia"/>
                          </w:rPr>
                          <m:t>12</m:t>
                        </m:r>
                      </m:den>
                    </m:f>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r>
                  <m:rPr>
                    <m:sty m:val="p"/>
                  </m:rPr>
                  <w:rPr>
                    <w:rFonts w:ascii="Cambria Math" w:hAnsi="Cambria Math" w:hint="eastAsia"/>
                  </w:rPr>
                  <m:t>∈</m:t>
                </m:r>
                <m:d>
                  <m:dPr>
                    <m:begChr m:val="{"/>
                    <m:endChr m:val="}"/>
                    <m:ctrlPr>
                      <w:rPr>
                        <w:rFonts w:ascii="Cambria Math" w:hAnsi="Cambria Math"/>
                      </w:rPr>
                    </m:ctrlPr>
                  </m:dPr>
                  <m:e>
                    <m:r>
                      <w:rPr>
                        <w:rFonts w:ascii="Cambria Math" w:hAnsi="Cambria Math" w:hint="eastAsia"/>
                      </w:rPr>
                      <m:t>0</m:t>
                    </m:r>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4</m:t>
                        </m:r>
                      </m:den>
                    </m:f>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e>
                </m:d>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(8-8)</w:t>
            </w:r>
          </w:p>
        </w:tc>
      </w:tr>
    </w:tbl>
    <w:p>
      <w:pPr>
        <w:pStyle w:val="Q4Body"/>
      </w:pPr>
      <w:r>
        <w:t>主情景保留历史对数增速的1/4，同时考察冻结和1/2增速。每个预算调用问题三求解器，固定参考配比p₀、域内最高50%文档质量参照、</w:t>
      </w:r>
      <m:oMath>
        <m:sSub>
          <m:e>
            <m:r>
              <m:t>s</m:t>
            </m:r>
          </m:e>
          <m:sub>
            <m:r>
              <m:t>Q</m:t>
            </m:r>
          </m:sub>
        </m:sSub>
      </m:oMath>
      <w:r>
        <w:t>=1、4096上下文及指数质量成本，得到最优N、D、质量增量及损失。上述设定限定资源情景，并不保证真实训练Token供给。</w:t>
      </w:r>
    </w:p>
    <w:p>
      <w:pPr>
        <w:pStyle w:val="Q4Body"/>
        <w:keepNext/>
      </w:pPr>
      <w:r>
        <w:t>在同一完整N、D样本上，另估计能力的条件90%分位响应：</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q</m:t>
                    </m:r>
                  </m:e>
                  <m:sub>
                    <m:r>
                      <w:rPr>
                        <w:rFonts w:ascii="Cambria Math" w:hAnsi="Cambria Math" w:hint="eastAsia"/>
                      </w:rPr>
                      <m:t>τ</m:t>
                    </m:r>
                  </m:sub>
                </m:sSub>
                <m:d>
                  <m:dPr>
                    <m:ctrlPr>
                      <w:rPr>
                        <w:rFonts w:ascii="Cambria Math" w:hAnsi="Cambria Math"/>
                      </w:rPr>
                    </m:ctrlPr>
                  </m:dPr>
                  <m:e>
                    <m:r>
                      <w:rPr>
                        <w:rFonts w:ascii="Cambria Math" w:hAnsi="Cambria Math" w:hint="eastAsia"/>
                      </w:rPr>
                      <m:t>Z</m:t>
                    </m:r>
                    <m:r>
                      <m:rPr>
                        <m:sty m:val="p"/>
                      </m:rPr>
                      <w:rPr>
                        <w:rFonts w:ascii="Cambria Math" w:hAnsi="Cambria Math" w:hint="eastAsia"/>
                      </w:rPr>
                      <m:t>∣</m:t>
                    </m:r>
                    <m:r>
                      <w:rPr>
                        <w:rFonts w:ascii="Cambria Math" w:hAnsi="Cambria Math" w:hint="eastAsia"/>
                      </w:rPr>
                      <m:t>x</m:t>
                    </m:r>
                    <m:r>
                      <m:rPr>
                        <m:sty m:val="p"/>
                      </m:rPr>
                      <w:rPr>
                        <w:rFonts w:ascii="Cambria Math" w:hAnsi="Cambria Math" w:hint="eastAsia"/>
                      </w:rPr>
                      <m:t>,</m:t>
                    </m:r>
                    <m:r>
                      <w:rPr>
                        <w:rFonts w:ascii="Cambria Math" w:hAnsi="Cambria Math" w:hint="eastAsia"/>
                      </w:rPr>
                      <m:t>T</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m:rPr>
                        <m:sty m:val="p"/>
                      </m:rPr>
                      <w:rPr>
                        <w:rFonts w:ascii="Cambria Math" w:hAnsi="Cambria Math" w:hint="eastAsia"/>
                      </w:rPr>
                      <m:t>0,</m:t>
                    </m:r>
                    <m:r>
                      <w:rPr>
                        <w:rFonts w:ascii="Cambria Math" w:hAnsi="Cambria Math" w:hint="eastAsia"/>
                      </w:rPr>
                      <m:t>τ</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w:rPr>
                    <w:rFonts w:ascii="Cambria Math" w:hAnsi="Cambria Math" w:hint="eastAsia"/>
                  </w:rPr>
                  <m:t>x</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r>
                  <w:rPr>
                    <w:rFonts w:ascii="Cambria Math" w:hAnsi="Cambria Math" w:hint="eastAsia"/>
                  </w:rPr>
                  <m:t>T</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τ</m:t>
                </m:r>
                <m:r>
                  <m:rPr>
                    <m:sty m:val="p"/>
                  </m:rPr>
                  <w:rPr>
                    <w:rFonts w:ascii="Cambria Math" w:hAnsi="Cambria Math" w:hint="eastAsia"/>
                  </w:rPr>
                  <m:t>=0.9,</m:t>
                </m:r>
                <m:r>
                  <m:rPr>
                    <m:sty m:val="p"/>
                  </m:rPr>
                  <w:rPr>
                    <w:rFonts w:ascii="MS Gothic" w:eastAsia="MS Gothic" w:hAnsi="MS Gothic" w:cs="MS Gothic" w:hint="eastAsia"/>
                  </w:rPr>
                  <m:t> </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m:t>
                </m:r>
                <m:r>
                  <m:rPr>
                    <m:sty m:val="p"/>
                  </m:rPr>
                  <w:rPr>
                    <w:rFonts w:ascii="Cambria Math" w:hAnsi="Cambria Math" w:hint="eastAsia"/>
                  </w:rPr>
                  <m:t>0.</m:t>
                </m:r>
              </m:oMath>
            </m:oMathPara>
          </w:p>
        </w:tc>
        <w:tc>
          <w:tcPr>
            <w:tcW w:w="1070" w:type="dxa"/>
            <w:tcMar>
              <w:top w:w="0" w:type="dxa"/>
              <w:left w:w="0" w:type="dxa"/>
              <w:bottom w:w="0" w:type="dxa"/>
              <w:right w:w="0" w:type="dxa"/>
            </w:tcMar>
            <w:vAlign w:val="center"/>
          </w:tcPr>
          <w:p>
            <w:pPr>
              <w:pStyle w:val="Q4Equation"/>
              <w:jc w:val="right"/>
            </w:pPr>
            <w:r>
              <w:t>(8-9)</w:t>
            </w:r>
          </w:p>
        </w:tc>
      </w:tr>
    </w:tbl>
    <w:p>
      <w:pPr>
        <w:pStyle w:val="Q4Body"/>
        <w:keepNext/>
      </w:pPr>
      <w:r>
        <w:t>以分位损失最小化求解，并约束</w:t>
      </w:r>
      <m:oMath>
        <m:sSub>
          <m:e>
            <m:r>
              <m:t>κ</m:t>
            </m:r>
          </m:e>
          <m:sub>
            <m:r>
              <m:t>τ</m:t>
            </m:r>
          </m:sub>
        </m:sSub>
      </m:oMath>
      <w:r>
        <w:t>≥0以保持规模单调性；所得截距、规模系数和时间系数分别为−2.978248、1.123154和0.292187。它们与历史均值方程的系数分别使用。为避免将短期技术趋势无限线性延长，设推进速度以H个月为半衰期衰减，有效推进年数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r>
                  <m:rPr>
                    <m:sty m:val="p"/>
                  </m:rPr>
                  <w:rPr>
                    <w:rFonts w:ascii="Cambria Math" w:hAnsi="Cambria Math" w:hint="eastAsia"/>
                  </w:rPr>
                  <m:t>=</m:t>
                </m:r>
                <m:nary>
                  <m:naryPr>
                    <m:limLoc m:val="subSup"/>
                    <m:ctrlPr>
                      <w:rPr>
                        <w:rFonts w:ascii="Cambria Math" w:hAnsi="Cambria Math"/>
                      </w:rPr>
                    </m:ctrlPr>
                  </m:naryPr>
                  <m:sub>
                    <m:r>
                      <w:rPr>
                        <w:rFonts w:ascii="Cambria Math" w:hAnsi="Cambria Math" w:hint="eastAsia"/>
                      </w:rPr>
                      <m:t>0</m:t>
                    </m:r>
                  </m:sub>
                  <m:sup>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sup>
                  <m:e>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δt</m:t>
                        </m:r>
                      </m:sup>
                    </m:sSup>
                  </m:e>
                </m:nary>
                <m:r>
                  <w:rPr>
                    <w:rFonts w:ascii="MS Gothic" w:eastAsia="MS Gothic" w:hAnsi="MS Gothic" w:cs="MS Gothic" w:hint="eastAsia"/>
                  </w:rPr>
                  <m:t> </m:t>
                </m:r>
                <m:r>
                  <m:rPr>
                    <m:sty m:val="p"/>
                  </m:rPr>
                  <w:rPr>
                    <w:rFonts w:ascii="Cambria Math" w:hAnsi="Cambria Math" w:hint="eastAsia"/>
                  </w:rPr>
                  <m:t>d</m:t>
                </m:r>
                <m:r>
                  <w:rPr>
                    <w:rFonts w:ascii="Cambria Math" w:hAnsi="Cambria Math" w:hint="eastAsia"/>
                  </w:rPr>
                  <m:t>t</m:t>
                </m:r>
                <m:r>
                  <m:rPr>
                    <m:sty m:val="p"/>
                  </m:rPr>
                  <w:rPr>
                    <w:rFonts w:ascii="Cambria Math" w:hAnsi="Cambria Math" w:hint="eastAsia"/>
                  </w:rPr>
                  <m:t>=</m:t>
                </m:r>
                <m:f>
                  <m:fPr>
                    <m:ctrlPr>
                      <w:rPr>
                        <w:rFonts w:ascii="Cambria Math" w:hAnsi="Cambria Math"/>
                      </w:rPr>
                    </m:ctrlPr>
                  </m:fPr>
                  <m:num>
                    <m:r>
                      <w:rPr>
                        <w:rFonts w:ascii="Cambria Math" w:hAnsi="Cambria Math" w:hint="eastAsia"/>
                      </w:rPr>
                      <m:t>1</m:t>
                    </m:r>
                    <m:r>
                      <m:rPr>
                        <m:sty m:val="p"/>
                      </m:rPr>
                      <w:rPr>
                        <w:rFonts w:ascii="微软雅黑" w:eastAsia="微软雅黑" w:hAnsi="微软雅黑" w:cs="微软雅黑" w:hint="eastAsia"/>
                      </w:rPr>
                      <m:t>-</m:t>
                    </m:r>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δ</m:t>
                        </m:r>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sup>
                    </m:sSup>
                  </m:num>
                  <m:den>
                    <m:r>
                      <w:rPr>
                        <w:rFonts w:ascii="Cambria Math" w:hAnsi="Cambria Math" w:hint="eastAsia"/>
                      </w:rPr>
                      <m:t>δ</m:t>
                    </m:r>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ψ</m:t>
                    </m:r>
                  </m:e>
                  <m:sub>
                    <m:r>
                      <m:rPr>
                        <m:sty m:val="p"/>
                      </m:rPr>
                      <w:rPr>
                        <w:rFonts w:ascii="Cambria Math" w:hAnsi="Cambria Math" w:hint="eastAsia"/>
                      </w:rPr>
                      <m:t>∞</m:t>
                    </m:r>
                  </m:sub>
                </m:sSub>
                <m:d>
                  <m:dPr>
                    <m:ctrlPr>
                      <w:rPr>
                        <w:rFonts w:ascii="Cambria Math" w:hAnsi="Cambria Math"/>
                      </w:rPr>
                    </m:ctrlPr>
                  </m:dPr>
                  <m:e>
                    <m:r>
                      <w:rPr>
                        <w:rFonts w:ascii="MS Gothic" w:eastAsia="MS Gothic" w:hAnsi="MS Gothic" w:cs="MS Gothic" w:hint="eastAsia"/>
                      </w:rPr>
                      <m:t>h</m:t>
                    </m:r>
                  </m:e>
                </m:d>
                <m:r>
                  <m:rPr>
                    <m:sty m:val="p"/>
                  </m:rPr>
                  <w:rPr>
                    <w:rFonts w:ascii="Cambria Math" w:hAnsi="Cambria Math" w:hint="eastAsia"/>
                  </w:rPr>
                  <m:t>=</m:t>
                </m:r>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(8-10)</w:t>
            </w:r>
          </w:p>
        </w:tc>
      </w:tr>
    </w:tbl>
    <w:p>
      <w:pPr>
        <w:pStyle w:val="Q4Body"/>
        <w:keepNext/>
      </w:pPr>
      <w:r>
        <w:t>其中δ=12ln2/H，主情景H=24个月，另考察12个月和不衰减。H属于外推假设。记z⋆为起点最优资源配置的拟合能力logit，E为问题二的不可约损失，未来条件前沿为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F</m:t>
                    </m:r>
                  </m:e>
                  <m:sub>
                    <m:r>
                      <w:rPr>
                        <w:rFonts w:ascii="MS Gothic" w:eastAsia="MS Gothic" w:hAnsi="MS Gothic" w:cs="MS Gothic" w:hint="eastAsia"/>
                      </w:rPr>
                      <m:t>h</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expit</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z</m:t>
                        </m:r>
                      </m:e>
                      <m:sub>
                        <m:r>
                          <m:rPr>
                            <m:sty m:val="p"/>
                          </m:rPr>
                          <w:rPr>
                            <w:rFonts w:ascii="MS Gothic" w:eastAsia="MS Gothic" w:hAnsi="MS Gothic" w:cs="MS Gothic" w:hint="eastAsia"/>
                          </w:rPr>
                          <m:t>⋆</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ln</m:t>
                    </m:r>
                    <m:f>
                      <m:fPr>
                        <m:ctrlPr>
                          <w:rPr>
                            <w:rFonts w:ascii="Cambria Math" w:hAnsi="Cambria Math"/>
                          </w:rPr>
                        </m:ctrlPr>
                      </m:fPr>
                      <m:num>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num>
                      <m:den>
                        <m:sSubSup>
                          <m:sSubSupPr>
                            <m:ctrlPr>
                              <w:rPr>
                                <w:rFonts w:ascii="Cambria Math" w:hAnsi="Cambria Math"/>
                              </w:rPr>
                            </m:ctrlPr>
                          </m:sSubSupPr>
                          <m:e>
                            <m:r>
                              <w:rPr>
                                <w:rFonts w:ascii="Cambria Math" w:hAnsi="Cambria Math" w:hint="eastAsia"/>
                              </w:rPr>
                              <m:t>L</m:t>
                            </m:r>
                          </m:e>
                          <m:sub>
                            <m:r>
                              <w:rPr>
                                <w:rFonts w:ascii="Cambria Math" w:hAnsi="Cambria Math" w:hint="eastAsia"/>
                              </w:rPr>
                              <m:t>0</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den>
                    </m:f>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e>
                </m:d>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(8-11)</w:t>
            </w:r>
          </w:p>
        </w:tc>
      </w:tr>
    </w:tbl>
    <w:p>
      <w:pPr>
        <w:pStyle w:val="Q4Body"/>
      </w:pPr>
      <w:r>
        <w:t>该式中，损失比项给出相对于起点的规模收益，末项给出衰减后的技术时间收益。主路径固定配比且质量持续达到同一参照上限，共同乘子在可约损失比中抵消；若质量或配比随时间改变，这一项便不能全部称为规模收益。式（8-11）要求</w:t>
      </w:r>
      <m:oMath>
        <m:sSubSup>
          <m:e>
            <m:r>
              <m:t>L</m:t>
            </m:r>
          </m:e>
          <m:sub>
            <m:r>
              <m:t>h</m:t>
            </m:r>
          </m:sub>
          <m:sup>
            <m:r>
              <m:t>⋆</m:t>
            </m:r>
          </m:sup>
        </m:sSubSup>
      </m:oMath>
      <w:r>
        <w:t>与</w:t>
      </w:r>
      <m:oMath>
        <m:sSubSup>
          <m:e>
            <m:r>
              <m:t>L</m:t>
            </m:r>
          </m:e>
          <m:sub>
            <m:r>
              <m:t>0</m:t>
            </m:r>
          </m:sub>
          <m:sup>
            <m:r>
              <m:t>⋆</m:t>
            </m:r>
          </m:sup>
        </m:sSubSup>
      </m:oMath>
      <w:r>
        <w:t>均大于E。</w:t>
      </w:r>
    </w:p>
    <w:p>
      <w:pPr>
        <w:pStyle w:val="Q4H3"/>
      </w:pPr>
      <w:r>
        <w:t>8.4.2  预测水平与增长来源</w:t>
      </w:r>
    </w:p>
    <w:p>
      <w:pPr>
        <w:pStyle w:val="Q4Caption"/>
        <w:keepNext/>
      </w:pPr>
      <w:r>
        <w:t>表8-3  主情景的最优资源配置与能力条件前沿</w:t>
      </w:r>
    </w:p>
    <w:tbl>
      <w:tblPr>
        <w:tblW w:type="auto" w:w="0"/>
        <w:tblLayout w:type="fixed"/>
        <w:tblLook w:firstColumn="1" w:firstRow="1" w:lastColumn="0" w:lastRow="0" w:noHBand="0" w:noVBand="1" w:val="04A0"/>
      </w:tblPr>
      <w:tblGrid>
        <w:gridCol w:w="1417"/>
        <w:gridCol w:w="1191"/>
        <w:gridCol w:w="1020"/>
        <w:gridCol w:w="1304"/>
        <w:gridCol w:w="850"/>
        <w:gridCol w:w="3288"/>
      </w:tblGrid>
      <w:tr>
        <w:trPr>
          <w:cantSplit/>
          <w:tblHeader/>
        </w:trPr>
        <w:tc>
          <w:tcPr>
            <w:tcW w:type="dxa" w:w="1417"/>
            <w:tcBorders>
              <w:top w:val="single" w:sz="8"/>
              <w:bottom w:val="single" w:sz="4"/>
              <w:left w:val="nil" w:sz="4"/>
              <w:right w:val="nil" w:sz="4"/>
            </w:tcBorders>
          </w:tcPr>
          <w:p>
            <w:pPr>
              <w:pStyle w:val="Q4Table"/>
              <w:keepNext/>
              <w:spacing w:after="80" w:before="80"/>
              <w:jc w:val="left"/>
            </w:pPr>
            <w:r>
              <w:rPr>
                <w:b/>
              </w:rPr>
              <w:t>目标日期</w:t>
            </w:r>
          </w:p>
        </w:tc>
        <w:tc>
          <w:tcPr>
            <w:tcW w:type="dxa" w:w="1191"/>
            <w:tcBorders>
              <w:top w:val="single" w:sz="8"/>
              <w:bottom w:val="single" w:sz="4"/>
              <w:left w:val="nil" w:sz="4"/>
              <w:right w:val="nil" w:sz="4"/>
            </w:tcBorders>
          </w:tcPr>
          <w:p>
            <w:pPr>
              <w:pStyle w:val="Q4Table"/>
              <w:keepNext/>
              <w:spacing w:after="80" w:before="80"/>
              <w:jc w:val="center"/>
            </w:pPr>
            <w:r>
              <w:rPr>
                <w:b/>
              </w:rPr>
              <w:t>预算</w:t>
              <w:br/>
              <w:t>10²⁴ FLOPs</w:t>
            </w:r>
          </w:p>
        </w:tc>
        <w:tc>
          <w:tcPr>
            <w:tcW w:type="dxa" w:w="1020"/>
            <w:tcBorders>
              <w:top w:val="single" w:sz="8"/>
              <w:bottom w:val="single" w:sz="4"/>
              <w:left w:val="nil" w:sz="4"/>
              <w:right w:val="nil" w:sz="4"/>
            </w:tcBorders>
          </w:tcPr>
          <w:p>
            <w:pPr>
              <w:pStyle w:val="Q4Table"/>
              <w:keepNext/>
              <w:spacing w:after="80" w:before="80"/>
              <w:jc w:val="center"/>
            </w:pPr>
            <w:r>
              <w:rPr>
                <w:b/>
              </w:rPr>
              <w:t>N / 十亿</w:t>
            </w:r>
          </w:p>
        </w:tc>
        <w:tc>
          <w:tcPr>
            <w:tcW w:type="dxa" w:w="1304"/>
            <w:tcBorders>
              <w:top w:val="single" w:sz="8"/>
              <w:bottom w:val="single" w:sz="4"/>
              <w:left w:val="nil" w:sz="4"/>
              <w:right w:val="nil" w:sz="4"/>
            </w:tcBorders>
          </w:tcPr>
          <w:p>
            <w:pPr>
              <w:pStyle w:val="Q4Table"/>
              <w:keepNext/>
              <w:spacing w:after="80" w:before="80"/>
              <w:jc w:val="center"/>
            </w:pPr>
            <w:r>
              <w:rPr>
                <w:b/>
              </w:rPr>
              <w:t>D / 十亿</w:t>
              <w:br/>
              <w:t>Token</w:t>
            </w:r>
          </w:p>
        </w:tc>
        <w:tc>
          <w:tcPr>
            <w:tcW w:type="dxa" w:w="850"/>
            <w:tcBorders>
              <w:top w:val="single" w:sz="8"/>
              <w:bottom w:val="single" w:sz="4"/>
              <w:left w:val="nil" w:sz="4"/>
              <w:right w:val="nil" w:sz="4"/>
            </w:tcBorders>
          </w:tcPr>
          <w:p>
            <w:pPr>
              <w:pStyle w:val="Q4Table"/>
              <w:keepNext/>
              <w:spacing w:after="80" w:before="80"/>
              <w:jc w:val="center"/>
            </w:pPr>
            <w:r>
              <w:rPr>
                <w:b/>
              </w:rPr>
              <w:t>损失</w:t>
            </w:r>
          </w:p>
        </w:tc>
        <w:tc>
          <w:tcPr>
            <w:tcW w:type="dxa" w:w="3288"/>
            <w:tcBorders>
              <w:top w:val="single" w:sz="8"/>
              <w:bottom w:val="single" w:sz="4"/>
              <w:left w:val="nil" w:sz="4"/>
              <w:right w:val="nil" w:sz="4"/>
            </w:tcBorders>
          </w:tcPr>
          <w:p>
            <w:pPr>
              <w:pStyle w:val="Q4Table"/>
              <w:keepNext/>
              <w:spacing w:after="80" w:before="80"/>
              <w:jc w:val="center"/>
            </w:pPr>
            <w:r>
              <w:rPr>
                <w:b/>
              </w:rPr>
              <w:t>前沿及95%区间</w:t>
              <w:br/>
              <w:t>分</w:t>
            </w:r>
          </w:p>
        </w:tc>
      </w:tr>
      <w:tr>
        <w:trPr>
          <w:cantSplit/>
        </w:trPr>
        <w:tc>
          <w:tcPr>
            <w:tcW w:type="dxa" w:w="1417"/>
            <w:tcBorders>
              <w:top w:val="nil" w:sz="4"/>
              <w:bottom w:val="nil" w:sz="4"/>
              <w:left w:val="nil" w:sz="4"/>
              <w:right w:val="nil" w:sz="4"/>
            </w:tcBorders>
          </w:tcPr>
          <w:p>
            <w:pPr>
              <w:pStyle w:val="Q4Table"/>
              <w:keepNext/>
              <w:spacing w:after="80" w:before="80"/>
              <w:jc w:val="left"/>
            </w:pPr>
            <w:r>
              <w:t>2026-03-13</w:t>
            </w:r>
          </w:p>
        </w:tc>
        <w:tc>
          <w:tcPr>
            <w:tcW w:type="dxa" w:w="1191"/>
            <w:tcBorders>
              <w:top w:val="nil" w:sz="4"/>
              <w:bottom w:val="nil" w:sz="4"/>
              <w:left w:val="nil" w:sz="4"/>
              <w:right w:val="nil" w:sz="4"/>
            </w:tcBorders>
          </w:tcPr>
          <w:p>
            <w:pPr>
              <w:pStyle w:val="Q4Table"/>
              <w:keepNext/>
              <w:spacing w:after="80" w:before="80"/>
              <w:jc w:val="center"/>
            </w:pPr>
            <w:r>
              <w:t>4.278</w:t>
            </w:r>
          </w:p>
        </w:tc>
        <w:tc>
          <w:tcPr>
            <w:tcW w:type="dxa" w:w="1020"/>
            <w:tcBorders>
              <w:top w:val="nil" w:sz="4"/>
              <w:bottom w:val="nil" w:sz="4"/>
              <w:left w:val="nil" w:sz="4"/>
              <w:right w:val="nil" w:sz="4"/>
            </w:tcBorders>
          </w:tcPr>
          <w:p>
            <w:pPr>
              <w:pStyle w:val="Q4Table"/>
              <w:keepNext/>
              <w:spacing w:after="80" w:before="80"/>
              <w:jc w:val="center"/>
            </w:pPr>
            <w:r>
              <w:t>75.102</w:t>
            </w:r>
          </w:p>
        </w:tc>
        <w:tc>
          <w:tcPr>
            <w:tcW w:type="dxa" w:w="1304"/>
            <w:tcBorders>
              <w:top w:val="nil" w:sz="4"/>
              <w:bottom w:val="nil" w:sz="4"/>
              <w:left w:val="nil" w:sz="4"/>
              <w:right w:val="nil" w:sz="4"/>
            </w:tcBorders>
          </w:tcPr>
          <w:p>
            <w:pPr>
              <w:pStyle w:val="Q4Table"/>
              <w:keepNext/>
              <w:spacing w:after="80" w:before="80"/>
              <w:jc w:val="center"/>
            </w:pPr>
            <w:r>
              <w:t>8350.038</w:t>
            </w:r>
          </w:p>
        </w:tc>
        <w:tc>
          <w:tcPr>
            <w:tcW w:type="dxa" w:w="850"/>
            <w:tcBorders>
              <w:top w:val="nil" w:sz="4"/>
              <w:bottom w:val="nil" w:sz="4"/>
              <w:left w:val="nil" w:sz="4"/>
              <w:right w:val="nil" w:sz="4"/>
            </w:tcBorders>
          </w:tcPr>
          <w:p>
            <w:pPr>
              <w:pStyle w:val="Q4Table"/>
              <w:keepNext/>
              <w:spacing w:after="80" w:before="80"/>
              <w:jc w:val="center"/>
            </w:pPr>
            <w:r>
              <w:t>1.863</w:t>
            </w:r>
          </w:p>
        </w:tc>
        <w:tc>
          <w:tcPr>
            <w:tcW w:type="dxa" w:w="3288"/>
            <w:tcBorders>
              <w:top w:val="nil" w:sz="4"/>
              <w:bottom w:val="nil" w:sz="4"/>
              <w:left w:val="nil" w:sz="4"/>
              <w:right w:val="nil" w:sz="4"/>
            </w:tcBorders>
          </w:tcPr>
          <w:p>
            <w:pPr>
              <w:pStyle w:val="Q4Table"/>
              <w:keepNext/>
              <w:spacing w:after="80" w:before="80"/>
              <w:jc w:val="center"/>
            </w:pPr>
            <w:r>
              <w:t>45.83</w:t>
              <w:br/>
              <w:t>[22.89, 74.76]</w:t>
            </w:r>
          </w:p>
        </w:tc>
      </w:tr>
      <w:tr>
        <w:trPr>
          <w:cantSplit/>
        </w:trPr>
        <w:tc>
          <w:tcPr>
            <w:tcW w:type="dxa" w:w="1417"/>
            <w:tcBorders>
              <w:top w:val="nil" w:sz="4"/>
              <w:bottom w:val="single" w:sz="4"/>
              <w:left w:val="nil" w:sz="4"/>
              <w:right w:val="nil" w:sz="4"/>
            </w:tcBorders>
          </w:tcPr>
          <w:p>
            <w:pPr>
              <w:pStyle w:val="Q4Table"/>
              <w:keepNext w:val="0"/>
              <w:spacing w:after="80" w:before="80"/>
              <w:jc w:val="left"/>
            </w:pPr>
            <w:r>
              <w:t>2027-03-13</w:t>
            </w:r>
          </w:p>
        </w:tc>
        <w:tc>
          <w:tcPr>
            <w:tcW w:type="dxa" w:w="1191"/>
            <w:tcBorders>
              <w:top w:val="nil" w:sz="4"/>
              <w:bottom w:val="single" w:sz="4"/>
              <w:left w:val="nil" w:sz="4"/>
              <w:right w:val="nil" w:sz="4"/>
            </w:tcBorders>
          </w:tcPr>
          <w:p>
            <w:pPr>
              <w:pStyle w:val="Q4Table"/>
              <w:keepNext w:val="0"/>
              <w:spacing w:after="80" w:before="80"/>
              <w:jc w:val="center"/>
            </w:pPr>
            <w:r>
              <w:t>5.539</w:t>
            </w:r>
          </w:p>
        </w:tc>
        <w:tc>
          <w:tcPr>
            <w:tcW w:type="dxa" w:w="1020"/>
            <w:tcBorders>
              <w:top w:val="nil" w:sz="4"/>
              <w:bottom w:val="single" w:sz="4"/>
              <w:left w:val="nil" w:sz="4"/>
              <w:right w:val="nil" w:sz="4"/>
            </w:tcBorders>
          </w:tcPr>
          <w:p>
            <w:pPr>
              <w:pStyle w:val="Q4Table"/>
              <w:keepNext w:val="0"/>
              <w:spacing w:after="80" w:before="80"/>
              <w:jc w:val="center"/>
            </w:pPr>
            <w:r>
              <w:t>84.394</w:t>
            </w:r>
          </w:p>
        </w:tc>
        <w:tc>
          <w:tcPr>
            <w:tcW w:type="dxa" w:w="1304"/>
            <w:tcBorders>
              <w:top w:val="nil" w:sz="4"/>
              <w:bottom w:val="single" w:sz="4"/>
              <w:left w:val="nil" w:sz="4"/>
              <w:right w:val="nil" w:sz="4"/>
            </w:tcBorders>
          </w:tcPr>
          <w:p>
            <w:pPr>
              <w:pStyle w:val="Q4Table"/>
              <w:keepNext w:val="0"/>
              <w:spacing w:after="80" w:before="80"/>
              <w:jc w:val="center"/>
            </w:pPr>
            <w:r>
              <w:t>9622.229</w:t>
            </w:r>
          </w:p>
        </w:tc>
        <w:tc>
          <w:tcPr>
            <w:tcW w:type="dxa" w:w="850"/>
            <w:tcBorders>
              <w:top w:val="nil" w:sz="4"/>
              <w:bottom w:val="single" w:sz="4"/>
              <w:left w:val="nil" w:sz="4"/>
              <w:right w:val="nil" w:sz="4"/>
            </w:tcBorders>
          </w:tcPr>
          <w:p>
            <w:pPr>
              <w:pStyle w:val="Q4Table"/>
              <w:keepNext w:val="0"/>
              <w:spacing w:after="80" w:before="80"/>
              <w:jc w:val="center"/>
            </w:pPr>
            <w:r>
              <w:t>1.856</w:t>
            </w:r>
          </w:p>
        </w:tc>
        <w:tc>
          <w:tcPr>
            <w:tcW w:type="dxa" w:w="3288"/>
            <w:tcBorders>
              <w:top w:val="nil" w:sz="4"/>
              <w:bottom w:val="single" w:sz="4"/>
              <w:left w:val="nil" w:sz="4"/>
              <w:right w:val="nil" w:sz="4"/>
            </w:tcBorders>
          </w:tcPr>
          <w:p>
            <w:pPr>
              <w:pStyle w:val="Q4Table"/>
              <w:keepNext w:val="0"/>
              <w:spacing w:after="80" w:before="80"/>
              <w:jc w:val="center"/>
            </w:pPr>
            <w:r>
              <w:t>51.30</w:t>
              <w:br/>
              <w:t>[23.05, 84.97]</w:t>
            </w:r>
          </w:p>
        </w:tc>
      </w:tr>
    </w:tbl>
    <w:p>
      <w:pPr>
        <w:pStyle w:val="Q4Body"/>
      </w:pPr>
      <w:r>
        <w:t>以主情景起点38.73分为参照，12个月和24个月的条件前沿分别增加7.10和12.57分。两期参数量均超过主样本最大70B，训练量仍处于样本最大18000B以内；起点本身已晚于完整样本最新发布日期约0.465年。因此，预测同时包含时间与参数规模外推。表8-3的区间由机构和算力元数据重抽样400次得到，条件于冻结的问题二参数及既定外推结构。</w:t>
      </w:r>
    </w:p>
    <w:p>
      <w:pPr>
        <w:pStyle w:val="Q4Caption"/>
        <w:keepNext/>
      </w:pPr>
      <w:r>
        <w:t>表8-4  固定24个月技术半衰期时的算力情景比较</w:t>
      </w:r>
    </w:p>
    <w:tbl>
      <w:tblPr>
        <w:tblW w:type="auto" w:w="0"/>
        <w:tblLayout w:type="fixed"/>
        <w:tblLook w:firstColumn="1" w:firstRow="1" w:lastColumn="0" w:lastRow="0" w:noHBand="0" w:noVBand="1" w:val="04A0"/>
      </w:tblPr>
      <w:tblGrid>
        <w:gridCol w:w="4535"/>
        <w:gridCol w:w="2268"/>
        <w:gridCol w:w="2268"/>
      </w:tblGrid>
      <w:tr>
        <w:trPr>
          <w:cantSplit/>
          <w:tblHeader/>
        </w:trPr>
        <w:tc>
          <w:tcPr>
            <w:tcW w:type="dxa" w:w="4535"/>
            <w:tcBorders>
              <w:top w:val="single" w:sz="8"/>
              <w:bottom w:val="single" w:sz="4"/>
              <w:left w:val="nil" w:sz="4"/>
              <w:right w:val="nil" w:sz="4"/>
            </w:tcBorders>
          </w:tcPr>
          <w:p>
            <w:pPr>
              <w:pStyle w:val="Q4Table"/>
              <w:keepNext/>
              <w:spacing w:after="80" w:before="80"/>
              <w:jc w:val="left"/>
            </w:pPr>
            <w:r>
              <w:rPr>
                <w:b/>
              </w:rPr>
              <w:t>情景或差值</w:t>
            </w:r>
          </w:p>
        </w:tc>
        <w:tc>
          <w:tcPr>
            <w:tcW w:type="dxa" w:w="2268"/>
            <w:tcBorders>
              <w:top w:val="single" w:sz="8"/>
              <w:bottom w:val="single" w:sz="4"/>
              <w:left w:val="nil" w:sz="4"/>
              <w:right w:val="nil" w:sz="4"/>
            </w:tcBorders>
          </w:tcPr>
          <w:p>
            <w:pPr>
              <w:pStyle w:val="Q4Table"/>
              <w:keepNext/>
              <w:spacing w:after="80" w:before="80"/>
              <w:jc w:val="center"/>
            </w:pPr>
            <w:r>
              <w:rPr>
                <w:b/>
              </w:rPr>
              <w:t>12个月 / 分</w:t>
            </w:r>
          </w:p>
        </w:tc>
        <w:tc>
          <w:tcPr>
            <w:tcW w:type="dxa" w:w="2268"/>
            <w:tcBorders>
              <w:top w:val="single" w:sz="8"/>
              <w:bottom w:val="single" w:sz="4"/>
              <w:left w:val="nil" w:sz="4"/>
              <w:right w:val="nil" w:sz="4"/>
            </w:tcBorders>
          </w:tcPr>
          <w:p>
            <w:pPr>
              <w:pStyle w:val="Q4Table"/>
              <w:keepNext/>
              <w:spacing w:after="80" w:before="80"/>
              <w:jc w:val="center"/>
            </w:pPr>
            <w:r>
              <w:rPr>
                <w:b/>
              </w:rPr>
              <w:t>24个月 / 分</w:t>
            </w:r>
          </w:p>
        </w:tc>
      </w:tr>
      <w:tr>
        <w:trPr>
          <w:cantSplit/>
        </w:trPr>
        <w:tc>
          <w:tcPr>
            <w:tcW w:type="dxa" w:w="4535"/>
            <w:tcBorders>
              <w:top w:val="nil" w:sz="4"/>
              <w:bottom w:val="nil" w:sz="4"/>
              <w:left w:val="nil" w:sz="4"/>
              <w:right w:val="nil" w:sz="4"/>
            </w:tcBorders>
          </w:tcPr>
          <w:p>
            <w:pPr>
              <w:pStyle w:val="Q4Table"/>
              <w:keepNext/>
              <w:spacing w:after="80" w:before="80"/>
              <w:jc w:val="left"/>
            </w:pPr>
            <w:r>
              <w:t>算力冻结</w:t>
            </w:r>
          </w:p>
        </w:tc>
        <w:tc>
          <w:tcPr>
            <w:tcW w:type="dxa" w:w="2268"/>
            <w:tcBorders>
              <w:top w:val="nil" w:sz="4"/>
              <w:bottom w:val="nil" w:sz="4"/>
              <w:left w:val="nil" w:sz="4"/>
              <w:right w:val="nil" w:sz="4"/>
            </w:tcBorders>
          </w:tcPr>
          <w:p>
            <w:pPr>
              <w:pStyle w:val="Q4Table"/>
              <w:keepNext/>
              <w:spacing w:after="80" w:before="80"/>
              <w:jc w:val="center"/>
            </w:pPr>
            <w:r>
              <w:t>44.72</w:t>
            </w:r>
          </w:p>
        </w:tc>
        <w:tc>
          <w:tcPr>
            <w:tcW w:type="dxa" w:w="2268"/>
            <w:tcBorders>
              <w:top w:val="nil" w:sz="4"/>
              <w:bottom w:val="nil" w:sz="4"/>
              <w:left w:val="nil" w:sz="4"/>
              <w:right w:val="nil" w:sz="4"/>
            </w:tcBorders>
          </w:tcPr>
          <w:p>
            <w:pPr>
              <w:pStyle w:val="Q4Table"/>
              <w:keepNext/>
              <w:spacing w:after="80" w:before="80"/>
              <w:jc w:val="center"/>
            </w:pPr>
            <w:r>
              <w:t>49.07</w:t>
            </w:r>
          </w:p>
        </w:tc>
      </w:tr>
      <w:tr>
        <w:trPr>
          <w:cantSplit/>
        </w:trPr>
        <w:tc>
          <w:tcPr>
            <w:tcW w:type="dxa" w:w="4535"/>
            <w:tcBorders>
              <w:top w:val="nil" w:sz="4"/>
              <w:bottom w:val="nil" w:sz="4"/>
              <w:left w:val="nil" w:sz="4"/>
              <w:right w:val="nil" w:sz="4"/>
            </w:tcBorders>
          </w:tcPr>
          <w:p>
            <w:pPr>
              <w:pStyle w:val="Q4Table"/>
              <w:keepNext/>
              <w:spacing w:after="80" w:before="80"/>
              <w:jc w:val="left"/>
            </w:pPr>
            <w:r>
              <w:t>历史对数增速保留1/4</w:t>
            </w:r>
          </w:p>
        </w:tc>
        <w:tc>
          <w:tcPr>
            <w:tcW w:type="dxa" w:w="2268"/>
            <w:tcBorders>
              <w:top w:val="nil" w:sz="4"/>
              <w:bottom w:val="nil" w:sz="4"/>
              <w:left w:val="nil" w:sz="4"/>
              <w:right w:val="nil" w:sz="4"/>
            </w:tcBorders>
          </w:tcPr>
          <w:p>
            <w:pPr>
              <w:pStyle w:val="Q4Table"/>
              <w:keepNext/>
              <w:spacing w:after="80" w:before="80"/>
              <w:jc w:val="center"/>
            </w:pPr>
            <w:r>
              <w:t>45.83</w:t>
            </w:r>
          </w:p>
        </w:tc>
        <w:tc>
          <w:tcPr>
            <w:tcW w:type="dxa" w:w="2268"/>
            <w:tcBorders>
              <w:top w:val="nil" w:sz="4"/>
              <w:bottom w:val="nil" w:sz="4"/>
              <w:left w:val="nil" w:sz="4"/>
              <w:right w:val="nil" w:sz="4"/>
            </w:tcBorders>
          </w:tcPr>
          <w:p>
            <w:pPr>
              <w:pStyle w:val="Q4Table"/>
              <w:keepNext/>
              <w:spacing w:after="80" w:before="80"/>
              <w:jc w:val="center"/>
            </w:pPr>
            <w:r>
              <w:t>51.30</w:t>
            </w:r>
          </w:p>
        </w:tc>
      </w:tr>
      <w:tr>
        <w:trPr>
          <w:cantSplit/>
        </w:trPr>
        <w:tc>
          <w:tcPr>
            <w:tcW w:type="dxa" w:w="4535"/>
            <w:tcBorders>
              <w:top w:val="nil" w:sz="4"/>
              <w:bottom w:val="single" w:sz="4"/>
              <w:left w:val="nil" w:sz="4"/>
              <w:right w:val="nil" w:sz="4"/>
            </w:tcBorders>
          </w:tcPr>
          <w:p>
            <w:pPr>
              <w:pStyle w:val="Q4Table"/>
              <w:keepNext w:val="0"/>
              <w:spacing w:after="80" w:before="80"/>
              <w:jc w:val="left"/>
            </w:pPr>
            <w:r>
              <w:t>主情景相对冻结增加</w:t>
            </w:r>
          </w:p>
        </w:tc>
        <w:tc>
          <w:tcPr>
            <w:tcW w:type="dxa" w:w="2268"/>
            <w:tcBorders>
              <w:top w:val="nil" w:sz="4"/>
              <w:bottom w:val="single" w:sz="4"/>
              <w:left w:val="nil" w:sz="4"/>
              <w:right w:val="nil" w:sz="4"/>
            </w:tcBorders>
          </w:tcPr>
          <w:p>
            <w:pPr>
              <w:pStyle w:val="Q4Table"/>
              <w:keepNext w:val="0"/>
              <w:spacing w:after="80" w:before="80"/>
              <w:jc w:val="center"/>
            </w:pPr>
            <w:r>
              <w:t>1.10</w:t>
            </w:r>
          </w:p>
        </w:tc>
        <w:tc>
          <w:tcPr>
            <w:tcW w:type="dxa" w:w="2268"/>
            <w:tcBorders>
              <w:top w:val="nil" w:sz="4"/>
              <w:bottom w:val="single" w:sz="4"/>
              <w:left w:val="nil" w:sz="4"/>
              <w:right w:val="nil" w:sz="4"/>
            </w:tcBorders>
          </w:tcPr>
          <w:p>
            <w:pPr>
              <w:pStyle w:val="Q4Table"/>
              <w:keepNext w:val="0"/>
              <w:spacing w:after="80" w:before="80"/>
              <w:jc w:val="center"/>
            </w:pPr>
            <w:r>
              <w:t>2.23</w:t>
            </w:r>
          </w:p>
        </w:tc>
      </w:tr>
    </w:tbl>
    <w:p>
      <w:pPr>
        <w:pStyle w:val="Q4Body"/>
      </w:pPr>
      <w:r>
        <w:t>表8-4解释了增长的来源：算力冻结时，保留的技术时间项仍将前沿推至44.72和49.07分；放缓后的资源增长再增加1.10和2.23分。由此可见，主情景增长在很大程度上依赖技术时间趋势继续存在，算力增速只解释其中的附加变化。这是固定半衰期下的情景比较，不能作为技术趋势必然延续的经验事实，也不能与历史两路径份额直接等同。</w:t>
      </w:r>
    </w:p>
    <w:p>
      <w:pPr>
        <w:pStyle w:val="Q4H2"/>
      </w:pPr>
      <w:r>
        <w:t>8.5  前沿预测的验证与适用边界</w:t>
      </w:r>
    </w:p>
    <w:p>
      <w:pPr>
        <w:pStyle w:val="Q4Body"/>
      </w:pPr>
      <w:r>
        <w:t>条件90%分位模型在机构留出和发布日期留出下的覆盖率分别为82.86%和70.37%，均低于名义90%，对应logit分位损失为0.117和0.149。该结果说明前沿在样本外存在低估和标定不足；表8-3的95%重抽样区间反映估计波动，也未包含标度跨族迁移、问题二尺度和技术衰减假设的全部误差。</w:t>
      </w:r>
    </w:p>
    <w:p>
      <w:pPr>
        <w:pStyle w:val="Q4Body"/>
      </w:pPr>
      <w:r>
        <w:t>为检查更大范围榜单的短期预测能力，另按基础、对话／微调、合并类型拟合仅含参数量与提交时间的分位对照，并预测未来1—3个月的月度90%分位。每个目标月至少有5个模型，基线为沿用上月同类型90%分位。由于该对照缺少训练量D，其时间项只作描述性解释。</w:t>
      </w:r>
    </w:p>
    <w:p>
      <w:pPr>
        <w:pStyle w:val="Q4Caption"/>
        <w:keepNext/>
      </w:pPr>
      <w:r>
        <w:t>表8-5  分类型月度前沿的短期回测</w:t>
      </w:r>
    </w:p>
    <w:tbl>
      <w:tblPr>
        <w:tblW w:type="auto" w:w="0"/>
        <w:tblLayout w:type="fixed"/>
        <w:tblLook w:firstColumn="1" w:firstRow="1" w:lastColumn="0" w:lastRow="0" w:noHBand="0" w:noVBand="1" w:val="04A0"/>
      </w:tblPr>
      <w:tblGrid>
        <w:gridCol w:w="2494"/>
        <w:gridCol w:w="2041"/>
        <w:gridCol w:w="2608"/>
        <w:gridCol w:w="1928"/>
      </w:tblGrid>
      <w:tr>
        <w:trPr>
          <w:cantSplit/>
          <w:tblHeader/>
        </w:trPr>
        <w:tc>
          <w:tcPr>
            <w:tcW w:type="dxa" w:w="2494"/>
            <w:tcBorders>
              <w:top w:val="single" w:sz="8"/>
              <w:bottom w:val="single" w:sz="4"/>
              <w:left w:val="nil" w:sz="4"/>
              <w:right w:val="nil" w:sz="4"/>
            </w:tcBorders>
          </w:tcPr>
          <w:p>
            <w:pPr>
              <w:pStyle w:val="Q4Table"/>
              <w:keepNext/>
              <w:spacing w:after="80" w:before="80"/>
              <w:jc w:val="left"/>
            </w:pPr>
            <w:r>
              <w:rPr>
                <w:b/>
              </w:rPr>
              <w:t>模型类型</w:t>
            </w:r>
          </w:p>
        </w:tc>
        <w:tc>
          <w:tcPr>
            <w:tcW w:type="dxa" w:w="2041"/>
            <w:tcBorders>
              <w:top w:val="single" w:sz="8"/>
              <w:bottom w:val="single" w:sz="4"/>
              <w:left w:val="nil" w:sz="4"/>
              <w:right w:val="nil" w:sz="4"/>
            </w:tcBorders>
          </w:tcPr>
          <w:p>
            <w:pPr>
              <w:pStyle w:val="Q4Table"/>
              <w:keepNext/>
              <w:spacing w:after="80" w:before="80"/>
              <w:jc w:val="center"/>
            </w:pPr>
            <w:r>
              <w:rPr>
                <w:b/>
              </w:rPr>
              <w:t>模型MAE / 分</w:t>
            </w:r>
          </w:p>
        </w:tc>
        <w:tc>
          <w:tcPr>
            <w:tcW w:type="dxa" w:w="2608"/>
            <w:tcBorders>
              <w:top w:val="single" w:sz="8"/>
              <w:bottom w:val="single" w:sz="4"/>
              <w:left w:val="nil" w:sz="4"/>
              <w:right w:val="nil" w:sz="4"/>
            </w:tcBorders>
          </w:tcPr>
          <w:p>
            <w:pPr>
              <w:pStyle w:val="Q4Table"/>
              <w:keepNext/>
              <w:spacing w:after="80" w:before="80"/>
              <w:jc w:val="center"/>
            </w:pPr>
            <w:r>
              <w:rPr>
                <w:b/>
              </w:rPr>
              <w:t>上月延续MAE / 分</w:t>
            </w:r>
          </w:p>
        </w:tc>
        <w:tc>
          <w:tcPr>
            <w:tcW w:type="dxa" w:w="1928"/>
            <w:tcBorders>
              <w:top w:val="single" w:sz="8"/>
              <w:bottom w:val="single" w:sz="4"/>
              <w:left w:val="nil" w:sz="4"/>
              <w:right w:val="nil" w:sz="4"/>
            </w:tcBorders>
          </w:tcPr>
          <w:p>
            <w:pPr>
              <w:pStyle w:val="Q4Table"/>
              <w:keepNext/>
              <w:spacing w:after="80" w:before="80"/>
              <w:jc w:val="center"/>
            </w:pPr>
            <w:r>
              <w:rPr>
                <w:b/>
              </w:rPr>
              <w:t>有效预测记录</w:t>
            </w:r>
          </w:p>
        </w:tc>
      </w:tr>
      <w:tr>
        <w:trPr>
          <w:cantSplit/>
        </w:trPr>
        <w:tc>
          <w:tcPr>
            <w:tcW w:type="dxa" w:w="2494"/>
            <w:tcBorders>
              <w:top w:val="nil" w:sz="4"/>
              <w:bottom w:val="nil" w:sz="4"/>
              <w:left w:val="nil" w:sz="4"/>
              <w:right w:val="nil" w:sz="4"/>
            </w:tcBorders>
          </w:tcPr>
          <w:p>
            <w:pPr>
              <w:pStyle w:val="Q4Table"/>
              <w:keepNext/>
              <w:spacing w:after="80" w:before="80"/>
              <w:jc w:val="left"/>
            </w:pPr>
            <w:r>
              <w:t>基础</w:t>
            </w:r>
          </w:p>
        </w:tc>
        <w:tc>
          <w:tcPr>
            <w:tcW w:type="dxa" w:w="2041"/>
            <w:tcBorders>
              <w:top w:val="nil" w:sz="4"/>
              <w:bottom w:val="nil" w:sz="4"/>
              <w:left w:val="nil" w:sz="4"/>
              <w:right w:val="nil" w:sz="4"/>
            </w:tcBorders>
          </w:tcPr>
          <w:p>
            <w:pPr>
              <w:pStyle w:val="Q4Table"/>
              <w:keepNext/>
              <w:spacing w:after="80" w:before="80"/>
              <w:jc w:val="center"/>
            </w:pPr>
            <w:r>
              <w:t>9.443</w:t>
            </w:r>
          </w:p>
        </w:tc>
        <w:tc>
          <w:tcPr>
            <w:tcW w:type="dxa" w:w="2608"/>
            <w:tcBorders>
              <w:top w:val="nil" w:sz="4"/>
              <w:bottom w:val="nil" w:sz="4"/>
              <w:left w:val="nil" w:sz="4"/>
              <w:right w:val="nil" w:sz="4"/>
            </w:tcBorders>
          </w:tcPr>
          <w:p>
            <w:pPr>
              <w:pStyle w:val="Q4Table"/>
              <w:keepNext/>
              <w:spacing w:after="80" w:before="80"/>
              <w:jc w:val="center"/>
            </w:pPr>
            <w:r>
              <w:t>7.498</w:t>
            </w:r>
          </w:p>
        </w:tc>
        <w:tc>
          <w:tcPr>
            <w:tcW w:type="dxa" w:w="1928"/>
            <w:tcBorders>
              <w:top w:val="nil" w:sz="4"/>
              <w:bottom w:val="nil" w:sz="4"/>
              <w:left w:val="nil" w:sz="4"/>
              <w:right w:val="nil" w:sz="4"/>
            </w:tcBorders>
          </w:tcPr>
          <w:p>
            <w:pPr>
              <w:pStyle w:val="Q4Table"/>
              <w:keepNext/>
              <w:spacing w:after="80" w:before="80"/>
              <w:jc w:val="center"/>
            </w:pPr>
            <w:r>
              <w:t>11</w:t>
            </w:r>
          </w:p>
        </w:tc>
      </w:tr>
      <w:tr>
        <w:trPr>
          <w:cantSplit/>
        </w:trPr>
        <w:tc>
          <w:tcPr>
            <w:tcW w:type="dxa" w:w="2494"/>
            <w:tcBorders>
              <w:top w:val="nil" w:sz="4"/>
              <w:bottom w:val="nil" w:sz="4"/>
              <w:left w:val="nil" w:sz="4"/>
              <w:right w:val="nil" w:sz="4"/>
            </w:tcBorders>
          </w:tcPr>
          <w:p>
            <w:pPr>
              <w:pStyle w:val="Q4Table"/>
              <w:keepNext/>
              <w:spacing w:after="80" w:before="80"/>
              <w:jc w:val="left"/>
            </w:pPr>
            <w:r>
              <w:t>对话／微调</w:t>
            </w:r>
          </w:p>
        </w:tc>
        <w:tc>
          <w:tcPr>
            <w:tcW w:type="dxa" w:w="2041"/>
            <w:tcBorders>
              <w:top w:val="nil" w:sz="4"/>
              <w:bottom w:val="nil" w:sz="4"/>
              <w:left w:val="nil" w:sz="4"/>
              <w:right w:val="nil" w:sz="4"/>
            </w:tcBorders>
          </w:tcPr>
          <w:p>
            <w:pPr>
              <w:pStyle w:val="Q4Table"/>
              <w:keepNext/>
              <w:spacing w:after="80" w:before="80"/>
              <w:jc w:val="center"/>
            </w:pPr>
            <w:r>
              <w:t>1.419</w:t>
            </w:r>
          </w:p>
        </w:tc>
        <w:tc>
          <w:tcPr>
            <w:tcW w:type="dxa" w:w="2608"/>
            <w:tcBorders>
              <w:top w:val="nil" w:sz="4"/>
              <w:bottom w:val="nil" w:sz="4"/>
              <w:left w:val="nil" w:sz="4"/>
              <w:right w:val="nil" w:sz="4"/>
            </w:tcBorders>
          </w:tcPr>
          <w:p>
            <w:pPr>
              <w:pStyle w:val="Q4Table"/>
              <w:keepNext/>
              <w:spacing w:after="80" w:before="80"/>
              <w:jc w:val="center"/>
            </w:pPr>
            <w:r>
              <w:t>1.990</w:t>
            </w:r>
          </w:p>
        </w:tc>
        <w:tc>
          <w:tcPr>
            <w:tcW w:type="dxa" w:w="1928"/>
            <w:tcBorders>
              <w:top w:val="nil" w:sz="4"/>
              <w:bottom w:val="nil" w:sz="4"/>
              <w:left w:val="nil" w:sz="4"/>
              <w:right w:val="nil" w:sz="4"/>
            </w:tcBorders>
          </w:tcPr>
          <w:p>
            <w:pPr>
              <w:pStyle w:val="Q4Table"/>
              <w:keepNext/>
              <w:spacing w:after="80" w:before="80"/>
              <w:jc w:val="center"/>
            </w:pPr>
            <w:r>
              <w:t>11</w:t>
            </w:r>
          </w:p>
        </w:tc>
      </w:tr>
      <w:tr>
        <w:trPr>
          <w:cantSplit/>
        </w:trPr>
        <w:tc>
          <w:tcPr>
            <w:tcW w:type="dxa" w:w="2494"/>
            <w:tcBorders>
              <w:top w:val="nil" w:sz="4"/>
              <w:bottom w:val="single" w:sz="4"/>
              <w:left w:val="nil" w:sz="4"/>
              <w:right w:val="nil" w:sz="4"/>
            </w:tcBorders>
          </w:tcPr>
          <w:p>
            <w:pPr>
              <w:pStyle w:val="Q4Table"/>
              <w:keepNext w:val="0"/>
              <w:spacing w:after="80" w:before="80"/>
              <w:jc w:val="left"/>
            </w:pPr>
            <w:r>
              <w:t>合并</w:t>
            </w:r>
          </w:p>
        </w:tc>
        <w:tc>
          <w:tcPr>
            <w:tcW w:type="dxa" w:w="2041"/>
            <w:tcBorders>
              <w:top w:val="nil" w:sz="4"/>
              <w:bottom w:val="single" w:sz="4"/>
              <w:left w:val="nil" w:sz="4"/>
              <w:right w:val="nil" w:sz="4"/>
            </w:tcBorders>
          </w:tcPr>
          <w:p>
            <w:pPr>
              <w:pStyle w:val="Q4Table"/>
              <w:keepNext w:val="0"/>
              <w:spacing w:after="80" w:before="80"/>
              <w:jc w:val="center"/>
            </w:pPr>
            <w:r>
              <w:t>4.041</w:t>
            </w:r>
          </w:p>
        </w:tc>
        <w:tc>
          <w:tcPr>
            <w:tcW w:type="dxa" w:w="2608"/>
            <w:tcBorders>
              <w:top w:val="nil" w:sz="4"/>
              <w:bottom w:val="single" w:sz="4"/>
              <w:left w:val="nil" w:sz="4"/>
              <w:right w:val="nil" w:sz="4"/>
            </w:tcBorders>
          </w:tcPr>
          <w:p>
            <w:pPr>
              <w:pStyle w:val="Q4Table"/>
              <w:keepNext w:val="0"/>
              <w:spacing w:after="80" w:before="80"/>
              <w:jc w:val="center"/>
            </w:pPr>
            <w:r>
              <w:t>3.457</w:t>
            </w:r>
          </w:p>
        </w:tc>
        <w:tc>
          <w:tcPr>
            <w:tcW w:type="dxa" w:w="1928"/>
            <w:tcBorders>
              <w:top w:val="nil" w:sz="4"/>
              <w:bottom w:val="single" w:sz="4"/>
              <w:left w:val="nil" w:sz="4"/>
              <w:right w:val="nil" w:sz="4"/>
            </w:tcBorders>
          </w:tcPr>
          <w:p>
            <w:pPr>
              <w:pStyle w:val="Q4Table"/>
              <w:keepNext w:val="0"/>
              <w:spacing w:after="80" w:before="80"/>
              <w:jc w:val="center"/>
            </w:pPr>
            <w:r>
              <w:t>11</w:t>
            </w:r>
          </w:p>
        </w:tc>
      </w:tr>
    </w:tbl>
    <w:p>
      <w:pPr>
        <w:pStyle w:val="Q4Body"/>
      </w:pPr>
      <w:r>
        <w:t>只有对话／微调类型优于上月延续，MAE减少约28.7%；基础与合并类型均未胜出。这些失败结果说明，复杂模型尚未在各类短期前沿上普遍产生增益。该回测针对类型总体前沿，不直接检验最优资源路径上的条件前沿；1—3个月表现也不能替代12—24个月验证。长期分类型对照及其构造放入附录四，避免与主预测混为同一统计目标。</w:t>
      </w:r>
    </w:p>
    <w:p>
      <w:pPr>
        <w:pStyle w:val="Q4H2"/>
      </w:pPr>
      <w:r>
        <w:t>8.6  本问小结</w:t>
      </w:r>
    </w:p>
    <w:p>
      <w:pPr>
        <w:pStyle w:val="Q4Body"/>
      </w:pPr>
      <w:r>
        <w:t>历史样本的规模与非规模贡献点估计为56.98%和43.02%，非规模区间包含零，份额依赖结构与混杂假设。高可比损失换算不覆盖未来目标区间；资源约束下的条件前沿在2026年3月13日和2027年3月13日为45.83和51.30分。冻结算力对照显示，增长主要依赖技术时间趋势延续。结合覆盖不足和回测失败，预测应作为附带不确定范围的条件情景使用。</w:t>
      </w:r>
    </w:p>
    <w:p>
      <w:pPr>
        <w:pStyle w:val="Q4Title"/>
        <w:pageBreakBefore/>
      </w:pPr>
      <w:r>
        <w:t>附录四  数据核查与模型补充</w:t>
      </w:r>
    </w:p>
    <w:p>
      <w:pPr>
        <w:pStyle w:val="Q4H2"/>
      </w:pPr>
      <w:r>
        <w:t>四 A  数据口径与经验扰动计算</w:t>
      </w:r>
    </w:p>
    <w:p>
      <w:pPr>
        <w:pStyle w:val="Q4Body"/>
      </w:pPr>
      <w:r>
        <w:t>C1经许可证、日期、参数量和六任务完整性筛选，按仓库去重后保留2449个模型。与C4按规范化名称、参数数量级及发布机构确定性匹配；名称保留参数小数点，有歧义或无法核验的重上传退出主样本。完整基础样本35个，发布日期覆盖2021年3月21日至2024年9月24日。C3的4573条榜单来源记录与26条历史文献记录分层核对，不将不可比历史得分拼接进趋势。</w:t>
      </w:r>
    </w:p>
    <w:p>
      <w:pPr>
        <w:pStyle w:val="Q4Body"/>
      </w:pPr>
      <w:r>
        <w:t>C8逐任务核查扫描1958个JSON，4个损坏文件中1个目录有可解析替代，另3个目录退出逐任务分析，原件保留。MuSR三项叶子任务使用随机猜测基线1/2、1/5、1/3，先计算100max{0,(a−b)/(1−b)}，再等权平均；a为选项长度归一化准确率。匹配C1的1012个模型中，967个重建MuSR与榜单差异不超过10⁻⁶分；结果仅用于核查，不覆盖C1。</w:t>
      </w:r>
    </w:p>
    <w:p>
      <w:pPr>
        <w:pStyle w:val="Q4Body"/>
        <w:keepNext/>
      </w:pPr>
      <w:r>
        <w:t>能力变换的完整定义为：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r>
                      <m:rPr>
                        <m:sty m:val="p"/>
                      </m:rPr>
                      <w:rPr>
                        <w:rFonts w:ascii="Cambria Math" w:hAnsi="Cambria Math" w:hint="eastAsia"/>
                      </w:rPr>
                      <m:t>=clip</m:t>
                    </m:r>
                    <m:d>
                      <m:dPr>
                        <m:ctrlPr>
                          <w:rPr>
                            <w:rFonts w:ascii="Cambria Math" w:hAnsi="Cambria Math"/>
                          </w:rPr>
                        </m:ctrlPr>
                      </m:dPr>
                      <m:e>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0.001</m:t>
                    </m:r>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=logit</m:t>
                    </m:r>
                    <m:d>
                      <m:dPr>
                        <m:ctrlPr>
                          <w:rPr>
                            <w:rFonts w:ascii="Cambria Math" w:hAnsi="Cambria Math"/>
                          </w:rPr>
                        </m:ctrlPr>
                      </m:dPr>
                      <m:e>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e>
                    </m:d>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num>
                      <m:den>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den>
                    </m:f>
                    <m:r>
                      <m:rPr>
                        <m:sty m:val="p"/>
                      </m:rPr>
                      <w:rPr>
                        <w:rFonts w:ascii="Cambria Math" w:hAnsi="Cambria Math" w:hint="eastAsia"/>
                      </w:rPr>
                      <m:t>,</m:t>
                    </m:r>
                  </m:e>
                  <m:e>
                    <m:r>
                      <m:rPr>
                        <m:sty m:val="p"/>
                      </m:rPr>
                      <w:rPr>
                        <w:rFonts w:ascii="Cambria Math" w:hAnsi="Cambria Math" w:hint="eastAsia"/>
                      </w:rPr>
                      <m:t>expit</m:t>
                    </m:r>
                    <m:d>
                      <m:dPr>
                        <m:ctrlPr>
                          <w:rPr>
                            <w:rFonts w:ascii="Cambria Math" w:hAnsi="Cambria Math"/>
                          </w:rPr>
                        </m:ctrlPr>
                      </m:dPr>
                      <m:e>
                        <m:r>
                          <w:rPr>
                            <w:rFonts w:ascii="Cambria Math" w:hAnsi="Cambria Math" w:hint="eastAsia"/>
                          </w:rPr>
                          <m:t>z</m:t>
                        </m:r>
                      </m:e>
                    </m:d>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1</m:t>
                        </m:r>
                        <m:r>
                          <m:rPr>
                            <m:sty m:val="p"/>
                          </m:rPr>
                          <w:rPr>
                            <w:rFonts w:ascii="Cambria Math" w:hAnsi="Cambria Math" w:hint="eastAsia"/>
                          </w:rPr>
                          <m:t>+</m:t>
                        </m:r>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z</m:t>
                            </m:r>
                          </m:sup>
                        </m:sSup>
                      </m:den>
                    </m:f>
                    <m:r>
                      <m:rPr>
                        <m:sty m:val="p"/>
                      </m:rPr>
                      <w:rPr>
                        <w:rFonts w:ascii="Cambria Math" w:hAnsi="Cambria Math" w:hint="eastAsia"/>
                      </w:rPr>
                      <m:t>.</m:t>
                    </m:r>
                  </m:e>
                </m:eqArr>
              </m:oMath>
            </m:oMathPara>
          </w:p>
        </w:tc>
        <w:tc>
          <w:tcPr>
            <w:tcW w:w="1070" w:type="dxa"/>
            <w:tcMar>
              <w:top w:w="0" w:type="dxa"/>
              <w:left w:w="0" w:type="dxa"/>
              <w:bottom w:w="0" w:type="dxa"/>
              <w:right w:w="0" w:type="dxa"/>
            </w:tcMar>
            <w:vAlign w:val="center"/>
          </w:tcPr>
          <w:p>
            <w:pPr>
              <w:pStyle w:val="Q4Equation"/>
              <w:jc w:val="right"/>
            </w:pPr>
            <w:r>
              <w:t>(四-1)</w:t>
            </w:r>
          </w:p>
        </w:tc>
      </w:tr>
    </w:tbl>
    <w:p>
      <w:pPr>
        <w:pStyle w:val="Q4Body"/>
        <w:keepNext/>
      </w:pPr>
      <w:r>
        <w:t>中介方程与能力方程采用无权最小二乘。lnN的截距、时间系数为1.322799、0.286528；lnD为6.410831、1.239217。能力拟合为：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acc>
                  <m:accPr>
                    <m:ctrlPr>
                      <w:rPr>
                        <w:rFonts w:ascii="Cambria Math" w:hAnsi="Cambria Math"/>
                      </w:rPr>
                    </m:ctrlPr>
                  </m:accPr>
                  <m:e>
                    <m:r>
                      <m:rPr>
                        <m:sty m:val="p"/>
                      </m:rPr>
                      <w:rPr>
                        <w:rFonts w:ascii="Cambria Math" w:hAnsi="Cambria Math"/>
                      </w:rPr>
                      <m:t>Z</m:t>
                    </m:r>
                  </m:e>
                </m:acc>
                <m:r>
                  <m:rPr>
                    <m:sty m:val="p"/>
                  </m:rPr>
                  <w:rPr>
                    <w:rFonts w:ascii="Cambria Math" w:hAnsi="Cambria Math"/>
                  </w:rPr>
                  <m:t>=-3.541544+1.217559x(N,D)+0.191554T.</m:t>
                </m:r>
              </m:oMath>
            </m:oMathPara>
          </w:p>
        </w:tc>
        <w:tc>
          <w:tcPr>
            <w:tcW w:w="1070" w:type="dxa"/>
            <w:tcMar>
              <w:top w:w="0" w:type="dxa"/>
              <w:left w:w="0" w:type="dxa"/>
              <w:bottom w:w="0" w:type="dxa"/>
              <w:right w:w="0" w:type="dxa"/>
            </w:tcMar>
            <w:vAlign w:val="center"/>
          </w:tcPr>
          <w:p>
            <w:pPr>
              <w:pStyle w:val="Q4Equation"/>
              <w:jc w:val="right"/>
            </w:pPr>
            <w:r>
              <w:t>(四-2)</w:t>
            </w:r>
          </w:p>
        </w:tc>
      </w:tr>
    </w:tbl>
    <w:p>
      <w:pPr>
        <w:pStyle w:val="Q4Body"/>
        <w:keepNext/>
      </w:pPr>
      <w:r>
        <w:t>普通能力预测对训练期能力残差分别作expit逆变换再平均。反事实计算首先使用第a组成对规模残差生成t′时刻规模：</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d>
                  <m:dPr>
                    <m:ctrlPr>
                      <w:rPr>
                        <w:rFonts w:ascii="Cambria Math" w:hAnsi="Cambria Math"/>
                      </w:rPr>
                    </m:ctrlPr>
                  </m:dPr>
                  <m:e>
                    <m:m>
                      <m:mPr>
                        <m:plcHide m:val="1"/>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mr>
                      <m:mr>
                        <m:e>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mr>
                    </m:m>
                  </m:e>
                </m:d>
                <m:r>
                  <m:rPr>
                    <m:sty m:val="p"/>
                  </m:rPr>
                  <w:rPr>
                    <w:rFonts w:ascii="Cambria Math" w:hAnsi="Cambria Math" w:hint="eastAsia"/>
                  </w:rPr>
                  <m:t>=exp</m:t>
                </m:r>
                <m:r>
                  <w:rPr>
                    <w:rFonts w:ascii="MS Gothic" w:eastAsia="MS Gothic" w:hAnsi="MS Gothic" w:cs="MS Gothic" w:hint="eastAsia"/>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M</m:t>
                        </m:r>
                        <m:r>
                          <m:rPr>
                            <m:sty m:val="p"/>
                          </m:rPr>
                          <w:rPr>
                            <w:rFonts w:ascii="Cambria Math" w:hAnsi="Cambria Math" w:hint="eastAsia"/>
                          </w:rPr>
                          <m:t>,</m:t>
                        </m:r>
                        <m:r>
                          <w:rPr>
                            <w:rFonts w:ascii="Cambria Math" w:hAnsi="Cambria Math" w:hint="eastAsia"/>
                          </w:rPr>
                          <m:t>a</m:t>
                        </m:r>
                      </m:sub>
                    </m:sSub>
                  </m:e>
                </m:d>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(四-3)</w:t>
            </w:r>
          </w:p>
        </w:tc>
      </w:tr>
    </w:tbl>
    <w:p>
      <w:pPr>
        <w:pStyle w:val="Q4Body"/>
        <w:keepNext/>
      </w:pPr>
      <w:r>
        <w:t>随后将规模残差与能力残差交叉组合：</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eqArr>
                  <m:eqArrPr>
                    <m:ctrlPr>
                      <w:rPr>
                        <w:rFonts w:ascii="Cambria Math" w:hAnsi="Cambria Math"/>
                      </w:rPr>
                    </m:ctrlPr>
                  </m:eqArrPr>
                  <m:e>
                    <m:acc>
                      <m:accPr>
                        <m:ctrlPr>
                          <w:rPr>
                            <w:rFonts w:ascii="Cambria Math" w:hAnsi="Cambria Math"/>
                          </w:rPr>
                        </m:ctrlPr>
                      </m:accPr>
                      <m:e>
                        <m:r>
                          <w:rPr>
                            <w:rFonts w:ascii="Cambria Math" w:hAnsi="Cambria Math" w:hint="eastAsia"/>
                          </w:rPr>
                          <m:t>G</m:t>
                        </m:r>
                      </m:e>
                    </m:acc>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f>
                      <m:fPr>
                        <m:ctrlPr>
                          <w:rPr>
                            <w:rFonts w:ascii="Cambria Math" w:hAnsi="Cambria Math"/>
                          </w:rPr>
                        </m:ctrlPr>
                      </m:fPr>
                      <m:num>
                        <m:r>
                          <w:rPr>
                            <w:rFonts w:ascii="Cambria Math" w:hAnsi="Cambria Math" w:hint="eastAsia"/>
                          </w:rPr>
                          <m:t>100</m:t>
                        </m:r>
                      </m:num>
                      <m:den>
                        <m:sSub>
                          <m:sSubPr>
                            <m:ctrlPr>
                              <w:rPr>
                                <w:rFonts w:ascii="Cambria Math" w:hAnsi="Cambria Math"/>
                              </w:rPr>
                            </m:ctrlPr>
                          </m:sSubPr>
                          <m:e>
                            <m:r>
                              <w:rPr>
                                <w:rFonts w:ascii="Cambria Math" w:hAnsi="Cambria Math" w:hint="eastAsia"/>
                              </w:rPr>
                              <m:t>n</m:t>
                            </m:r>
                          </m:e>
                          <m:sub>
                            <m:r>
                              <w:rPr>
                                <w:rFonts w:ascii="Cambria Math" w:hAnsi="Cambria Math" w:hint="eastAsia"/>
                              </w:rPr>
                              <m:t>M</m:t>
                            </m:r>
                          </m:sub>
                        </m:sSub>
                        <m:sSub>
                          <m:sSubPr>
                            <m:ctrlPr>
                              <w:rPr>
                                <w:rFonts w:ascii="Cambria Math" w:hAnsi="Cambria Math"/>
                              </w:rPr>
                            </m:ctrlPr>
                          </m:sSubPr>
                          <m:e>
                            <m:r>
                              <w:rPr>
                                <w:rFonts w:ascii="Cambria Math" w:hAnsi="Cambria Math" w:hint="eastAsia"/>
                              </w:rPr>
                              <m:t>n</m:t>
                            </m:r>
                          </m:e>
                          <m:sub>
                            <m:r>
                              <w:rPr>
                                <w:rFonts w:ascii="Cambria Math" w:hAnsi="Cambria Math" w:hint="eastAsia"/>
                              </w:rPr>
                              <m:t>Y</m:t>
                            </m:r>
                          </m:sub>
                        </m:sSub>
                      </m:den>
                    </m:f>
                    <m:nary>
                      <m:naryPr>
                        <m:chr m:val="∑"/>
                        <m:limLoc m:val="undOvr"/>
                        <m:ctrlPr>
                          <w:rPr>
                            <w:rFonts w:ascii="Cambria Math" w:hAnsi="Cambria Math"/>
                          </w:rPr>
                        </m:ctrlPr>
                      </m:naryPr>
                      <m:sub>
                        <m:r>
                          <w:rPr>
                            <w:rFonts w:ascii="Cambria Math" w:hAnsi="Cambria Math" w:hint="eastAsia"/>
                          </w:rPr>
                          <m:t>a</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M</m:t>
                            </m:r>
                          </m:sub>
                        </m:sSub>
                      </m:sup>
                      <m:e>
                        <m:nary>
                          <m:naryPr>
                            <m:chr m:val="∑"/>
                            <m:limLoc m:val="undOvr"/>
                            <m:ctrlPr>
                              <w:rPr>
                                <w:rFonts w:ascii="Cambria Math" w:hAnsi="Cambria Math"/>
                              </w:rPr>
                            </m:ctrlPr>
                          </m:naryPr>
                          <m:sub>
                            <m:r>
                              <w:rPr>
                                <w:rFonts w:ascii="Cambria Math" w:hAnsi="Cambria Math" w:hint="eastAsia"/>
                              </w:rPr>
                              <m:t>b</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Y</m:t>
                                </m:r>
                              </m:sub>
                            </m:sSub>
                          </m:sup>
                          <m:e>
                            <m:r>
                              <m:rPr>
                                <m:sty m:val="p"/>
                              </m:rPr>
                              <w:rPr>
                                <w:rFonts w:ascii="Cambria Math" w:hAnsi="Cambria Math" w:hint="eastAsia"/>
                              </w:rPr>
                              <m:t>expit</m:t>
                            </m:r>
                          </m:e>
                        </m:nary>
                      </m:e>
                    </m:nary>
                    <m:r>
                      <w:rPr>
                        <w:rFonts w:ascii="MS Gothic" w:eastAsia="MS Gothic" w:hAnsi="MS Gothic" w:cs="MS Gothic" w:hint="eastAsia"/>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V</m:t>
                                </m:r>
                              </m:e>
                            </m:acc>
                          </m:e>
                          <m:sub>
                            <m:r>
                              <w:rPr>
                                <w:rFonts w:ascii="Cambria Math" w:hAnsi="Cambria Math" w:hint="eastAsia"/>
                              </w:rPr>
                              <m:t>ab</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e>
                    </m:d>
                    <m:r>
                      <m:rPr>
                        <m:sty m:val="p"/>
                      </m:rPr>
                      <w:rPr>
                        <w:rFonts w:ascii="Cambria Math" w:hAnsi="Cambria Math" w:hint="eastAsia"/>
                      </w:rPr>
                      <m:t>,</m:t>
                    </m:r>
                  </m:e>
                  <m:e>
                    <m:sSub>
                      <m:sSubPr>
                        <m:ctrlPr>
                          <w:rPr>
                            <w:rFonts w:ascii="Cambria Math" w:hAnsi="Cambria Math"/>
                          </w:rPr>
                        </m:ctrlPr>
                      </m:sSubPr>
                      <m:e>
                        <m:acc>
                          <m:accPr>
                            <m:ctrlPr>
                              <w:rPr>
                                <w:rFonts w:ascii="Cambria Math" w:hAnsi="Cambria Math"/>
                              </w:rPr>
                            </m:ctrlPr>
                          </m:accPr>
                          <m:e>
                            <m:r>
                              <w:rPr>
                                <w:rFonts w:ascii="Cambria Math" w:hAnsi="Cambria Math" w:hint="eastAsia"/>
                              </w:rPr>
                              <m:t>V</m:t>
                            </m:r>
                          </m:e>
                        </m:acc>
                      </m:e>
                      <m:sub>
                        <m:r>
                          <w:rPr>
                            <w:rFonts w:ascii="Cambria Math" w:hAnsi="Cambria Math" w:hint="eastAsia"/>
                          </w:rPr>
                          <m:t>ab</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r>
                      <w:rPr>
                        <w:rFonts w:ascii="Cambria Math" w:hAnsi="Cambria Math" w:hint="eastAsia"/>
                      </w:rPr>
                      <m:t>x</m:t>
                    </m:r>
                    <m:r>
                      <w:rPr>
                        <w:rFonts w:ascii="MS Gothic" w:eastAsia="MS Gothic" w:hAnsi="MS Gothic" w:cs="MS Gothic" w:hint="eastAsia"/>
                      </w:rPr>
                      <m:t>​</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Y</m:t>
                        </m:r>
                        <m:r>
                          <m:rPr>
                            <m:sty m:val="p"/>
                          </m:rPr>
                          <w:rPr>
                            <w:rFonts w:ascii="Cambria Math" w:hAnsi="Cambria Math" w:hint="eastAsia"/>
                          </w:rPr>
                          <m:t>,</m:t>
                        </m:r>
                        <m:r>
                          <w:rPr>
                            <w:rFonts w:ascii="Cambria Math" w:hAnsi="Cambria Math" w:hint="eastAsia"/>
                          </w:rPr>
                          <m:t>b</m:t>
                        </m:r>
                      </m:sub>
                    </m:sSub>
                    <m:r>
                      <m:rPr>
                        <m:sty m:val="p"/>
                      </m:rPr>
                      <w:rPr>
                        <w:rFonts w:ascii="Cambria Math" w:hAnsi="Cambria Math" w:hint="eastAsia"/>
                      </w:rPr>
                      <m:t>.</m:t>
                    </m:r>
                  </m:e>
                </m:eqArr>
              </m:oMath>
            </m:oMathPara>
          </w:p>
        </w:tc>
        <w:tc>
          <w:tcPr>
            <w:tcW w:w="1070" w:type="dxa"/>
            <w:tcMar>
              <w:top w:w="0" w:type="dxa"/>
              <w:left w:w="0" w:type="dxa"/>
              <w:bottom w:w="0" w:type="dxa"/>
              <w:right w:w="0" w:type="dxa"/>
            </w:tcMar>
            <w:vAlign w:val="center"/>
          </w:tcPr>
          <w:p>
            <w:pPr>
              <w:pStyle w:val="Q4Equation"/>
              <w:jc w:val="right"/>
            </w:pPr>
            <w:r>
              <w:t>(四-4)</w:t>
            </w:r>
          </w:p>
        </w:tc>
      </w:tr>
    </w:tbl>
    <w:p>
      <w:pPr>
        <w:pStyle w:val="Q4Body"/>
      </w:pPr>
      <w:r>
        <w:t>本次</w:t>
      </w:r>
      <m:oMath>
        <m:sSub>
          <m:e>
            <m:r>
              <m:t>n</m:t>
            </m:r>
          </m:e>
          <m:sub>
            <m:r>
              <m:t>M</m:t>
            </m:r>
          </m:sub>
        </m:sSub>
      </m:oMath>
      <w:r>
        <w:t>=</w:t>
      </w:r>
      <m:oMath>
        <m:sSub>
          <m:e>
            <m:r>
              <m:t>n</m:t>
            </m:r>
          </m:e>
          <m:sub>
            <m:r>
              <m:t>Y</m:t>
            </m:r>
          </m:sub>
        </m:sSub>
      </m:oMath>
      <w:r>
        <w:t>=35。交叉平均对应跨方程独立假设，同时保留N与D残差的相关性。四个角点分别为初期基准、仅改变规模、仅改变非规模条件、两条路径同时改变。总变化绝对值不超过10⁻⁶分时不计算份额。机构重抽样固定比较日期，每次重估两组方程和经验残差。</w:t>
      </w:r>
    </w:p>
    <w:p>
      <w:pPr>
        <w:pStyle w:val="Q4H2"/>
      </w:pPr>
      <w:r>
        <w:t>四 B  稳健性检验与桥接细节</w:t>
      </w:r>
    </w:p>
    <w:p>
      <w:pPr>
        <w:pStyle w:val="Q4Body"/>
      </w:pPr>
      <w:r>
        <w:t>机构留出形成35条预测；日期阻塞留出形成54条预测记录，涉及21个不同模型，同一模型可出现在多个截点。训练折重新估计能力系数和扰动分布，表8-1各模型使用相同划分。元数据为事后快照，该检验属于回溯发布队列检验。</w:t>
      </w:r>
    </w:p>
    <w:p>
      <w:pPr>
        <w:pStyle w:val="Q4Body"/>
        <w:keepNext/>
      </w:pPr>
      <w:r>
        <w:t>混杂压力测试先拟合x=</w:t>
      </w:r>
      <m:oMath>
        <m:sSub>
          <m:e>
            <m:r>
              <m:t>a</m:t>
            </m:r>
          </m:e>
          <m:sub>
            <m:r>
              <m:t>x</m:t>
            </m:r>
          </m:sub>
        </m:sSub>
      </m:oMath>
      <w:r>
        <w:t>+</w:t>
      </w:r>
      <m:oMath>
        <m:sSub>
          <m:e>
            <m:r>
              <m:t>b</m:t>
            </m:r>
          </m:e>
          <m:sub>
            <m:r>
              <m:t>x</m:t>
            </m:r>
          </m:sub>
        </m:sSub>
      </m:oMath>
      <w:r>
        <w:t xml:space="preserve"> T+v，令ρ表示v与能力扰动的假设相关程度，并使用：</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eqArr>
                  <m:eqArrPr>
                    <m:ctrlPr>
                      <w:rPr>
                        <w:rFonts w:ascii="Cambria Math" w:hAnsi="Cambria Math"/>
                      </w:rPr>
                    </m:ctrlPr>
                  </m:eqArrPr>
                  <m:e>
                    <m:r>
                      <w:rPr>
                        <w:rFonts w:ascii="Cambria Math" w:hAnsi="Cambria Math" w:hint="eastAsia"/>
                      </w:rPr>
                      <m:t>κ</m:t>
                    </m:r>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f>
                      <m:fPr>
                        <m:ctrlPr>
                          <w:rPr>
                            <w:rFonts w:ascii="Cambria Math" w:hAnsi="Cambria Math"/>
                          </w:rPr>
                        </m:ctrlPr>
                      </m:fPr>
                      <m:num>
                        <m:r>
                          <w:rPr>
                            <w:rFonts w:ascii="Cambria Math" w:hAnsi="Cambria Math" w:hint="eastAsia"/>
                          </w:rPr>
                          <m:t>ρ</m:t>
                        </m:r>
                      </m:num>
                      <m:den>
                        <m:rad>
                          <m:radPr>
                            <m:degHide m:val="1"/>
                            <m:ctrlPr>
                              <w:rPr>
                                <w:rFonts w:ascii="Cambria Math" w:hAnsi="Cambria Math"/>
                              </w:rPr>
                            </m:ctrlPr>
                          </m:radPr>
                          <m:deg/>
                          <m:e>
                            <m:r>
                              <w:rPr>
                                <w:rFonts w:ascii="Cambria Math" w:hAnsi="Cambria Math" w:hint="eastAsia"/>
                              </w:rPr>
                              <m:t>1</m:t>
                            </m:r>
                            <m:r>
                              <m:rPr>
                                <m:sty m:val="p"/>
                              </m:rPr>
                              <w:rPr>
                                <w:rFonts w:ascii="微软雅黑" w:eastAsia="微软雅黑" w:hAnsi="微软雅黑" w:cs="微软雅黑" w:hint="eastAsia"/>
                              </w:rPr>
                              <m:t>-</m:t>
                            </m:r>
                            <m:sSup>
                              <m:sSupPr>
                                <m:ctrlPr>
                                  <w:rPr>
                                    <w:rFonts w:ascii="Cambria Math" w:hAnsi="Cambria Math"/>
                                  </w:rPr>
                                </m:ctrlPr>
                              </m:sSupPr>
                              <m:e>
                                <m:r>
                                  <w:rPr>
                                    <w:rFonts w:ascii="Cambria Math" w:hAnsi="Cambria Math" w:hint="eastAsia"/>
                                  </w:rPr>
                                  <m:t>ρ</m:t>
                                </m:r>
                              </m:e>
                              <m:sup>
                                <m:r>
                                  <w:rPr>
                                    <w:rFonts w:ascii="Cambria Math" w:hAnsi="Cambria Math" w:hint="eastAsia"/>
                                  </w:rPr>
                                  <m:t>2</m:t>
                                </m:r>
                              </m:sup>
                            </m:sSup>
                          </m:e>
                        </m:rad>
                      </m:den>
                    </m:f>
                    <m:f>
                      <m:fPr>
                        <m:ctrlPr>
                          <w:rPr>
                            <w:rFonts w:ascii="Cambria Math" w:hAnsi="Cambria Math"/>
                          </w:rPr>
                        </m:ctrlPr>
                      </m:fPr>
                      <m:num>
                        <m:sSub>
                          <m:sSubPr>
                            <m:ctrlPr>
                              <w:rPr>
                                <w:rFonts w:ascii="Cambria Math" w:hAnsi="Cambria Math"/>
                              </w:rPr>
                            </m:ctrlPr>
                          </m:sSubPr>
                          <m:e>
                            <m:r>
                              <w:rPr>
                                <w:rFonts w:ascii="Cambria Math" w:hAnsi="Cambria Math" w:hint="eastAsia"/>
                              </w:rPr>
                              <m:t>s</m:t>
                            </m:r>
                          </m:e>
                          <m:sub>
                            <m:r>
                              <w:rPr>
                                <w:rFonts w:ascii="Cambria Math" w:hAnsi="Cambria Math" w:hint="eastAsia"/>
                              </w:rPr>
                              <m:t>Y</m:t>
                            </m:r>
                          </m:sub>
                        </m:sSub>
                      </m:num>
                      <m:den>
                        <m:sSub>
                          <m:sSubPr>
                            <m:ctrlPr>
                              <w:rPr>
                                <w:rFonts w:ascii="Cambria Math" w:hAnsi="Cambria Math"/>
                              </w:rPr>
                            </m:ctrlPr>
                          </m:sSubPr>
                          <m:e>
                            <m:r>
                              <w:rPr>
                                <w:rFonts w:ascii="Cambria Math" w:hAnsi="Cambria Math" w:hint="eastAsia"/>
                              </w:rPr>
                              <m:t>s</m:t>
                            </m:r>
                          </m:e>
                          <m:sub>
                            <m:r>
                              <w:rPr>
                                <w:rFonts w:ascii="Cambria Math" w:hAnsi="Cambria Math" w:hint="eastAsia"/>
                              </w:rPr>
                              <m:t>x</m:t>
                            </m:r>
                          </m:sub>
                        </m:sSub>
                      </m:den>
                    </m:f>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r>
                      <m:rPr>
                        <m:sty m:val="p"/>
                      </m:rPr>
                      <w:rPr>
                        <w:rFonts w:ascii="Cambria Math" w:hAnsi="Cambria Math" w:hint="eastAsia"/>
                      </w:rPr>
                      <m:t>+</m:t>
                    </m:r>
                    <m:d>
                      <m:dPr>
                        <m:begChr m:val="["/>
                        <m:endChr m:val="]"/>
                        <m:ctrlPr>
                          <w:rPr>
                            <w:rFonts w:ascii="Cambria Math" w:hAnsi="Cambria Math"/>
                          </w:rPr>
                        </m:ctrlPr>
                      </m:dPr>
                      <m:e>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r>
                          <w:rPr>
                            <w:rFonts w:ascii="Cambria Math" w:hAnsi="Cambria Math" w:hint="eastAsia"/>
                          </w:rPr>
                          <m:t>κ</m:t>
                        </m:r>
                        <m:d>
                          <m:dPr>
                            <m:ctrlPr>
                              <w:rPr>
                                <w:rFonts w:ascii="Cambria Math" w:hAnsi="Cambria Math"/>
                              </w:rPr>
                            </m:ctrlPr>
                          </m:dPr>
                          <m:e>
                            <m:r>
                              <w:rPr>
                                <w:rFonts w:ascii="Cambria Math" w:hAnsi="Cambria Math" w:hint="eastAsia"/>
                              </w:rPr>
                              <m:t>ρ</m:t>
                            </m:r>
                          </m:e>
                        </m:d>
                      </m:e>
                    </m:d>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r>
                      <m:rPr>
                        <m:sty m:val="p"/>
                      </m:rPr>
                      <w:rPr>
                        <w:rFonts w:ascii="Cambria Math" w:hAnsi="Cambria Math" w:hint="eastAsia"/>
                      </w:rPr>
                      <m:t>.</m:t>
                    </m:r>
                  </m:e>
                </m:eqArr>
              </m:oMath>
            </m:oMathPara>
          </w:p>
        </w:tc>
        <w:tc>
          <w:tcPr>
            <w:tcW w:w="1070" w:type="dxa"/>
            <w:tcMar>
              <w:top w:w="0" w:type="dxa"/>
              <w:left w:w="0" w:type="dxa"/>
              <w:bottom w:w="0" w:type="dxa"/>
              <w:right w:w="0" w:type="dxa"/>
            </w:tcMar>
            <w:vAlign w:val="center"/>
          </w:tcPr>
          <w:p>
            <w:pPr>
              <w:pStyle w:val="Q4Equation"/>
              <w:jc w:val="right"/>
            </w:pPr>
            <w:r>
              <w:t>(四-5)</w:t>
            </w:r>
          </w:p>
        </w:tc>
      </w:tr>
    </w:tbl>
    <w:p>
      <w:pPr>
        <w:pStyle w:val="Q4Body"/>
      </w:pPr>
      <m:oMath>
        <m:sSub>
          <m:e>
            <m:r>
              <m:t>s</m:t>
            </m:r>
          </m:e>
          <m:sub>
            <m:r>
              <m:t>x</m:t>
            </m:r>
          </m:sub>
        </m:sSub>
      </m:oMath>
      <w:r>
        <w:t>、</w:t>
      </w:r>
      <m:oMath>
        <m:sSub>
          <m:e>
            <m:r>
              <m:t>s</m:t>
            </m:r>
          </m:e>
          <m:sub>
            <m:r>
              <m:t>Y</m:t>
            </m:r>
          </m:sub>
        </m:sSub>
      </m:oMath>
      <w:r>
        <w:t>分别为上述规模残差与能力残差标准差；截距同步增加“原规模系数与调整后规模系数之差乘以</w:t>
      </w:r>
      <m:oMath>
        <m:sSub>
          <m:e>
            <m:r>
              <m:t>a</m:t>
            </m:r>
          </m:e>
          <m:sub>
            <m:r>
              <m:t>x</m:t>
            </m:r>
          </m:sub>
        </m:sSub>
      </m:oMath>
      <w:r>
        <w:t>”，能力经验残差保持不变。ρ∈[−0.6,0.6]对应的份额范围属于敏感性情景，不是置信区间。对D整体或仅较晚模型乘以0.5、1、2，检验历史贡献对训练量测量误差的敏感性；逐项删除能力任务的实验则用于检查大样本描述性预测对指标选择的敏感性。</w:t>
      </w:r>
    </w:p>
    <w:p>
      <w:pPr>
        <w:pStyle w:val="Q4Body"/>
      </w:pPr>
      <w:r>
        <w:t>桥接采用C6的Val_Loss、LB_Average及Loss_Comparability字段，C5只作重叠记录核查。高可比7点属于Pythia同族局部范围；中可比68点含跨验证集及近似报告损失。来源留出按Loss_Source原字符串分组；同一报告的不同写法尚未归并，因此不能声称已排除同报告信息相关。</w:t>
      </w:r>
    </w:p>
    <w:p>
      <w:pPr>
        <w:pStyle w:val="Q4Body"/>
      </w:pPr>
      <w:r>
        <w:t>主情景两期损失经高可比桥接均返回缺失；中可比层均为27.51分，95%区间分别为[20.21,34.99]和[20.56,34.35]。相同点估计源于等渗函数的平台段。它与45.83、51.30分的差异同时涉及响应形式、评测来源和时间假设，不将两种结果求平均。</w:t>
      </w:r>
    </w:p>
    <w:p>
      <w:pPr>
        <w:pStyle w:val="Q4H2"/>
      </w:pPr>
      <w:r>
        <w:t>四 C  前沿求解与独立分类型对照</w:t>
      </w:r>
    </w:p>
    <w:p>
      <w:pPr>
        <w:pStyle w:val="Q4Body"/>
      </w:pPr>
      <w:r>
        <w:t>算力样本限定在2022年1月1日至2025年3月13日之间发布，权重开放、算力为正、未标注底模、非明显混合专家且置信标记非Speculative的语言建模、代码生成或对话模型，共215个。季度算力90%分位采用对数时间最小二乘拟合，时间原点为2022年1月1日。</w:t>
      </w:r>
    </w:p>
    <w:p>
      <w:pPr>
        <w:pStyle w:val="Q4Body"/>
        <w:keepNext/>
      </w:pPr>
      <w:r>
        <w:t>条件分位响应通过以下线性规划求解，τ=0.9：</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eqArr>
                  <m:eqArrPr>
                    <m:ctrlPr>
                      <w:rPr>
                        <w:rFonts w:ascii="Cambria Math" w:hAnsi="Cambria Math"/>
                      </w:rPr>
                    </m:ctrlPr>
                  </m:eqArrPr>
                  <m:e>
                    <m:r>
                      <m:rPr>
                        <m:sty m:val="p"/>
                      </m:rPr>
                      <w:rPr>
                        <w:rFonts w:ascii="Cambria Math" w:hAnsi="Cambria Math" w:hint="eastAsia"/>
                      </w:rPr>
                      <m:t>min</m:t>
                    </m:r>
                    <m:r>
                      <w:rPr>
                        <w:rFonts w:ascii="MS Gothic" w:eastAsia="MS Gothic" w:hAnsi="MS Gothic" w:cs="MS Gothic" w:hint="eastAsia"/>
                      </w:rPr>
                      <m:t> </m:t>
                    </m:r>
                    <m:r>
                      <w:rPr>
                        <w:rFonts w:ascii="Cambria Math" w:hAnsi="Cambria Math" w:hint="eastAsia"/>
                      </w:rPr>
                      <m:t>τ</m:t>
                    </m:r>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e>
                    </m:nary>
                    <m:r>
                      <m:rPr>
                        <m:sty m:val="p"/>
                      </m:rPr>
                      <w:rPr>
                        <w:rFonts w:ascii="Cambria Math" w:hAnsi="Cambria Math" w:hint="eastAsia"/>
                      </w:rPr>
                      <m:t>+</m:t>
                    </m:r>
                    <m:d>
                      <m:dPr>
                        <m:ctrlPr>
                          <w:rPr>
                            <w:rFonts w:ascii="Cambria Math" w:hAnsi="Cambria Math"/>
                          </w:rPr>
                        </m:ctrlPr>
                      </m:dPr>
                      <m:e>
                        <m:r>
                          <w:rPr>
                            <w:rFonts w:ascii="Cambria Math" w:hAnsi="Cambria Math" w:hint="eastAsia"/>
                          </w:rPr>
                          <m:t>1</m:t>
                        </m:r>
                        <m:r>
                          <m:rPr>
                            <m:sty m:val="p"/>
                          </m:rPr>
                          <w:rPr>
                            <w:rFonts w:ascii="微软雅黑" w:eastAsia="微软雅黑" w:hAnsi="微软雅黑" w:cs="微软雅黑" w:hint="eastAsia"/>
                          </w:rPr>
                          <m:t>-</m:t>
                        </m:r>
                        <m:r>
                          <w:rPr>
                            <w:rFonts w:ascii="Cambria Math" w:hAnsi="Cambria Math" w:hint="eastAsia"/>
                          </w:rPr>
                          <m:t>τ</m:t>
                        </m:r>
                      </m:e>
                    </m:d>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e>
                    </m:nary>
                    <m:r>
                      <m:rPr>
                        <m:sty m:val="p"/>
                      </m:rPr>
                      <w:rPr>
                        <w:rFonts w:ascii="Cambria Math" w:hAnsi="Cambria Math" w:hint="eastAsia"/>
                      </w:rPr>
                      <m:t>,</m:t>
                    </m:r>
                  </m:e>
                  <m:e>
                    <m:r>
                      <m:rPr>
                        <m:nor/>
                      </m:rPr>
                      <w:rPr>
                        <w:rFonts w:hint="eastAsia"/>
                      </w:rPr>
                      <m:t>s.t.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τ</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微软雅黑" w:eastAsia="微软雅黑" w:hAnsi="微软雅黑" w:cs="微软雅黑"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e>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e>
                </m:eqArr>
              </m:oMath>
            </m:oMathPara>
          </w:p>
        </w:tc>
        <w:tc>
          <w:tcPr>
            <w:tcW w:w="1070" w:type="dxa"/>
            <w:tcMar>
              <w:top w:w="0" w:type="dxa"/>
              <w:left w:w="0" w:type="dxa"/>
              <w:bottom w:w="0" w:type="dxa"/>
              <w:right w:w="0" w:type="dxa"/>
            </w:tcMar>
            <w:vAlign w:val="center"/>
          </w:tcPr>
          <w:p>
            <w:pPr>
              <w:pStyle w:val="Q4Equation"/>
              <w:jc w:val="right"/>
            </w:pPr>
            <w:r>
              <w:t>(四-6)</w:t>
            </w:r>
          </w:p>
        </w:tc>
      </w:tr>
    </w:tbl>
    <w:p>
      <w:pPr>
        <w:pStyle w:val="Q4Body"/>
        <w:keepNext/>
      </w:pPr>
      <w:r>
        <w:t>分位残差由非负e⁺、e⁻表示。</w:t>
      </w:r>
      <m:oMath>
        <m:sSub>
          <m:e>
            <m:r>
              <m:t>κ</m:t>
            </m:r>
          </m:e>
          <m:sub>
            <m:r>
              <m:t>τ</m:t>
            </m:r>
          </m:sub>
        </m:sSub>
      </m:oMath>
      <w:r>
        <w:t>≥0，截距和时间系数不受符号限制。式（8-11）中的起点logit为：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z</m:t>
                    </m:r>
                  </m:e>
                  <m:sub>
                    <m:r>
                      <m:rPr>
                        <m:sty m:val="p"/>
                      </m:rPr>
                      <w:rPr>
                        <w:rFonts w:ascii="MS Gothic" w:eastAsia="MS Gothic" w:hAnsi="MS Gothic" w:cs="MS Gothic" w:hint="eastAsia"/>
                      </w:rPr>
                      <m: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τ</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w:rPr>
                    <w:rFonts w:ascii="Cambria Math" w:hAnsi="Cambria Math" w:hint="eastAsia"/>
                  </w:rPr>
                  <m:t>x</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t</m:t>
                    </m:r>
                  </m:e>
                  <m:sub>
                    <m:r>
                      <m:rPr>
                        <m:sty m:val="p"/>
                      </m:rPr>
                      <w:rPr>
                        <w:rFonts w:ascii="MS Gothic" w:eastAsia="MS Gothic" w:hAnsi="MS Gothic" w:cs="MS Gothic" w:hint="eastAsia"/>
                      </w:rPr>
                      <m:t>⋆</m:t>
                    </m:r>
                  </m:sub>
                </m:sSub>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(四-7)</w:t>
            </w:r>
          </w:p>
        </w:tc>
      </w:tr>
    </w:tbl>
    <w:p>
      <w:pPr>
        <w:pStyle w:val="Q4Body"/>
      </w:pPr>
      <w:r>
        <w:t>t⋆按历史响应的2023年1月1日原点计算。机构及算力元数据重抽样400次，重估分位系数、预算起点与增长趋势，问题二参数固定。质量固定在同一上限的快速求解曾在5.88×10²³—6.05×10²⁵ FLOPs的15个预算点与完整求解器核对，均达到上限且损失相对误差为0；主路径预算最大相对残差为2.51×10⁻¹⁶。这些检查验证计算一致性，不能验证真实训练效果。</w:t>
      </w:r>
    </w:p>
    <w:p>
      <w:pPr>
        <w:pStyle w:val="Q4Body"/>
        <w:keepNext/>
      </w:pPr>
      <w:r>
        <w:t>大样本对照按模型类型g分别估计：</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q</m:t>
                    </m:r>
                  </m:e>
                  <m:sub>
                    <m:r>
                      <w:rPr>
                        <w:rFonts w:ascii="Cambria Math" w:hAnsi="Cambria Math" w:hint="eastAsia"/>
                      </w:rPr>
                      <m:t>τ</m:t>
                    </m:r>
                  </m:sub>
                </m:sSub>
                <m:d>
                  <m:dPr>
                    <m:ctrlPr>
                      <w:rPr>
                        <w:rFonts w:ascii="Cambria Math" w:hAnsi="Cambria Math"/>
                      </w:rPr>
                    </m:ctrlPr>
                  </m:dPr>
                  <m:e>
                    <m:r>
                      <w:rPr>
                        <w:rFonts w:ascii="Cambria Math" w:hAnsi="Cambria Math" w:hint="eastAsia"/>
                      </w:rPr>
                      <m:t>Z</m:t>
                    </m:r>
                    <m:r>
                      <m:rPr>
                        <m:sty m:val="p"/>
                      </m:rPr>
                      <w:rPr>
                        <w:rFonts w:ascii="Cambria Math" w:hAnsi="Cambria Math" w:hint="eastAsia"/>
                      </w:rPr>
                      <m:t>∣</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r>
                      <w:rPr>
                        <w:rFonts w:ascii="Cambria Math" w:hAnsi="Cambria Math" w:hint="eastAsia"/>
                      </w:rPr>
                      <m:t>g</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m:rPr>
                        <m:sty m:val="p"/>
                      </m:rPr>
                      <w:rPr>
                        <w:rFonts w:ascii="Cambria Math" w:hAnsi="Cambria Math" w:hint="eastAsia"/>
                      </w:rPr>
                      <m:t>0,</m:t>
                    </m:r>
                    <m:r>
                      <w:rPr>
                        <w:rFonts w:ascii="Cambria Math" w:hAnsi="Cambria Math" w:hint="eastAsia"/>
                      </w:rPr>
                      <m:t>g</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N</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T</m:t>
                    </m:r>
                    <m:r>
                      <m:rPr>
                        <m:sty m:val="p"/>
                      </m:rPr>
                      <w:rPr>
                        <w:rFonts w:ascii="Cambria Math" w:hAnsi="Cambria Math" w:hint="eastAsia"/>
                      </w:rPr>
                      <m:t>,</m:t>
                    </m:r>
                    <m:r>
                      <w:rPr>
                        <w:rFonts w:ascii="Cambria Math" w:hAnsi="Cambria Math" w:hint="eastAsia"/>
                      </w:rPr>
                      <m:t>g</m:t>
                    </m:r>
                  </m:sub>
                </m:sSub>
                <m:r>
                  <w:rPr>
                    <w:rFonts w:ascii="Cambria Math" w:hAnsi="Cambria Math" w:hint="eastAsia"/>
                  </w:rPr>
                  <m:t>T</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τ</m:t>
                </m:r>
                <m:r>
                  <m:rPr>
                    <m:sty m:val="p"/>
                  </m:rPr>
                  <w:rPr>
                    <w:rFonts w:ascii="Cambria Math" w:hAnsi="Cambria Math" w:hint="eastAsia"/>
                  </w:rPr>
                  <m:t>=0.9.</m:t>
                </m:r>
              </m:oMath>
            </m:oMathPara>
          </w:p>
        </w:tc>
        <w:tc>
          <w:tcPr>
            <w:tcW w:w="1070" w:type="dxa"/>
            <w:tcMar>
              <w:top w:w="0" w:type="dxa"/>
              <w:left w:w="0" w:type="dxa"/>
              <w:bottom w:w="0" w:type="dxa"/>
              <w:right w:w="0" w:type="dxa"/>
            </w:tcMar>
            <w:vAlign w:val="center"/>
          </w:tcPr>
          <w:p>
            <w:pPr>
              <w:pStyle w:val="Q4Equation"/>
              <w:jc w:val="right"/>
            </w:pPr>
            <w:r>
              <w:t>(四-8)</w:t>
            </w:r>
          </w:p>
        </w:tc>
      </w:tr>
    </w:tbl>
    <w:p>
      <w:pPr>
        <w:pStyle w:val="Q4Body"/>
      </w:pPr>
      <w:r>
        <w:t>其中</w:t>
      </w:r>
      <m:oMath>
        <m:sSub>
          <m:e>
            <m:r>
              <m:t>b</m:t>
            </m:r>
          </m:e>
          <m:sub>
            <m:r>
              <m:t>N,g</m:t>
            </m:r>
          </m:sub>
        </m:sSub>
      </m:oMath>
      <w:r>
        <w:t>≥0，榜单时间原点为2024年6月1日。最近三个月的对数参数分布为参照，无近期记录则采用全部训练记录；未来平移量为ν/(α+ν)·ln(</w:t>
      </w:r>
      <m:oMath>
        <m:sSub>
          <m:e>
            <m:r>
              <m:t>C</m:t>
            </m:r>
          </m:e>
          <m:sub>
            <m:r>
              <m:t>h</m:t>
            </m:r>
          </m:sub>
        </m:sSub>
      </m:oMath>
      <w:r>
        <w:t>/C⋆)，这是对照模型的外推规则。分别在参数分布和拟合残差分布取101个中点分位，交叉组合后取预测分布90%分位，技术时间采用24个月半衰期。表四-1的区间仅按发布机构重抽样能力样本，算力趋势固定；与表8-3同时重抽样算力元数据的口径不同。</w:t>
      </w:r>
    </w:p>
    <w:p>
      <w:pPr>
        <w:pStyle w:val="Q4Caption"/>
        <w:keepNext/>
      </w:pPr>
      <w:r>
        <w:t>表四-1  分类型总体前沿的长期情景对照</w:t>
      </w:r>
    </w:p>
    <w:tbl>
      <w:tblPr>
        <w:tblW w:type="auto" w:w="0"/>
        <w:tblLayout w:type="fixed"/>
        <w:tblLook w:firstColumn="1" w:firstRow="1" w:lastColumn="0" w:lastRow="0" w:noHBand="0" w:noVBand="1" w:val="04A0"/>
      </w:tblPr>
      <w:tblGrid>
        <w:gridCol w:w="1814"/>
        <w:gridCol w:w="3628"/>
        <w:gridCol w:w="3628"/>
      </w:tblGrid>
      <w:tr>
        <w:trPr>
          <w:cantSplit/>
          <w:tblHeader/>
        </w:trPr>
        <w:tc>
          <w:tcPr>
            <w:tcW w:type="dxa" w:w="1814"/>
            <w:tcBorders>
              <w:top w:val="single" w:sz="8"/>
              <w:bottom w:val="single" w:sz="4"/>
              <w:left w:val="nil" w:sz="4"/>
              <w:right w:val="nil" w:sz="4"/>
            </w:tcBorders>
          </w:tcPr>
          <w:p>
            <w:pPr>
              <w:pStyle w:val="Q4Table"/>
              <w:keepNext/>
              <w:spacing w:after="80" w:before="80"/>
              <w:jc w:val="left"/>
            </w:pPr>
            <w:r>
              <w:rPr>
                <w:b/>
              </w:rPr>
              <w:t>类型</w:t>
            </w:r>
          </w:p>
        </w:tc>
        <w:tc>
          <w:tcPr>
            <w:tcW w:type="dxa" w:w="3628"/>
            <w:tcBorders>
              <w:top w:val="single" w:sz="8"/>
              <w:bottom w:val="single" w:sz="4"/>
              <w:left w:val="nil" w:sz="4"/>
              <w:right w:val="nil" w:sz="4"/>
            </w:tcBorders>
          </w:tcPr>
          <w:p>
            <w:pPr>
              <w:pStyle w:val="Q4Table"/>
              <w:keepNext/>
              <w:spacing w:after="80" w:before="80"/>
              <w:jc w:val="center"/>
            </w:pPr>
            <w:r>
              <w:rPr>
                <w:b/>
              </w:rPr>
              <w:t>12个月前沿及95%区间 / 分</w:t>
            </w:r>
          </w:p>
        </w:tc>
        <w:tc>
          <w:tcPr>
            <w:tcW w:type="dxa" w:w="3628"/>
            <w:tcBorders>
              <w:top w:val="single" w:sz="8"/>
              <w:bottom w:val="single" w:sz="4"/>
              <w:left w:val="nil" w:sz="4"/>
              <w:right w:val="nil" w:sz="4"/>
            </w:tcBorders>
          </w:tcPr>
          <w:p>
            <w:pPr>
              <w:pStyle w:val="Q4Table"/>
              <w:keepNext/>
              <w:spacing w:after="80" w:before="80"/>
              <w:jc w:val="center"/>
            </w:pPr>
            <w:r>
              <w:rPr>
                <w:b/>
              </w:rPr>
              <w:t>24个月前沿及95%区间 / 分</w:t>
            </w:r>
          </w:p>
        </w:tc>
      </w:tr>
      <w:tr>
        <w:trPr>
          <w:cantSplit/>
        </w:trPr>
        <w:tc>
          <w:tcPr>
            <w:tcW w:type="dxa" w:w="1814"/>
            <w:tcBorders>
              <w:top w:val="nil" w:sz="4"/>
              <w:bottom w:val="nil" w:sz="4"/>
              <w:left w:val="nil" w:sz="4"/>
              <w:right w:val="nil" w:sz="4"/>
            </w:tcBorders>
          </w:tcPr>
          <w:p>
            <w:pPr>
              <w:pStyle w:val="Q4Table"/>
              <w:keepNext/>
              <w:spacing w:after="80" w:before="80"/>
              <w:jc w:val="left"/>
            </w:pPr>
            <w:r>
              <w:t>基础</w:t>
            </w:r>
          </w:p>
        </w:tc>
        <w:tc>
          <w:tcPr>
            <w:tcW w:type="dxa" w:w="3628"/>
            <w:tcBorders>
              <w:top w:val="nil" w:sz="4"/>
              <w:bottom w:val="nil" w:sz="4"/>
              <w:left w:val="nil" w:sz="4"/>
              <w:right w:val="nil" w:sz="4"/>
            </w:tcBorders>
          </w:tcPr>
          <w:p>
            <w:pPr>
              <w:pStyle w:val="Q4Table"/>
              <w:keepNext/>
              <w:spacing w:after="80" w:before="80"/>
              <w:jc w:val="center"/>
            </w:pPr>
            <w:r>
              <w:t>22.72 [12.16,47.59]</w:t>
            </w:r>
          </w:p>
        </w:tc>
        <w:tc>
          <w:tcPr>
            <w:tcW w:type="dxa" w:w="3628"/>
            <w:tcBorders>
              <w:top w:val="nil" w:sz="4"/>
              <w:bottom w:val="nil" w:sz="4"/>
              <w:left w:val="nil" w:sz="4"/>
              <w:right w:val="nil" w:sz="4"/>
            </w:tcBorders>
          </w:tcPr>
          <w:p>
            <w:pPr>
              <w:pStyle w:val="Q4Table"/>
              <w:keepNext/>
              <w:spacing w:after="80" w:before="80"/>
              <w:jc w:val="center"/>
            </w:pPr>
            <w:r>
              <w:t>26.46 [11.70,63.21]</w:t>
            </w:r>
          </w:p>
        </w:tc>
      </w:tr>
      <w:tr>
        <w:trPr>
          <w:cantSplit/>
        </w:trPr>
        <w:tc>
          <w:tcPr>
            <w:tcW w:type="dxa" w:w="1814"/>
            <w:tcBorders>
              <w:top w:val="nil" w:sz="4"/>
              <w:bottom w:val="nil" w:sz="4"/>
              <w:left w:val="nil" w:sz="4"/>
              <w:right w:val="nil" w:sz="4"/>
            </w:tcBorders>
          </w:tcPr>
          <w:p>
            <w:pPr>
              <w:pStyle w:val="Q4Table"/>
              <w:keepNext/>
              <w:spacing w:after="80" w:before="80"/>
              <w:jc w:val="left"/>
            </w:pPr>
            <w:r>
              <w:t>对话／微调</w:t>
            </w:r>
          </w:p>
        </w:tc>
        <w:tc>
          <w:tcPr>
            <w:tcW w:type="dxa" w:w="3628"/>
            <w:tcBorders>
              <w:top w:val="nil" w:sz="4"/>
              <w:bottom w:val="nil" w:sz="4"/>
              <w:left w:val="nil" w:sz="4"/>
              <w:right w:val="nil" w:sz="4"/>
            </w:tcBorders>
          </w:tcPr>
          <w:p>
            <w:pPr>
              <w:pStyle w:val="Q4Table"/>
              <w:keepNext/>
              <w:spacing w:after="80" w:before="80"/>
              <w:jc w:val="center"/>
            </w:pPr>
            <w:r>
              <w:t>55.69 [49.12,60.68]</w:t>
            </w:r>
          </w:p>
        </w:tc>
        <w:tc>
          <w:tcPr>
            <w:tcW w:type="dxa" w:w="3628"/>
            <w:tcBorders>
              <w:top w:val="nil" w:sz="4"/>
              <w:bottom w:val="nil" w:sz="4"/>
              <w:left w:val="nil" w:sz="4"/>
              <w:right w:val="nil" w:sz="4"/>
            </w:tcBorders>
          </w:tcPr>
          <w:p>
            <w:pPr>
              <w:pStyle w:val="Q4Table"/>
              <w:keepNext/>
              <w:spacing w:after="80" w:before="80"/>
              <w:jc w:val="center"/>
            </w:pPr>
            <w:r>
              <w:t>66.81 [57.31,72.75]</w:t>
            </w:r>
          </w:p>
        </w:tc>
      </w:tr>
      <w:tr>
        <w:trPr>
          <w:cantSplit/>
        </w:trPr>
        <w:tc>
          <w:tcPr>
            <w:tcW w:type="dxa" w:w="1814"/>
            <w:tcBorders>
              <w:top w:val="nil" w:sz="4"/>
              <w:bottom w:val="single" w:sz="4"/>
              <w:left w:val="nil" w:sz="4"/>
              <w:right w:val="nil" w:sz="4"/>
            </w:tcBorders>
          </w:tcPr>
          <w:p>
            <w:pPr>
              <w:pStyle w:val="Q4Table"/>
              <w:keepNext w:val="0"/>
              <w:spacing w:after="80" w:before="80"/>
              <w:jc w:val="left"/>
            </w:pPr>
            <w:r>
              <w:t>合并</w:t>
            </w:r>
          </w:p>
        </w:tc>
        <w:tc>
          <w:tcPr>
            <w:tcW w:type="dxa" w:w="3628"/>
            <w:tcBorders>
              <w:top w:val="nil" w:sz="4"/>
              <w:bottom w:val="single" w:sz="4"/>
              <w:left w:val="nil" w:sz="4"/>
              <w:right w:val="nil" w:sz="4"/>
            </w:tcBorders>
          </w:tcPr>
          <w:p>
            <w:pPr>
              <w:pStyle w:val="Q4Table"/>
              <w:keepNext w:val="0"/>
              <w:spacing w:after="80" w:before="80"/>
              <w:jc w:val="center"/>
            </w:pPr>
            <w:r>
              <w:t>62.49 [53.34,69.48]</w:t>
            </w:r>
          </w:p>
        </w:tc>
        <w:tc>
          <w:tcPr>
            <w:tcW w:type="dxa" w:w="3628"/>
            <w:tcBorders>
              <w:top w:val="nil" w:sz="4"/>
              <w:bottom w:val="single" w:sz="4"/>
              <w:left w:val="nil" w:sz="4"/>
              <w:right w:val="nil" w:sz="4"/>
            </w:tcBorders>
          </w:tcPr>
          <w:p>
            <w:pPr>
              <w:pStyle w:val="Q4Table"/>
              <w:keepNext w:val="0"/>
              <w:spacing w:after="80" w:before="80"/>
              <w:jc w:val="center"/>
            </w:pPr>
            <w:r>
              <w:t>75.02 [63.32,82.80]</w:t>
            </w:r>
          </w:p>
        </w:tc>
      </w:tr>
    </w:tbl>
    <w:p>
      <w:pPr>
        <w:pStyle w:val="Q4Body"/>
      </w:pPr>
      <w:r>
        <w:t>表四-1表示类型总体分布的90%分位，表8-3表示问题三最优资源路径上的条件90%分位；统计对象不同。仅对话／微调对照在既有短期回测中胜过上月延续，其他类型的长期数值仅保留为情景对照。</w:t>
      </w:r>
    </w:p>
    <w:sectPr w:rsidR="00FC693F" w:rsidRPr="0006063C" w:rsidSect="00034616">
      <w:footerReference w:type="default" r:id="rId11"/>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4Body">
    <w:name w:val="Q4Body"/>
    <w:pPr>
      <w:widowControl/>
      <w:spacing w:after="80" w:line="360" w:lineRule="exact"/>
      <w:ind w:firstLine="480"/>
      <w:snapToGrid w:val="0"/>
    </w:pPr>
    <w:rPr>
      <w:rFonts w:ascii="Times New Roman" w:hAnsi="Times New Roman" w:eastAsia="Noto Sans SC"/>
      <w:b w:val="0"/>
      <w:color w:val="000000"/>
      <w:sz w:val="24"/>
    </w:rPr>
  </w:style>
  <w:style w:type="paragraph" w:customStyle="1" w:styleId="Q4Title">
    <w:name w:val="Q4Title"/>
    <w:basedOn w:val="Title"/>
    <w:pPr>
      <w:keepNext/>
      <w:widowControl/>
      <w:spacing w:after="120" w:line="360" w:lineRule="exact" w:before="200"/>
      <w:outlineLvl w:val="0"/>
      <w:snapToGrid w:val="0"/>
      <w:pBdr>
        <w:top w:val="nil"/>
        <w:left w:val="nil"/>
        <w:bottom w:val="nil"/>
        <w:right w:val="nil"/>
      </w:pBdr>
    </w:pPr>
    <w:rPr>
      <w:rFonts w:ascii="Times New Roman" w:hAnsi="Times New Roman" w:eastAsia="Noto Sans SC"/>
      <w:b/>
      <w:color w:val="000000"/>
      <w:sz w:val="32"/>
    </w:rPr>
  </w:style>
  <w:style w:type="paragraph" w:customStyle="1" w:styleId="Q4H2">
    <w:name w:val="Q4H2"/>
    <w:pPr>
      <w:keepNext/>
      <w:widowControl/>
      <w:spacing w:after="120" w:line="360" w:lineRule="exact" w:before="200"/>
      <w:outlineLvl w:val="1"/>
      <w:snapToGrid w:val="0"/>
    </w:pPr>
    <w:rPr>
      <w:rFonts w:ascii="Times New Roman" w:hAnsi="Times New Roman" w:eastAsia="Noto Sans SC"/>
      <w:b/>
      <w:color w:val="000000"/>
      <w:sz w:val="26"/>
    </w:rPr>
  </w:style>
  <w:style w:type="paragraph" w:customStyle="1" w:styleId="Q4H3">
    <w:name w:val="Q4H3"/>
    <w:pPr>
      <w:keepNext/>
      <w:widowControl/>
      <w:spacing w:after="120" w:line="360" w:lineRule="exact" w:before="200"/>
      <w:outlineLvl w:val="2"/>
      <w:snapToGrid w:val="0"/>
    </w:pPr>
    <w:rPr>
      <w:rFonts w:ascii="Times New Roman" w:hAnsi="Times New Roman" w:eastAsia="Noto Sans SC"/>
      <w:b/>
      <w:color w:val="000000"/>
      <w:sz w:val="24"/>
    </w:rPr>
  </w:style>
  <w:style w:type="paragraph" w:customStyle="1" w:styleId="Q4Caption">
    <w:name w:val="Q4Caption"/>
    <w:pPr>
      <w:widowControl/>
      <w:spacing w:after="80" w:line="290" w:lineRule="exact"/>
      <w:ind w:firstLine="0"/>
      <w:snapToGrid w:val="0"/>
    </w:pPr>
    <w:rPr>
      <w:rFonts w:ascii="Times New Roman" w:hAnsi="Times New Roman" w:eastAsia="Noto Sans SC"/>
      <w:b w:val="0"/>
      <w:color w:val="000000"/>
      <w:sz w:val="21"/>
    </w:rPr>
  </w:style>
  <w:style w:type="paragraph" w:customStyle="1" w:styleId="Q4Table">
    <w:name w:val="Q4Table"/>
    <w:pPr>
      <w:widowControl/>
      <w:spacing w:after="80" w:line="290" w:lineRule="exact"/>
      <w:ind w:firstLine="0"/>
      <w:snapToGrid w:val="0"/>
    </w:pPr>
    <w:rPr>
      <w:rFonts w:ascii="Times New Roman" w:hAnsi="Times New Roman" w:eastAsia="Noto Sans SC"/>
      <w:b w:val="0"/>
      <w:color w:val="000000"/>
      <w:sz w:val="21"/>
    </w:rPr>
  </w:style>
  <w:style w:type="paragraph" w:customStyle="1" w:styleId="Q4Equation">
    <w:name w:val="Q4Equation"/>
    <w:pPr>
      <w:widowControl/>
      <w:spacing w:after="80" w:line="240" w:lineRule="auto"/>
      <w:ind w:firstLine="0"/>
      <w:snapToGrid w:val="0"/>
    </w:pPr>
    <w:rPr>
      <w:rFonts w:ascii="Times New Roman" w:hAnsi="Times New Roman" w:eastAsia="Noto Sans SC"/>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