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svg" ContentType="image/sv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四问结果分析与论文插图</w:t>
      </w:r>
    </w:p>
    <w:p>
      <w:pPr>
        <w:jc w:val="center"/>
      </w:pPr>
      <w:r>
        <w:rPr>
          <w:color w:val="64707A"/>
          <w:sz w:val="22"/>
        </w:rPr>
        <w:t>按 Notebook 执行顺序整理的 43 张 SVG 矢量图</w:t>
      </w:r>
    </w:p>
    <w:p>
      <w:r>
        <w:t>本册将四问正式 Notebook 的计算结果按执行步骤归档。每幅图前先说明所检验的关系和可支持的结论，再嵌入对应 SVG；训练拟合、留出验证、条件预测与未识别假设分别说明。问题一至四各自独立成章，图号按正文预计出现顺序连续编号。</w:t>
      </w:r>
    </w:p>
    <w:p>
      <w:pPr>
        <w:pStyle w:val="Heading1"/>
      </w:pPr>
      <w:r>
        <w:t>问题一 质量评价与领域配比</w:t>
      </w:r>
    </w:p>
    <w:p>
      <w:pPr>
        <w:pStyle w:val="Heading2"/>
        <w:keepNext/>
      </w:pPr>
      <w:r>
        <w:t>执行步骤 1  指标方向统一与分布检查</w:t>
      </w:r>
    </w:p>
    <w:p>
      <w:pPr>
        <w:keepNext/>
      </w:pPr>
      <w:r>
        <w:t>图中汇总22项指标经方向统一和预处理后的分布。偏态及尺度差异说明需要逐指标标准化处理；该图用于检查输入形态，不单独说明质量优劣。</w:t>
      </w:r>
    </w:p>
    <w:p>
      <w:r>
        <w:drawing>
          <wp:inline xmlns:a="http://schemas.openxmlformats.org/drawingml/2006/main" xmlns:pic="http://schemas.openxmlformats.org/drawingml/2006/picture">
            <wp:extent cx="5596128" cy="3538290"/>
            <wp:docPr id="1" name="Picture 1" descr="指标方向统一与分布检查。图中汇总22项指标经方向统一和预处理后的分布。偏态及尺度差异说明需要逐指标标准化处理；该图用于检查输入形态，不单独说明质量优劣。" title="指标方向统一与分布检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_indicator_distributions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ns0:svgBlip xmlns:ns0="http://schemas.microsoft.com/office/drawing/2016/SVG/main" r:embed="rIdSVG00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3538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97076"/>
          <w:sz w:val="18"/>
        </w:rPr>
        <w:t>图 1  指标方向统一与分布检查</w:t>
      </w:r>
    </w:p>
    <w:p>
      <w:pPr>
        <w:pStyle w:val="Heading2"/>
        <w:keepNext/>
      </w:pPr>
      <w:r>
        <w:t>执行步骤 2  22项指标相关结构</w:t>
      </w:r>
    </w:p>
    <w:p>
      <w:pPr>
        <w:keepNext/>
      </w:pPr>
      <w:r>
        <w:t>相关热图展示指标间冗余与反向关系，聚类只改变显示顺序。主模型依据平方相关计算冗余度并赋权，因此此图解释权重校正的依据，而非把指标另分成中间维度。</w:t>
      </w:r>
    </w:p>
    <w:p>
      <w:r>
        <w:drawing>
          <wp:inline xmlns:a="http://schemas.openxmlformats.org/drawingml/2006/main" xmlns:pic="http://schemas.openxmlformats.org/drawingml/2006/picture">
            <wp:extent cx="5596128" cy="5015052"/>
            <wp:docPr id="2" name="Picture 2" descr="22项指标相关结构。相关热图展示指标间冗余与反向关系，聚类只改变显示顺序。主模型依据平方相关计算冗余度并赋权，因此此图解释权重校正的依据，而非把指标另分成中间维度。" title="22项指标相关结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2_corr_cluster_heatmap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ns1:svgBlip xmlns:ns1="http://schemas.microsoft.com/office/drawing/2016/SVG/main" r:embed="rIdSVG00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5015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97076"/>
          <w:sz w:val="18"/>
        </w:rPr>
        <w:t>图 2  22项指标相关结构</w:t>
      </w:r>
    </w:p>
    <w:p>
      <w:pPr>
        <w:pStyle w:val="Heading2"/>
        <w:keepNext/>
      </w:pPr>
      <w:r>
        <w:t>执行步骤 3  平方相关冗余赋权</w:t>
      </w:r>
    </w:p>
    <w:p>
      <w:pPr>
        <w:keepNext/>
      </w:pPr>
      <w:r>
        <w:t>权重图显示22项指标经过平方相关冗余校正后的相对贡献。各指标仍直接进入质量评价，较高权重表示冗余校正后的相对信息量较大，不代表因果重要性。</w:t>
      </w:r>
    </w:p>
    <w:p>
      <w:r>
        <w:drawing>
          <wp:inline xmlns:a="http://schemas.openxmlformats.org/drawingml/2006/main" xmlns:pic="http://schemas.openxmlformats.org/drawingml/2006/picture">
            <wp:extent cx="5596128" cy="4463713"/>
            <wp:docPr id="3" name="Picture 3" descr="平方相关冗余赋权。权重图显示22项指标经过平方相关冗余校正后的相对贡献。各指标仍直接进入质量评价，较高权重表示冗余校正后的相对信息量较大，不代表因果重要性。" title="平方相关冗余赋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3_weights_redundancy22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ns2:svgBlip xmlns:ns2="http://schemas.microsoft.com/office/drawing/2016/SVG/main" r:embed="rIdSVG00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4463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97076"/>
          <w:sz w:val="18"/>
        </w:rPr>
        <w:t>图 3  平方相关冗余赋权</w:t>
      </w:r>
    </w:p>
    <w:p>
      <w:pPr>
        <w:pStyle w:val="Heading2"/>
        <w:keepNext/>
      </w:pPr>
      <w:r>
        <w:t>执行步骤 4  领域质量分布与均值</w:t>
      </w:r>
    </w:p>
    <w:p>
      <w:pPr>
        <w:keepNext/>
      </w:pPr>
      <w:r>
        <w:t>该图比较抽样领域和扩展数据中的质量分布及均值区间。结果体现领域间存在异质性；置信区间描述抽样不确定性，不能外推成领域质量的因果差异。</w:t>
      </w:r>
    </w:p>
    <w:p>
      <w:r>
        <w:drawing>
          <wp:inline xmlns:a="http://schemas.openxmlformats.org/drawingml/2006/main" xmlns:pic="http://schemas.openxmlformats.org/drawingml/2006/picture">
            <wp:extent cx="5596128" cy="3888752"/>
            <wp:docPr id="4" name="Picture 4" descr="领域质量分布与均值。该图比较抽样领域和扩展数据中的质量分布及均值区间。结果体现领域间存在异质性；置信区间描述抽样不确定性，不能外推成领域质量的因果差异。" title="领域质量分布与均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4_domain_Q_compare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ns3:svgBlip xmlns:ns3="http://schemas.microsoft.com/office/drawing/2016/SVG/main" r:embed="rIdSVG00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3888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97076"/>
          <w:sz w:val="18"/>
        </w:rPr>
        <w:t>图 4  领域质量分布与均值</w:t>
      </w:r>
    </w:p>
    <w:p>
      <w:pPr>
        <w:pStyle w:val="Heading2"/>
        <w:keepNext/>
      </w:pPr>
      <w:r>
        <w:t>执行步骤 5  Pearson冲突候选对定义</w:t>
      </w:r>
    </w:p>
    <w:p>
      <w:pPr>
        <w:keepNext/>
      </w:pPr>
      <w:r>
        <w:t>图中按 r≤−0.30 标记反向相关候选对，并展示最强反向相关关系。阈值是冲突诊断口径；它用于定位指标张力，不改变质量分的构造。</w:t>
      </w:r>
    </w:p>
    <w:p>
      <w:r>
        <w:drawing>
          <wp:inline xmlns:a="http://schemas.openxmlformats.org/drawingml/2006/main" xmlns:pic="http://schemas.openxmlformats.org/drawingml/2006/picture">
            <wp:extent cx="5596128" cy="2227184"/>
            <wp:docPr id="5" name="Picture 5" descr="Pearson冲突候选对定义。图中按 r≤−0.30 标记反向相关候选对，并展示最强反向相关关系。阈值是冲突诊断口径；它用于定位指标张力，不改变质量分的构造。" title="Pearson冲突候选对定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5_pearson_conflict_definition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ns4:svgBlip xmlns:ns4="http://schemas.microsoft.com/office/drawing/2016/SVG/main" r:embed="rIdSVG00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2227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97076"/>
          <w:sz w:val="18"/>
        </w:rPr>
        <w:t>图 5  Pearson冲突候选对定义</w:t>
      </w:r>
    </w:p>
    <w:p>
      <w:pPr>
        <w:pStyle w:val="Heading2"/>
        <w:keepNext/>
      </w:pPr>
      <w:r>
        <w:t>执行步骤 6  冲突信号的领域与长度分布</w:t>
      </w:r>
    </w:p>
    <w:p>
      <w:pPr>
        <w:keepNext/>
      </w:pPr>
      <w:r>
        <w:t>图中并列展示领域冲突信号比例、代表性反向指标对及冲突强度与文本长度的关系。它用于描述冲突出现在哪里；领域校准和相关诊断不能证明误判已消除。</w:t>
      </w:r>
    </w:p>
    <w:p>
      <w:r>
        <w:drawing>
          <wp:inline xmlns:a="http://schemas.openxmlformats.org/drawingml/2006/main" xmlns:pic="http://schemas.openxmlformats.org/drawingml/2006/picture">
            <wp:extent cx="5596128" cy="1833367"/>
            <wp:docPr id="6" name="Picture 6" descr="冲突信号的领域与长度分布。图中并列展示领域冲突信号比例、代表性反向指标对及冲突强度与文本长度的关系。它用于描述冲突出现在哪里；领域校准和相关诊断不能证明误判已消除。" title="冲突信号的领域与长度分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6_conflict_causes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ns5:svgBlip xmlns:ns5="http://schemas.microsoft.com/office/drawing/2016/SVG/main" r:embed="rIdSVG00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1833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97076"/>
          <w:sz w:val="18"/>
        </w:rPr>
        <w:t>图 6  冲突信号的领域与长度分布</w:t>
      </w:r>
    </w:p>
    <w:p>
      <w:pPr>
        <w:pStyle w:val="Heading2"/>
        <w:keepNext/>
      </w:pPr>
      <w:r>
        <w:t>执行步骤 7  指数凹聚合的冲突消解效果</w:t>
      </w:r>
    </w:p>
    <w:p>
      <w:pPr>
        <w:keepNext/>
      </w:pPr>
      <w:r>
        <w:t>图中比较线性综合分与指数凹聚合分、分数调整分布及β敏感性。主设定β=0.25；结果说明聚合规则会改变冲突样本的综合分，Q不应解释为0—1概率。</w:t>
      </w:r>
    </w:p>
    <w:p>
      <w:r>
        <w:drawing>
          <wp:inline xmlns:a="http://schemas.openxmlformats.org/drawingml/2006/main" xmlns:pic="http://schemas.openxmlformats.org/drawingml/2006/picture">
            <wp:extent cx="5596128" cy="2371530"/>
            <wp:docPr id="7" name="Picture 7" descr="指数凹聚合的冲突消解效果。图中比较线性综合分与指数凹聚合分、分数调整分布及β敏感性。主设定β=0.25；结果说明聚合规则会改变冲突样本的综合分，Q不应解释为0—1概率。" title="指数凹聚合的冲突消解效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7_resolution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ns6:svgBlip xmlns:ns6="http://schemas.microsoft.com/office/drawing/2016/SVG/main" r:embed="rIdSVG00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2371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97076"/>
          <w:sz w:val="18"/>
        </w:rPr>
        <w:t>图 7  指数凹聚合的冲突消解效果</w:t>
      </w:r>
    </w:p>
    <w:p>
      <w:pPr>
        <w:pStyle w:val="Heading2"/>
        <w:keepNext/>
      </w:pPr>
      <w:r>
        <w:t>执行步骤 8  未参与评分的内容侧检验</w:t>
      </w:r>
    </w:p>
    <w:p>
      <w:pPr>
        <w:keepNext/>
      </w:pPr>
      <w:r>
        <w:t>图中比较外部内容指标随质量分位的变化，这些变量没有参与评分构造。其用途是提供关联性检验；观察到的趋势不构成质量评分有效性的因果证明。</w:t>
      </w:r>
    </w:p>
    <w:p>
      <w:r>
        <w:drawing>
          <wp:inline xmlns:a="http://schemas.openxmlformats.org/drawingml/2006/main" xmlns:pic="http://schemas.openxmlformats.org/drawingml/2006/picture">
            <wp:extent cx="5596128" cy="1627509"/>
            <wp:docPr id="8" name="Picture 8" descr="未参与评分的内容侧检验。图中比较外部内容指标随质量分位的变化，这些变量没有参与评分构造。其用途是提供关联性检验；观察到的趋势不构成质量评分有效性的因果证明。" title="未参与评分的内容侧检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8_content_check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ns7:svgBlip xmlns:ns7="http://schemas.microsoft.com/office/drawing/2016/SVG/main" r:embed="rIdSVG00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1627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97076"/>
          <w:sz w:val="18"/>
        </w:rPr>
        <w:t>图 8  未参与评分的内容侧检验</w:t>
      </w:r>
    </w:p>
    <w:p>
      <w:pPr>
        <w:pStyle w:val="Heading2"/>
        <w:keepNext/>
      </w:pPr>
      <w:r>
        <w:t>执行步骤 9  扩展数据的冲突复核</w:t>
      </w:r>
    </w:p>
    <w:p>
      <w:pPr>
        <w:keepNext/>
      </w:pPr>
      <w:r>
        <w:t>图中复核扩展来源的反向相关指标对及其分布。扩展结果用于检查冲突结构是否只由A1抽样产生，不把同一轨迹检查点当作独立实验。</w:t>
      </w:r>
    </w:p>
    <w:p>
      <w:r>
        <w:drawing>
          <wp:inline xmlns:a="http://schemas.openxmlformats.org/drawingml/2006/main" xmlns:pic="http://schemas.openxmlformats.org/drawingml/2006/picture">
            <wp:extent cx="5596128" cy="2260042"/>
            <wp:docPr id="9" name="Picture 9" descr="扩展数据的冲突复核。图中复核扩展来源的反向相关指标对及其分布。扩展结果用于检查冲突结构是否只由A1抽样产生，不把同一轨迹检查点当作独立实验。" title="扩展数据的冲突复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9_extended_conflict_check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ns8:svgBlip xmlns:ns8="http://schemas.microsoft.com/office/drawing/2016/SVG/main" r:embed="rIdSVG00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2260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97076"/>
          <w:sz w:val="18"/>
        </w:rPr>
        <w:t>图 9  扩展数据的冲突复核</w:t>
      </w:r>
    </w:p>
    <w:p>
      <w:pPr>
        <w:pStyle w:val="Heading2"/>
        <w:keepNext/>
      </w:pPr>
      <w:r>
        <w:t>执行步骤 10  配比实验数据总览</w:t>
      </w:r>
    </w:p>
    <w:p>
      <w:pPr>
        <w:keepNext/>
      </w:pPr>
      <w:r>
        <w:t>图中展示512组训练配方、13个验证域损失和单域份额与损失的关系。份额与损失呈非线性，支持在配比约束下估计混料响应；这仍是观测关系。</w:t>
      </w:r>
    </w:p>
    <w:p>
      <w:r>
        <w:drawing>
          <wp:inline xmlns:a="http://schemas.openxmlformats.org/drawingml/2006/main" xmlns:pic="http://schemas.openxmlformats.org/drawingml/2006/picture">
            <wp:extent cx="5596128" cy="2280049"/>
            <wp:docPr id="10" name="Picture 10" descr="配比实验数据总览。图中展示512组训练配方、13个验证域损失和单域份额与损失的关系。份额与损失呈非线性，支持在配比约束下估计混料响应；这仍是观测关系。" title="配比实验数据总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0_regmix_overview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ns9:svgBlip xmlns:ns9="http://schemas.microsoft.com/office/drawing/2016/SVG/main" r:embed="rIdSVG0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2280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97076"/>
          <w:sz w:val="18"/>
        </w:rPr>
        <w:t>图 10  配比实验数据总览</w:t>
      </w:r>
    </w:p>
    <w:p>
      <w:pPr>
        <w:pStyle w:val="Heading2"/>
        <w:keepNext/>
      </w:pPr>
      <w:r>
        <w:t>执行步骤 11  四类模型独立检验</w:t>
      </w:r>
    </w:p>
    <w:p>
      <w:pPr>
        <w:keepNext/>
      </w:pPr>
      <w:r>
        <w:t>图中比较线性混料、对数线性混料、加性样条和GBM的预测与实测损失。对数线性模型作为关系解释及约束配比求解主模型，GBM作为预测对照；单项预测排名不等于模型选型结论。</w:t>
      </w:r>
    </w:p>
    <w:p>
      <w:r>
        <w:drawing>
          <wp:inline xmlns:a="http://schemas.openxmlformats.org/drawingml/2006/main" xmlns:pic="http://schemas.openxmlformats.org/drawingml/2006/picture">
            <wp:extent cx="5596128" cy="5539791"/>
            <wp:docPr id="11" name="Picture 11" descr="四类模型独立检验。图中比较线性混料、对数线性混料、加性样条和GBM的预测与实测损失。对数线性模型作为关系解释及约束配比求解主模型，GBM作为预测对照；单项预测排名不等于模型选型结论。" title="四类模型独立检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1_test_pred_vs_actual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ns10:svgBlip xmlns:ns10="http://schemas.microsoft.com/office/drawing/2016/SVG/main" r:embed="rIdSVG0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5539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97076"/>
          <w:sz w:val="18"/>
        </w:rPr>
        <w:t>图 11  四类模型独立检验</w:t>
      </w:r>
    </w:p>
    <w:p>
      <w:pPr>
        <w:pStyle w:val="Heading2"/>
        <w:keepNext/>
      </w:pPr>
      <w:r>
        <w:t>执行步骤 12  对数线性模型边际效应</w:t>
      </w:r>
    </w:p>
    <w:p>
      <w:pPr>
        <w:keepNext/>
      </w:pPr>
      <w:r>
        <w:t>左侧给出配方域系数及区间，右侧展示边际效应如何随配比位置变化。系数和边际效应描述模型内的损失响应，受配方单纯形约束，不能直接解读为领域因果效应。</w:t>
      </w:r>
    </w:p>
    <w:p>
      <w:r>
        <w:drawing>
          <wp:inline xmlns:a="http://schemas.openxmlformats.org/drawingml/2006/main" xmlns:pic="http://schemas.openxmlformats.org/drawingml/2006/picture">
            <wp:extent cx="5596128" cy="2647173"/>
            <wp:docPr id="12" name="Picture 12" descr="对数线性模型边际效应。左侧给出配方域系数及区间，右侧展示边际效应如何随配比位置变化。系数和边际效应描述模型内的损失响应，受配方单纯形约束，不能直接解读为领域因果效应。" title="对数线性模型边际效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2_marginal_effects_forest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ns11:svgBlip xmlns:ns11="http://schemas.microsoft.com/office/drawing/2016/SVG/main" r:embed="rIdSVG0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2647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97076"/>
          <w:sz w:val="18"/>
        </w:rPr>
        <w:t>图 12  对数线性模型边际效应</w:t>
      </w:r>
    </w:p>
    <w:p>
      <w:pPr>
        <w:pStyle w:val="Heading2"/>
        <w:keepNext/>
      </w:pPr>
      <w:r>
        <w:t>执行步骤 13  固定配比下的局部领域替代</w:t>
      </w:r>
    </w:p>
    <w:p>
      <w:pPr>
        <w:keepNext/>
      </w:pPr>
      <w:r>
        <w:t>图中计算将少量配比从一域转到另一域的局部预测变化。转移方向必须满足配比总和约束，展示的是给定基准附近的局部替代效应。</w:t>
      </w:r>
    </w:p>
    <w:p>
      <w:r>
        <w:drawing>
          <wp:inline xmlns:a="http://schemas.openxmlformats.org/drawingml/2006/main" xmlns:pic="http://schemas.openxmlformats.org/drawingml/2006/picture">
            <wp:extent cx="5596128" cy="2433354"/>
            <wp:docPr id="13" name="Picture 13" descr="固定配比下的局部领域替代。图中计算将少量配比从一域转到另一域的局部预测变化。转移方向必须满足配比总和约束，展示的是给定基准附近的局部替代效应。" title="固定配比下的局部领域替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3_domain_transfer_effects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ns12:svgBlip xmlns:ns12="http://schemas.microsoft.com/office/drawing/2016/SVG/main" r:embed="rIdSVG0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2433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97076"/>
          <w:sz w:val="18"/>
        </w:rPr>
        <w:t>图 13  固定配比下的局部领域替代</w:t>
      </w:r>
    </w:p>
    <w:p>
      <w:pPr>
        <w:pStyle w:val="Heading2"/>
        <w:keepNext/>
      </w:pPr>
      <w:r>
        <w:t>执行步骤 14  配方域到验证域的迁移矩阵</w:t>
      </w:r>
    </w:p>
    <w:p>
      <w:pPr>
        <w:keepNext/>
      </w:pPr>
      <w:r>
        <w:t>矩阵展示各配方域变化对不同验证域损失的预测响应，同名域以边框标出。跨域响应不均一，说明总体平均可能掩盖验证域差异；它属于模型迁移诊断。</w:t>
      </w:r>
    </w:p>
    <w:p>
      <w:r>
        <w:drawing>
          <wp:inline xmlns:a="http://schemas.openxmlformats.org/drawingml/2006/main" xmlns:pic="http://schemas.openxmlformats.org/drawingml/2006/picture">
            <wp:extent cx="5596128" cy="4657614"/>
            <wp:docPr id="14" name="Picture 14" descr="配方域到验证域的迁移矩阵。矩阵展示各配方域变化对不同验证域损失的预测响应，同名域以边框标出。跨域响应不均一，说明总体平均可能掩盖验证域差异；它属于模型迁移诊断。" title="配方域到验证域的迁移矩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4_transfer_matrix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ns13:svgBlip xmlns:ns13="http://schemas.microsoft.com/office/drawing/2016/SVG/main" r:embed="rIdSVG0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4657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97076"/>
          <w:sz w:val="18"/>
        </w:rPr>
        <w:t>图 14  配方域到验证域的迁移矩阵</w:t>
      </w:r>
    </w:p>
    <w:p>
      <w:pPr>
        <w:pStyle w:val="Heading2"/>
        <w:keepNext/>
      </w:pPr>
      <w:r>
        <w:t>执行步骤 15  跨尺度外推稳健性</w:t>
      </w:r>
    </w:p>
    <w:p>
      <w:pPr>
        <w:keepNext/>
      </w:pPr>
      <w:r>
        <w:t>图中检查代理模型排序、逐验证域排序和域效应排序在不同尺度上的保持情况。尺度外推表现有边界，配方模型适合已覆盖范围内的条件分析，不能据此承诺任意规模下的绝对误差。</w:t>
      </w:r>
    </w:p>
    <w:p>
      <w:r>
        <w:drawing>
          <wp:inline xmlns:a="http://schemas.openxmlformats.org/drawingml/2006/main" xmlns:pic="http://schemas.openxmlformats.org/drawingml/2006/picture">
            <wp:extent cx="5596128" cy="2399868"/>
            <wp:docPr id="15" name="Picture 15" descr="跨尺度外推稳健性。图中检查代理模型排序、逐验证域排序和域效应排序在不同尺度上的保持情况。尺度外推表现有边界，配方模型适合已覆盖范围内的条件分析，不能据此承诺任意规模下的绝对误差。" title="跨尺度外推稳健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5_extrapolation_robustness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ns14:svgBlip xmlns:ns14="http://schemas.microsoft.com/office/drawing/2016/SVG/main" r:embed="rIdSVG0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2399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97076"/>
          <w:sz w:val="18"/>
        </w:rPr>
        <w:t>图 15  跨尺度外推稳健性</w:t>
      </w:r>
    </w:p>
    <w:p>
      <w:pPr>
        <w:pStyle w:val="Heading2"/>
        <w:keepNext/>
      </w:pPr>
      <w:r>
        <w:t>执行步骤 16  质量分与候选最优配比的关系</w:t>
      </w:r>
    </w:p>
    <w:p>
      <w:pPr>
        <w:keepNext/>
      </w:pPr>
      <w:r>
        <w:t>图中比较领域质量、质量标量解释力及候选配比变化。质量评价与配比拟合是两条独立计算链，当前配比主模型不使用Q；候选配方不是实测最优。</w:t>
      </w:r>
    </w:p>
    <w:p>
      <w:r>
        <w:drawing>
          <wp:inline xmlns:a="http://schemas.openxmlformats.org/drawingml/2006/main" xmlns:pic="http://schemas.openxmlformats.org/drawingml/2006/picture">
            <wp:extent cx="5596128" cy="2430445"/>
            <wp:docPr id="16" name="Picture 16" descr="质量分与候选最优配比的关系。图中比较领域质量、质量标量解释力及候选配比变化。质量评价与配比拟合是两条独立计算链，当前配比主模型不使用Q；候选配方不是实测最优。" title="质量分与候选最优配比的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Q_and_optimal_mixture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ns15:svgBlip xmlns:ns15="http://schemas.microsoft.com/office/drawing/2016/SVG/main" r:embed="rIdSVG0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2430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97076"/>
          <w:sz w:val="18"/>
        </w:rPr>
        <w:t>图 16  质量分与候选最优配比的关系</w:t>
      </w:r>
    </w:p>
    <w:p>
      <w:pPr>
        <w:pStyle w:val="Heading2"/>
        <w:keepNext/>
      </w:pPr>
      <w:r>
        <w:t>执行步骤 17  独特词长度校正</w:t>
      </w:r>
    </w:p>
    <w:p>
      <w:pPr>
        <w:keepNext/>
      </w:pPr>
      <w:r>
        <w:t>图中对照未校正分位、20组长度条件分位和统一20/80规则。校正旨在减少文本长度对独特词指标的机械影响，不意味着长度偏差已完全消除。</w:t>
      </w:r>
    </w:p>
    <w:p>
      <w:r>
        <w:drawing>
          <wp:inline xmlns:a="http://schemas.openxmlformats.org/drawingml/2006/main" xmlns:pic="http://schemas.openxmlformats.org/drawingml/2006/picture">
            <wp:extent cx="5596128" cy="1787008"/>
            <wp:docPr id="17" name="Picture 17" descr="独特词长度校正。图中对照未校正分位、20组长度条件分位和统一20/80规则。校正旨在减少文本长度对独特词指标的机械影响，不意味着长度偏差已完全消除。" title="独特词长度校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7_length_correction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ns16:svgBlip xmlns:ns16="http://schemas.microsoft.com/office/drawing/2016/SVG/main" r:embed="rIdSVG0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1787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97076"/>
          <w:sz w:val="18"/>
        </w:rPr>
        <w:t>图 17  独特词长度校正</w:t>
      </w:r>
    </w:p>
    <w:p>
      <w:pPr>
        <w:pStyle w:val="Heading2"/>
        <w:keepNext/>
      </w:pPr>
      <w:r>
        <w:t>执行步骤 18  长度校正敏感性与机械重复压力测试</w:t>
      </w:r>
    </w:p>
    <w:p>
      <w:pPr>
        <w:keepNext/>
      </w:pPr>
      <w:r>
        <w:t>图中改变分组数并模拟指标机械重复，观察冲突信号变化。该压力测试评估方法稳定性，不含人工有效性标签，不能作为人工准确率证据。</w:t>
      </w:r>
    </w:p>
    <w:p>
      <w:r>
        <w:drawing>
          <wp:inline xmlns:a="http://schemas.openxmlformats.org/drawingml/2006/main" xmlns:pic="http://schemas.openxmlformats.org/drawingml/2006/picture">
            <wp:extent cx="5596128" cy="2053256"/>
            <wp:docPr id="18" name="Picture 18" descr="长度校正敏感性与机械重复压力测试。图中改变分组数并模拟指标机械重复，观察冲突信号变化。该压力测试评估方法稳定性，不含人工有效性标签，不能作为人工准确率证据。" title="长度校正敏感性与机械重复压力测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8_length_sensitivity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ns17:svgBlip xmlns:ns17="http://schemas.microsoft.com/office/drawing/2016/SVG/main" r:embed="rIdSVG0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2053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97076"/>
          <w:sz w:val="18"/>
        </w:rPr>
        <w:t>图 18  长度校正敏感性与机械重复压力测试</w:t>
      </w:r>
    </w:p>
    <w:p>
      <w:pPr>
        <w:pStyle w:val="Heading2"/>
        <w:keepNext/>
      </w:pPr>
      <w:r>
        <w:t>执行步骤 19  格式指标领域校准</w:t>
      </w:r>
    </w:p>
    <w:p>
      <w:pPr>
        <w:keepNext/>
      </w:pPr>
      <w:r>
        <w:t>图中比较专业性参照与格式指标校准前后的关系，并展示各领域校准效果。校准保持专业性原含义；它是领域可比性处理，不证明潜在误判已消失。</w:t>
      </w:r>
    </w:p>
    <w:p>
      <w:r>
        <w:drawing>
          <wp:inline xmlns:a="http://schemas.openxmlformats.org/drawingml/2006/main" xmlns:pic="http://schemas.openxmlformats.org/drawingml/2006/picture">
            <wp:extent cx="5596128" cy="2139549"/>
            <wp:docPr id="19" name="Picture 19" descr="格式指标领域校准。图中比较专业性参照与格式指标校准前后的关系，并展示各领域校准效果。校准保持专业性原含义；它是领域可比性处理，不证明潜在误判已消失。" title="格式指标领域校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9_format_calibration"/>
                    <pic:cNvPicPr/>
                  </pic:nvPicPr>
                  <pic:blipFill>
                    <a:blip r:embed="rId27">
                      <a:extLst>
                        <a:ext uri="{96DAC541-7B7A-43D3-8B79-37D633B846F1}">
                          <ns18:svgBlip xmlns:ns18="http://schemas.microsoft.com/office/drawing/2016/SVG/main" r:embed="rIdSVG0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2139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97076"/>
          <w:sz w:val="18"/>
        </w:rPr>
        <w:t>图 19  格式指标领域校准</w:t>
      </w:r>
    </w:p>
    <w:p>
      <w:pPr>
        <w:pStyle w:val="Heading2"/>
        <w:keepNext/>
      </w:pPr>
      <w:r>
        <w:t>执行步骤 20  冲突审计汇总</w:t>
      </w:r>
    </w:p>
    <w:p>
      <w:pPr>
        <w:keepNext/>
      </w:pPr>
      <w:r>
        <w:t>该图汇总冲突候选、样本触发及相关审计结果。诊断阈值仅决定标记范围，不单独改变Q；冲突率不是模型优化目标。</w:t>
      </w:r>
    </w:p>
    <w:p>
      <w:r>
        <w:drawing>
          <wp:inline xmlns:a="http://schemas.openxmlformats.org/drawingml/2006/main" xmlns:pic="http://schemas.openxmlformats.org/drawingml/2006/picture">
            <wp:extent cx="5596128" cy="2028127"/>
            <wp:docPr id="20" name="Picture 20" descr="冲突审计汇总。该图汇总冲突候选、样本触发及相关审计结果。诊断阈值仅决定标记范围，不单独改变Q；冲突率不是模型优化目标。" title="冲突审计汇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0_conflict_audit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ns19:svgBlip xmlns:ns19="http://schemas.microsoft.com/office/drawing/2016/SVG/main" r:embed="rIdSVG0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2028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97076"/>
          <w:sz w:val="18"/>
        </w:rPr>
        <w:t>图 20  冲突审计汇总</w:t>
      </w:r>
    </w:p>
    <w:p>
      <w:r>
        <w:br w:type="page"/>
      </w:r>
    </w:p>
    <w:p>
      <w:pPr>
        <w:pStyle w:val="Heading1"/>
      </w:pPr>
      <w:r>
        <w:t>问题二 共同修正标度律</w:t>
      </w:r>
    </w:p>
    <w:p>
      <w:pPr>
        <w:pStyle w:val="Heading2"/>
        <w:keepNext/>
      </w:pPr>
      <w:r>
        <w:t>执行步骤 1  经典规模律与来源校准</w:t>
      </w:r>
    </w:p>
    <w:p>
      <w:pPr>
        <w:keepNext/>
      </w:pPr>
      <w:r>
        <w:t>该图将经典规模拟合和来源内校准留出表现并列展示。来源基线允许不同，能减少验证语料与训练设置差异造成的混淆；来源校准不等于完整跨来源外推验证。</w:t>
      </w:r>
    </w:p>
    <w:p>
      <w:r>
        <w:drawing>
          <wp:inline xmlns:a="http://schemas.openxmlformats.org/drawingml/2006/main" xmlns:pic="http://schemas.openxmlformats.org/drawingml/2006/picture">
            <wp:extent cx="5596128" cy="1992626"/>
            <wp:docPr id="21" name="Picture 21" descr="经典规模律与来源校准。该图将经典规模拟合和来源内校准留出表现并列展示。来源基线允许不同，能减少验证语料与训练设置差异造成的混淆；来源校准不等于完整跨来源外推验证。" title="经典规模律与来源校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1_q2_scale_and_sources"/>
                    <pic:cNvPicPr/>
                  </pic:nvPicPr>
                  <pic:blipFill>
                    <a:blip r:embed="rId29">
                      <a:extLst>
                        <a:ext uri="{96DAC541-7B7A-43D3-8B79-37D633B846F1}">
                          <ns20:svgBlip xmlns:ns20="http://schemas.microsoft.com/office/drawing/2016/SVG/main" r:embed="rIdSVG0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1992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97076"/>
          <w:sz w:val="18"/>
        </w:rPr>
        <w:t>图 21  经典规模律与来源校准</w:t>
      </w:r>
    </w:p>
    <w:p>
      <w:pPr>
        <w:pStyle w:val="Heading2"/>
        <w:keepNext/>
      </w:pPr>
      <w:r>
        <w:t>执行步骤 2  质量响应及ND组合留出</w:t>
      </w:r>
    </w:p>
    <w:p>
      <w:pPr>
        <w:keepNext/>
      </w:pPr>
      <w:r>
        <w:t>图中展示质量增量与损失变化的拟合及留出关系。ND组合留出RMSE由无质量项的0.207307降至0.062225，改善限于附件B质量情景；模型识别的是θ_Q=λs_Q，λ和s_Q仍需刻度标定。</w:t>
      </w:r>
    </w:p>
    <w:p>
      <w:r>
        <w:drawing>
          <wp:inline xmlns:a="http://schemas.openxmlformats.org/drawingml/2006/main" xmlns:pic="http://schemas.openxmlformats.org/drawingml/2006/picture">
            <wp:extent cx="5596128" cy="1998373"/>
            <wp:docPr id="22" name="Picture 22" descr="质量响应及ND组合留出。图中展示质量增量与损失变化的拟合及留出关系。ND组合留出RMSE由无质量项的0.207307降至0.062225，改善限于附件B质量情景；模型识别的是θ_Q=λs_Q，λ和s_Q仍需刻度标定。" title="质量响应及ND组合留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2_q2_quality"/>
                    <pic:cNvPicPr/>
                  </pic:nvPicPr>
                  <pic:blipFill>
                    <a:blip r:embed="rId30">
                      <a:extLst>
                        <a:ext uri="{96DAC541-7B7A-43D3-8B79-37D633B846F1}">
                          <ns21:svgBlip xmlns:ns21="http://schemas.microsoft.com/office/drawing/2016/SVG/main" r:embed="rIdSVG0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1998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97076"/>
          <w:sz w:val="18"/>
        </w:rPr>
        <w:t>图 22  质量响应及ND组合留出</w:t>
      </w:r>
    </w:p>
    <w:p>
      <w:pPr>
        <w:pStyle w:val="Heading2"/>
        <w:keepNext/>
      </w:pPr>
      <w:r>
        <w:t>执行步骤 3  配比模型的配方与尺度迁移</w:t>
      </w:r>
    </w:p>
    <w:p>
      <w:pPr>
        <w:keepNext/>
      </w:pPr>
      <w:r>
        <w:t>图中分别比较配方分组留出和整个尺度留出误差。配方留出RMSE由0.237195降至0.094679，但整尺度迁移明显变差；因此结论适用于已覆盖条件，不能承诺任意规模外推。</w:t>
      </w:r>
    </w:p>
    <w:p>
      <w:r>
        <w:drawing>
          <wp:inline xmlns:a="http://schemas.openxmlformats.org/drawingml/2006/main" xmlns:pic="http://schemas.openxmlformats.org/drawingml/2006/picture">
            <wp:extent cx="5596128" cy="1997150"/>
            <wp:docPr id="23" name="Picture 23" descr="配比模型的配方与尺度迁移。图中分别比较配方分组留出和整个尺度留出误差。配方留出RMSE由0.237195降至0.094679，但整尺度迁移明显变差；因此结论适用于已覆盖条件，不能承诺任意规模外推。" title="配比模型的配方与尺度迁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3_q2_mixture_transfer"/>
                    <pic:cNvPicPr/>
                  </pic:nvPicPr>
                  <pic:blipFill>
                    <a:blip r:embed="rId31">
                      <a:extLst>
                        <a:ext uri="{96DAC541-7B7A-43D3-8B79-37D633B846F1}">
                          <ns22:svgBlip xmlns:ns22="http://schemas.microsoft.com/office/drawing/2016/SVG/main" r:embed="rIdSVG0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1997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97076"/>
          <w:sz w:val="18"/>
        </w:rPr>
        <w:t>图 23  配比模型的配方与尺度迁移</w:t>
      </w:r>
    </w:p>
    <w:p>
      <w:pPr>
        <w:pStyle w:val="Heading2"/>
        <w:keepNext/>
      </w:pPr>
      <w:r>
        <w:t>执行步骤 4  领域组合的损失迁移矩阵</w:t>
      </w:r>
    </w:p>
    <w:p>
      <w:pPr>
        <w:keepNext/>
      </w:pPr>
      <w:r>
        <w:t>矩阵给出配方域变动对验证域预测损失的响应。非对角效应体现跨域迁移，受配方约束与对数链接影响，不应解释为直接估计的领域因果交互。</w:t>
      </w:r>
    </w:p>
    <w:p>
      <w:r>
        <w:drawing>
          <wp:inline xmlns:a="http://schemas.openxmlformats.org/drawingml/2006/main" xmlns:pic="http://schemas.openxmlformats.org/drawingml/2006/picture">
            <wp:extent cx="5596128" cy="4912589"/>
            <wp:docPr id="24" name="Picture 24" descr="领域组合的损失迁移矩阵。矩阵给出配方域变动对验证域预测损失的响应。非对角效应体现跨域迁移，受配方约束与对数链接影响，不应解释为直接估计的领域因果交互。" title="领域组合的损失迁移矩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4_q2_domain_transfer"/>
                    <pic:cNvPicPr/>
                  </pic:nvPicPr>
                  <pic:blipFill>
                    <a:blip r:embed="rId32">
                      <a:extLst>
                        <a:ext uri="{96DAC541-7B7A-43D3-8B79-37D633B846F1}">
                          <ns23:svgBlip xmlns:ns23="http://schemas.microsoft.com/office/drawing/2016/SVG/main" r:embed="rIdSVG0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4912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97076"/>
          <w:sz w:val="18"/>
        </w:rPr>
        <w:t>图 24  领域组合的损失迁移矩阵</w:t>
      </w:r>
    </w:p>
    <w:p>
      <w:r>
        <w:br w:type="page"/>
      </w:r>
    </w:p>
    <w:p>
      <w:pPr>
        <w:pStyle w:val="Heading1"/>
      </w:pPr>
      <w:r>
        <w:t>问题三 算力约束下的条件资源优化</w:t>
      </w:r>
    </w:p>
    <w:p>
      <w:pPr>
        <w:pStyle w:val="Heading2"/>
        <w:keepNext/>
      </w:pPr>
      <w:r>
        <w:t>执行步骤 1  预算变化下的最优资源配置</w:t>
      </w:r>
    </w:p>
    <w:p>
      <w:pPr>
        <w:keepNext/>
      </w:pPr>
      <w:r>
        <w:t>该图展示2048上下文下随预算变化的参数量、训练数据量、预测损失和质量投入。主情景在研究预算范围内持续达到样本参照质量上限，表示该条件设定下上限活跃，不是实测训练规律。</w:t>
      </w:r>
    </w:p>
    <w:p>
      <w:r>
        <w:drawing>
          <wp:inline xmlns:a="http://schemas.openxmlformats.org/drawingml/2006/main" xmlns:pic="http://schemas.openxmlformats.org/drawingml/2006/picture">
            <wp:extent cx="5596128" cy="3682834"/>
            <wp:docPr id="25" name="Picture 25" descr="预算变化下的最优资源配置。该图展示2048上下文下随预算变化的参数量、训练数据量、预测损失和质量投入。主情景在研究预算范围内持续达到样本参照质量上限，表示该条件设定下上限活跃，不是实测训练规律。" title="预算变化下的最优资源配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5_q3_budget_allocation"/>
                    <pic:cNvPicPr/>
                  </pic:nvPicPr>
                  <pic:blipFill>
                    <a:blip r:embed="rId33">
                      <a:extLst>
                        <a:ext uri="{96DAC541-7B7A-43D3-8B79-37D633B846F1}">
                          <ns24:svgBlip xmlns:ns24="http://schemas.microsoft.com/office/drawing/2016/SVG/main" r:embed="rIdSVG0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3682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97076"/>
          <w:sz w:val="18"/>
        </w:rPr>
        <w:t>图 25  预算变化下的最优资源配置</w:t>
      </w:r>
    </w:p>
    <w:p>
      <w:pPr>
        <w:pStyle w:val="Heading2"/>
        <w:keepNext/>
      </w:pPr>
      <w:r>
        <w:t>执行步骤 2  训练、注意力与提质预算份额</w:t>
      </w:r>
    </w:p>
    <w:p>
      <w:pPr>
        <w:keepNext/>
      </w:pPr>
      <w:r>
        <w:t>堆叠柱比较三类预算在不同总算力下的占比。注意力/训练成本比由上下文长度设定，不是独立优化变量；预算构成依赖题设成本代理。</w:t>
      </w:r>
    </w:p>
    <w:p>
      <w:r>
        <w:drawing>
          <wp:inline xmlns:a="http://schemas.openxmlformats.org/drawingml/2006/main" xmlns:pic="http://schemas.openxmlformats.org/drawingml/2006/picture">
            <wp:extent cx="5596128" cy="1727432"/>
            <wp:docPr id="26" name="Picture 26" descr="训练、注意力与提质预算份额。堆叠柱比较三类预算在不同总算力下的占比。注意力/训练成本比由上下文长度设定，不是独立优化变量；预算构成依赖题设成本代理。" title="训练、注意力与提质预算份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6_q3_cost_shares"/>
                    <pic:cNvPicPr/>
                  </pic:nvPicPr>
                  <pic:blipFill>
                    <a:blip r:embed="rId34">
                      <a:extLst>
                        <a:ext uri="{96DAC541-7B7A-43D3-8B79-37D633B846F1}">
                          <ns25:svgBlip xmlns:ns25="http://schemas.microsoft.com/office/drawing/2016/SVG/main" r:embed="rIdSVG0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1727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97076"/>
          <w:sz w:val="18"/>
        </w:rPr>
        <w:t>图 26  训练、注意力与提质预算份额</w:t>
      </w:r>
    </w:p>
    <w:p>
      <w:pPr>
        <w:pStyle w:val="Heading2"/>
        <w:keepNext/>
      </w:pPr>
      <w:r>
        <w:t>执行步骤 3  上下文窗口与成本函数敏感性</w:t>
      </w:r>
    </w:p>
    <w:p>
      <w:pPr>
        <w:keepNext/>
      </w:pPr>
      <w:r>
        <w:t>曲线比较不同上下文长度和成本函数下的最优量及损失变化。上下文只作为成本情景输入，结果不表示所有训练过程都采用这些窗口。</w:t>
      </w:r>
    </w:p>
    <w:p>
      <w:r>
        <w:drawing>
          <wp:inline xmlns:a="http://schemas.openxmlformats.org/drawingml/2006/main" xmlns:pic="http://schemas.openxmlformats.org/drawingml/2006/picture">
            <wp:extent cx="5596128" cy="1838728"/>
            <wp:docPr id="27" name="Picture 27" descr="上下文窗口与成本函数敏感性。曲线比较不同上下文长度和成本函数下的最优量及损失变化。上下文只作为成本情景输入，结果不表示所有训练过程都采用这些窗口。" title="上下文窗口与成本函数敏感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7_q3_context_sensitivity"/>
                    <pic:cNvPicPr/>
                  </pic:nvPicPr>
                  <pic:blipFill>
                    <a:blip r:embed="rId35">
                      <a:extLst>
                        <a:ext uri="{96DAC541-7B7A-43D3-8B79-37D633B846F1}">
                          <ns26:svgBlip xmlns:ns26="http://schemas.microsoft.com/office/drawing/2016/SVG/main" r:embed="rIdSVG0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18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97076"/>
          <w:sz w:val="18"/>
        </w:rPr>
        <w:t>图 27  上下文窗口与成本函数敏感性</w:t>
      </w:r>
    </w:p>
    <w:p>
      <w:pPr>
        <w:pStyle w:val="Heading2"/>
        <w:keepNext/>
      </w:pPr>
      <w:r>
        <w:t>执行步骤 4  质量状态转移检查</w:t>
      </w:r>
    </w:p>
    <w:p>
      <w:pPr>
        <w:keepNext/>
      </w:pPr>
      <w:r>
        <w:t>图中检验预算变化时R0、R1、R2状态是否切换。主情景没有检测到转移并持续处于R2；不能据此把主结果改写为三阶段。</w:t>
      </w:r>
    </w:p>
    <w:p>
      <w:r>
        <w:drawing>
          <wp:inline xmlns:a="http://schemas.openxmlformats.org/drawingml/2006/main" xmlns:pic="http://schemas.openxmlformats.org/drawingml/2006/picture">
            <wp:extent cx="5596128" cy="1839758"/>
            <wp:docPr id="28" name="Picture 28" descr="质量状态转移检查。图中检验预算变化时R0、R1、R2状态是否切换。主情景没有检测到转移并持续处于R2；不能据此把主结果改写为三阶段。" title="质量状态转移检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8_q3_quality_transitions"/>
                    <pic:cNvPicPr/>
                  </pic:nvPicPr>
                  <pic:blipFill>
                    <a:blip r:embed="rId36">
                      <a:extLst>
                        <a:ext uri="{96DAC541-7B7A-43D3-8B79-37D633B846F1}">
                          <ns27:svgBlip xmlns:ns27="http://schemas.microsoft.com/office/drawing/2016/SVG/main" r:embed="rIdSVG0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1839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97076"/>
          <w:sz w:val="18"/>
        </w:rPr>
        <w:t>图 28  质量状态转移检查</w:t>
      </w:r>
    </w:p>
    <w:p>
      <w:pPr>
        <w:pStyle w:val="Heading2"/>
        <w:keepNext/>
      </w:pPr>
      <w:r>
        <w:t>执行步骤 5  不同质量上限的损失收益敏感性</w:t>
      </w:r>
    </w:p>
    <w:p>
      <w:pPr>
        <w:keepNext/>
      </w:pPr>
      <w:r>
        <w:t>该图并列比较五档筛选参照及条件质量增量带来的预测收益。更高筛选强度支持更大的质量上限，但尾部样本较少，筛选支持不等于可供应训练Token。</w:t>
      </w:r>
    </w:p>
    <w:p>
      <w:r>
        <w:drawing>
          <wp:inline xmlns:a="http://schemas.openxmlformats.org/drawingml/2006/main" xmlns:pic="http://schemas.openxmlformats.org/drawingml/2006/picture">
            <wp:extent cx="5596128" cy="1832971"/>
            <wp:docPr id="29" name="Picture 29" descr="不同质量上限的损失收益敏感性。该图并列比较五档筛选参照及条件质量增量带来的预测收益。更高筛选强度支持更大的质量上限，但尾部样本较少，筛选支持不等于可供应训练Token。" title="不同质量上限的损失收益敏感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9_q3_sensitivity_gain"/>
                    <pic:cNvPicPr/>
                  </pic:nvPicPr>
                  <pic:blipFill>
                    <a:blip r:embed="rId37">
                      <a:extLst>
                        <a:ext uri="{96DAC541-7B7A-43D3-8B79-37D633B846F1}">
                          <ns28:svgBlip xmlns:ns28="http://schemas.microsoft.com/office/drawing/2016/SVG/main" r:embed="rIdSVG0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1832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97076"/>
          <w:sz w:val="18"/>
        </w:rPr>
        <w:t>图 29  不同质量上限的损失收益敏感性</w:t>
      </w:r>
    </w:p>
    <w:p>
      <w:pPr>
        <w:pStyle w:val="Heading2"/>
        <w:keepNext/>
      </w:pPr>
      <w:r>
        <w:t>执行步骤 6  敏感性转移点局部放大</w:t>
      </w:r>
    </w:p>
    <w:p>
      <w:pPr>
        <w:keepNext/>
      </w:pPr>
      <w:r>
        <w:t>放大图定位敏感性情景中状态切换附近的预算区间。已发现的转移只出现在s_Q=2、幂函数成本和2048/4096/8192上下文情景，不代表主情景存在转移。</w:t>
      </w:r>
    </w:p>
    <w:p>
      <w:r>
        <w:drawing>
          <wp:inline xmlns:a="http://schemas.openxmlformats.org/drawingml/2006/main" xmlns:pic="http://schemas.openxmlformats.org/drawingml/2006/picture">
            <wp:extent cx="5596128" cy="1832458"/>
            <wp:docPr id="30" name="Picture 30" descr="敏感性转移点局部放大。放大图定位敏感性情景中状态切换附近的预算区间。已发现的转移只出现在s_Q=2、幂函数成本和2048/4096/8192上下文情景，不代表主情景存在转移。" title="敏感性转移点局部放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0_q3_transition_zoom"/>
                    <pic:cNvPicPr/>
                  </pic:nvPicPr>
                  <pic:blipFill>
                    <a:blip r:embed="rId38">
                      <a:extLst>
                        <a:ext uri="{96DAC541-7B7A-43D3-8B79-37D633B846F1}">
                          <ns29:svgBlip xmlns:ns29="http://schemas.microsoft.com/office/drawing/2016/SVG/main" r:embed="rIdSVG0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1832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97076"/>
          <w:sz w:val="18"/>
        </w:rPr>
        <w:t>图 30  敏感性转移点局部放大</w:t>
      </w:r>
    </w:p>
    <w:p>
      <w:pPr>
        <w:pStyle w:val="Heading2"/>
        <w:keepNext/>
      </w:pPr>
      <w:r>
        <w:t>执行步骤 7  筛选上限的数据支持</w:t>
      </w:r>
    </w:p>
    <w:p>
      <w:pPr>
        <w:keepNext/>
      </w:pPr>
      <w:r>
        <w:t>图中展示域内高分筛选与参照均值的关系，用于确定80%、50%、20%、10%、5%并列上限情景。质量上限来自现有评分样本，不是天然质量极限。</w:t>
      </w:r>
    </w:p>
    <w:p>
      <w:r>
        <w:drawing>
          <wp:inline xmlns:a="http://schemas.openxmlformats.org/drawingml/2006/main" xmlns:pic="http://schemas.openxmlformats.org/drawingml/2006/picture">
            <wp:extent cx="5596128" cy="1715489"/>
            <wp:docPr id="31" name="Picture 31" descr="筛选上限的数据支持。图中展示域内高分筛选与参照均值的关系，用于确定80%、50%、20%、10%、5%并列上限情景。质量上限来自现有评分样本，不是天然质量极限。" title="筛选上限的数据支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1_q3_screening_evidence"/>
                    <pic:cNvPicPr/>
                  </pic:nvPicPr>
                  <pic:blipFill>
                    <a:blip r:embed="rId39">
                      <a:extLst>
                        <a:ext uri="{96DAC541-7B7A-43D3-8B79-37D633B846F1}">
                          <ns30:svgBlip xmlns:ns30="http://schemas.microsoft.com/office/drawing/2016/SVG/main" r:embed="rIdSVG0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171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97076"/>
          <w:sz w:val="18"/>
        </w:rPr>
        <w:t>图 31  筛选上限的数据支持</w:t>
      </w:r>
    </w:p>
    <w:p>
      <w:pPr>
        <w:pStyle w:val="Heading2"/>
        <w:keepNext/>
      </w:pPr>
      <w:r>
        <w:t>执行步骤 8  全局质量收益阈值与决策区间</w:t>
      </w:r>
    </w:p>
    <w:p>
      <w:pPr>
        <w:keepNext/>
      </w:pPr>
      <w:r>
        <w:t>图中展示开始提质阈值λ_on和达到上限阈值λ_full所界定的全局决策区间。阈值来自内层重新优化后的割线比较，局部导数不能替代全局阈值。</w:t>
      </w:r>
    </w:p>
    <w:p>
      <w:r>
        <w:drawing>
          <wp:inline xmlns:a="http://schemas.openxmlformats.org/drawingml/2006/main" xmlns:pic="http://schemas.openxmlformats.org/drawingml/2006/picture">
            <wp:extent cx="5596128" cy="1900281"/>
            <wp:docPr id="32" name="Picture 32" descr="全局质量收益阈值与决策区间。图中展示开始提质阈值λ_on和达到上限阈值λ_full所界定的全局决策区间。阈值来自内层重新优化后的割线比较，局部导数不能替代全局阈值。" title="全局质量收益阈值与决策区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2_q3_global_decision_phase"/>
                    <pic:cNvPicPr/>
                  </pic:nvPicPr>
                  <pic:blipFill>
                    <a:blip r:embed="rId40">
                      <a:extLst>
                        <a:ext uri="{96DAC541-7B7A-43D3-8B79-37D633B846F1}">
                          <ns31:svgBlip xmlns:ns31="http://schemas.microsoft.com/office/drawing/2016/SVG/main" r:embed="rIdSVG0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1900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97076"/>
          <w:sz w:val="18"/>
        </w:rPr>
        <w:t>图 32  全局质量收益阈值与决策区间</w:t>
      </w:r>
    </w:p>
    <w:p>
      <w:pPr>
        <w:pStyle w:val="Heading2"/>
        <w:keepNext/>
      </w:pPr>
      <w:r>
        <w:t>执行步骤 9  筛选比例与上限敏感性</w:t>
      </w:r>
    </w:p>
    <w:p>
      <w:pPr>
        <w:keepNext/>
      </w:pPr>
      <w:r>
        <w:t>图中对照五档质量上限、成本场景与上下文设定。所有情景都是条件预测；book域5%参照仅9篇，极端尾部结果需谨慎解读。</w:t>
      </w:r>
    </w:p>
    <w:p>
      <w:r>
        <w:drawing>
          <wp:inline xmlns:a="http://schemas.openxmlformats.org/drawingml/2006/main" xmlns:pic="http://schemas.openxmlformats.org/drawingml/2006/picture">
            <wp:extent cx="5596128" cy="1807885"/>
            <wp:docPr id="33" name="Picture 33" descr="筛选比例与上限敏感性。图中对照五档质量上限、成本场景与上下文设定。所有情景都是条件预测；book域5%参照仅9篇，极端尾部结果需谨慎解读。" title="筛选比例与上限敏感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3_q3_cap_sensitivity"/>
                    <pic:cNvPicPr/>
                  </pic:nvPicPr>
                  <pic:blipFill>
                    <a:blip r:embed="rId41">
                      <a:extLst>
                        <a:ext uri="{96DAC541-7B7A-43D3-8B79-37D633B846F1}">
                          <ns32:svgBlip xmlns:ns32="http://schemas.microsoft.com/office/drawing/2016/SVG/main" r:embed="rIdSVG0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1807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97076"/>
          <w:sz w:val="18"/>
        </w:rPr>
        <w:t>图 33  筛选比例与上限敏感性</w:t>
      </w:r>
    </w:p>
    <w:p>
      <w:pPr>
        <w:pStyle w:val="Heading2"/>
        <w:keepNext/>
      </w:pPr>
      <w:r>
        <w:t>执行步骤 10  资源影子价值与等效算力</w:t>
      </w:r>
    </w:p>
    <w:p>
      <w:pPr>
        <w:keepNext/>
      </w:pPr>
      <w:r>
        <w:t>图中展示预算增加时的边际价值、提质投入及相对无提质的等效算力。它只在当前成本、接口和质量刻度假设下成立，不是相对参考版的实测优势。</w:t>
      </w:r>
    </w:p>
    <w:p>
      <w:r>
        <w:drawing>
          <wp:inline xmlns:a="http://schemas.openxmlformats.org/drawingml/2006/main" xmlns:pic="http://schemas.openxmlformats.org/drawingml/2006/picture">
            <wp:extent cx="5596128" cy="3936103"/>
            <wp:docPr id="34" name="Picture 34" descr="资源影子价值与等效算力。图中展示预算增加时的边际价值、提质投入及相对无提质的等效算力。它只在当前成本、接口和质量刻度假设下成立，不是相对参考版的实测优势。" title="资源影子价值与等效算力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4_q3_resource_tradeoffs"/>
                    <pic:cNvPicPr/>
                  </pic:nvPicPr>
                  <pic:blipFill>
                    <a:blip r:embed="rId42">
                      <a:extLst>
                        <a:ext uri="{96DAC541-7B7A-43D3-8B79-37D633B846F1}">
                          <ns33:svgBlip xmlns:ns33="http://schemas.microsoft.com/office/drawing/2016/SVG/main" r:embed="rIdSVG03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3936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97076"/>
          <w:sz w:val="18"/>
        </w:rPr>
        <w:t>图 34  资源影子价值与等效算力</w:t>
      </w:r>
    </w:p>
    <w:p>
      <w:pPr>
        <w:pStyle w:val="Heading2"/>
        <w:keepNext/>
      </w:pPr>
      <w:r>
        <w:t>执行步骤 11  预算分配组成</w:t>
      </w:r>
    </w:p>
    <w:p>
      <w:pPr>
        <w:keepNext/>
      </w:pPr>
      <w:r>
        <w:t>三元图展示参数训练、注意力和提质预算的组成变化。注意力份额受固定窗口决定，因此图中三元结构不能被解释为三个彼此独立的决策维度。</w:t>
      </w:r>
    </w:p>
    <w:p>
      <w:r>
        <w:drawing>
          <wp:inline xmlns:a="http://schemas.openxmlformats.org/drawingml/2006/main" xmlns:pic="http://schemas.openxmlformats.org/drawingml/2006/picture">
            <wp:extent cx="5596128" cy="1880262"/>
            <wp:docPr id="35" name="Picture 35" descr="预算分配组成。三元图展示参数训练、注意力和提质预算的组成变化。注意力份额受固定窗口决定，因此图中三元结构不能被解释为三个彼此独立的决策维度。" title="预算分配组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5_q3_budget_composition"/>
                    <pic:cNvPicPr/>
                  </pic:nvPicPr>
                  <pic:blipFill>
                    <a:blip r:embed="rId43">
                      <a:extLst>
                        <a:ext uri="{96DAC541-7B7A-43D3-8B79-37D633B846F1}">
                          <ns34:svgBlip xmlns:ns34="http://schemas.microsoft.com/office/drawing/2016/SVG/main" r:embed="rIdSVG0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1880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97076"/>
          <w:sz w:val="18"/>
        </w:rPr>
        <w:t>图 35  预算分配组成</w:t>
      </w:r>
    </w:p>
    <w:p>
      <w:pPr>
        <w:pStyle w:val="Heading2"/>
        <w:keepNext/>
      </w:pPr>
      <w:r>
        <w:t>执行步骤 12  临界质量收益局部核验</w:t>
      </w:r>
    </w:p>
    <w:p>
      <w:pPr>
        <w:keepNext/>
      </w:pPr>
      <w:r>
        <w:t>图中放大关键质量收益区间，核对阈值附近的状态和预算响应。主结论以完整全局比较为准，局部图只辅助检查临界区域。</w:t>
      </w:r>
    </w:p>
    <w:p>
      <w:r>
        <w:drawing>
          <wp:inline xmlns:a="http://schemas.openxmlformats.org/drawingml/2006/main" xmlns:pic="http://schemas.openxmlformats.org/drawingml/2006/picture">
            <wp:extent cx="5596128" cy="1761687"/>
            <wp:docPr id="36" name="Picture 36" descr="临界质量收益局部核验。图中放大关键质量收益区间，核对阈值附近的状态和预算响应。主结论以完整全局比较为准，局部图只辅助检查临界区域。" title="临界质量收益局部核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6_q3_critical_benefit_zoom"/>
                    <pic:cNvPicPr/>
                  </pic:nvPicPr>
                  <pic:blipFill>
                    <a:blip r:embed="rId44">
                      <a:extLst>
                        <a:ext uri="{96DAC541-7B7A-43D3-8B79-37D633B846F1}">
                          <ns35:svgBlip xmlns:ns35="http://schemas.microsoft.com/office/drawing/2016/SVG/main" r:embed="rIdSVG03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1761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97076"/>
          <w:sz w:val="18"/>
        </w:rPr>
        <w:t>图 36  临界质量收益局部核验</w:t>
      </w:r>
    </w:p>
    <w:p>
      <w:r>
        <w:br w:type="page"/>
      </w:r>
    </w:p>
    <w:p>
      <w:pPr>
        <w:pStyle w:val="Heading1"/>
      </w:pPr>
      <w:r>
        <w:t>问题四 技术演进中介分解与前沿预测</w:t>
      </w:r>
    </w:p>
    <w:p>
      <w:pPr>
        <w:pStyle w:val="Heading2"/>
        <w:keepNext/>
      </w:pPr>
      <w:r>
        <w:t>执行步骤 1  规模中介与非规模路径假设</w:t>
      </w:r>
    </w:p>
    <w:p>
      <w:pPr>
        <w:keepNext/>
      </w:pPr>
      <w:r>
        <w:t>结构图明确时间经ln N、ln D影响规模响应，并保留剩余时间路径作为非规模进步的解释假设。该路径依赖模型识别条件，不能单凭图示称为因果已证实。</w:t>
      </w:r>
    </w:p>
    <w:p>
      <w:r>
        <w:drawing>
          <wp:inline xmlns:a="http://schemas.openxmlformats.org/drawingml/2006/main" xmlns:pic="http://schemas.openxmlformats.org/drawingml/2006/picture">
            <wp:extent cx="5596128" cy="2790579"/>
            <wp:docPr id="37" name="Picture 37" descr="规模中介与非规模路径假设。结构图明确时间经ln N、ln D影响规模响应，并保留剩余时间路径作为非规模进步的解释假设。该路径依赖模型识别条件，不能单凭图示称为因果已证实。" title="规模中介与非规模路径假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7_q4_causal_structure"/>
                    <pic:cNvPicPr/>
                  </pic:nvPicPr>
                  <pic:blipFill>
                    <a:blip r:embed="rId45">
                      <a:extLst>
                        <a:ext uri="{96DAC541-7B7A-43D3-8B79-37D633B846F1}">
                          <ns36:svgBlip xmlns:ns36="http://schemas.microsoft.com/office/drawing/2016/SVG/main" r:embed="rIdSVG0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2790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97076"/>
          <w:sz w:val="18"/>
        </w:rPr>
        <w:t>图 37  规模中介与非规模路径假设</w:t>
      </w:r>
    </w:p>
    <w:p>
      <w:pPr>
        <w:pStyle w:val="Heading2"/>
        <w:keepNext/>
      </w:pPr>
      <w:r>
        <w:t>执行步骤 2  样本构成与能力演进</w:t>
      </w:r>
    </w:p>
    <w:p>
      <w:pPr>
        <w:keepNext/>
      </w:pPr>
      <w:r>
        <w:t>图中结合完整N/D基础模型、榜单月度分位和来源审计展示数据覆盖与时间变化。历史归因主样本为35个基础模型、10家机构；不同来源的分数不混合拟合。</w:t>
      </w:r>
    </w:p>
    <w:p>
      <w:r>
        <w:drawing>
          <wp:inline xmlns:a="http://schemas.openxmlformats.org/drawingml/2006/main" xmlns:pic="http://schemas.openxmlformats.org/drawingml/2006/picture">
            <wp:extent cx="5596128" cy="1670019"/>
            <wp:docPr id="38" name="Picture 38" descr="样本构成与能力演进。图中结合完整N/D基础模型、榜单月度分位和来源审计展示数据覆盖与时间变化。历史归因主样本为35个基础模型、10家机构；不同来源的分数不混合拟合。" title="样本构成与能力演进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8_q4_data_and_evolution"/>
                    <pic:cNvPicPr/>
                  </pic:nvPicPr>
                  <pic:blipFill>
                    <a:blip r:embed="rId46">
                      <a:extLst>
                        <a:ext uri="{96DAC541-7B7A-43D3-8B79-37D633B846F1}">
                          <ns37:svgBlip xmlns:ns37="http://schemas.microsoft.com/office/drawing/2016/SVG/main" r:embed="rIdSVG03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167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97076"/>
          <w:sz w:val="18"/>
        </w:rPr>
        <w:t>图 38  样本构成与能力演进</w:t>
      </w:r>
    </w:p>
    <w:p>
      <w:pPr>
        <w:pStyle w:val="Heading2"/>
        <w:keepNext/>
      </w:pPr>
      <w:r>
        <w:t>执行步骤 3  规模与非规模贡献及混杂敏感性</w:t>
      </w:r>
    </w:p>
    <w:p>
      <w:pPr>
        <w:keepNext/>
      </w:pPr>
      <w:r>
        <w:t>历史对比中规模贡献为2.939分（56.98%），非规模贡献为2.219分（43.02%）。技术贡献95%机构自助区间包含零；右侧压力测试说明结果会随未观测混杂假设变化。</w:t>
      </w:r>
    </w:p>
    <w:p>
      <w:r>
        <w:drawing>
          <wp:inline xmlns:a="http://schemas.openxmlformats.org/drawingml/2006/main" xmlns:pic="http://schemas.openxmlformats.org/drawingml/2006/picture">
            <wp:extent cx="5596128" cy="2276078"/>
            <wp:docPr id="39" name="Picture 39" descr="规模与非规模贡献及混杂敏感性。历史对比中规模贡献为2.939分（56.98%），非规模贡献为2.219分（43.02%）。技术贡献95%机构自助区间包含零；右侧压力测试说明结果会随未观测混杂假设变化。" title="规模与非规模贡献及混杂敏感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9_q4_mediation_and_sensitivity"/>
                    <pic:cNvPicPr/>
                  </pic:nvPicPr>
                  <pic:blipFill>
                    <a:blip r:embed="rId47">
                      <a:extLst>
                        <a:ext uri="{96DAC541-7B7A-43D3-8B79-37D633B846F1}">
                          <ns38:svgBlip xmlns:ns38="http://schemas.microsoft.com/office/drawing/2016/SVG/main" r:embed="rIdSVG0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2276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97076"/>
          <w:sz w:val="18"/>
        </w:rPr>
        <w:t>图 39  规模与非规模贡献及混杂敏感性</w:t>
      </w:r>
    </w:p>
    <w:p>
      <w:pPr>
        <w:pStyle w:val="Heading2"/>
        <w:keepNext/>
      </w:pPr>
      <w:r>
        <w:t>执行步骤 4  未来能力前沿条件预测</w:t>
      </w:r>
    </w:p>
    <w:p>
      <w:pPr>
        <w:keepNext/>
      </w:pPr>
      <w:r>
        <w:t>图中对照Q3耦合基础模型前沿与N-only描述性预测。预测起点为2025-03-13，12/24个月结果依赖预算增长与技术半衰期假设，不是从当前日期起算的实时预测。</w:t>
      </w:r>
    </w:p>
    <w:p>
      <w:r>
        <w:drawing>
          <wp:inline xmlns:a="http://schemas.openxmlformats.org/drawingml/2006/main" xmlns:pic="http://schemas.openxmlformats.org/drawingml/2006/picture">
            <wp:extent cx="5596128" cy="2222338"/>
            <wp:docPr id="40" name="Picture 40" descr="未来能力前沿条件预测。图中对照Q3耦合基础模型前沿与N-only描述性预测。预测起点为2025-03-13，12/24个月结果依赖预算增长与技术半衰期假设，不是从当前日期起算的实时预测。" title="未来能力前沿条件预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0_q4_frontier_forecasts"/>
                    <pic:cNvPicPr/>
                  </pic:nvPicPr>
                  <pic:blipFill>
                    <a:blip r:embed="rId48">
                      <a:extLst>
                        <a:ext uri="{96DAC541-7B7A-43D3-8B79-37D633B846F1}">
                          <ns39:svgBlip xmlns:ns39="http://schemas.microsoft.com/office/drawing/2016/SVG/main" r:embed="rIdSVG04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2222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97076"/>
          <w:sz w:val="18"/>
        </w:rPr>
        <w:t>图 40  未来能力前沿条件预测</w:t>
      </w:r>
    </w:p>
    <w:p>
      <w:pPr>
        <w:pStyle w:val="Heading2"/>
        <w:keepNext/>
      </w:pPr>
      <w:r>
        <w:t>执行步骤 5  Loss到基准能力的分层桥接</w:t>
      </w:r>
    </w:p>
    <w:p>
      <w:pPr>
        <w:keepNext/>
      </w:pPr>
      <w:r>
        <w:t>图中分层展示高可比和中可比样本的Loss—能力关系及目标Loss区间。高可比桥接不支持目标Loss时返回缺失；中可比只作为跨报告情景。</w:t>
      </w:r>
    </w:p>
    <w:p>
      <w:r>
        <w:drawing>
          <wp:inline xmlns:a="http://schemas.openxmlformats.org/drawingml/2006/main" xmlns:pic="http://schemas.openxmlformats.org/drawingml/2006/picture">
            <wp:extent cx="5596128" cy="2276078"/>
            <wp:docPr id="41" name="Picture 41" descr="Loss到基准能力的分层桥接。图中分层展示高可比和中可比样本的Loss—能力关系及目标Loss区间。高可比桥接不支持目标Loss时返回缺失；中可比只作为跨报告情景。" title="Loss到基准能力的分层桥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1_q4_loss_benchmark_bridge"/>
                    <pic:cNvPicPr/>
                  </pic:nvPicPr>
                  <pic:blipFill>
                    <a:blip r:embed="rId49">
                      <a:extLst>
                        <a:ext uri="{96DAC541-7B7A-43D3-8B79-37D633B846F1}">
                          <ns40:svgBlip xmlns:ns40="http://schemas.microsoft.com/office/drawing/2016/SVG/main" r:embed="rIdSVG04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2276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97076"/>
          <w:sz w:val="18"/>
        </w:rPr>
        <w:t>图 41  Loss到基准能力的分层桥接</w:t>
      </w:r>
    </w:p>
    <w:p>
      <w:pPr>
        <w:pStyle w:val="Heading2"/>
        <w:keepNext/>
      </w:pPr>
      <w:r>
        <w:t>执行步骤 6  逐任务评测与MuSR审计</w:t>
      </w:r>
    </w:p>
    <w:p>
      <w:pPr>
        <w:keepNext/>
      </w:pPr>
      <w:r>
        <w:t>图中展示三个MuSR子任务归一化聚合和重建结果审计。损坏JSON保留原件及台账，无法解析的目录退出逐任务分析，不用补值制造完整样本。</w:t>
      </w:r>
    </w:p>
    <w:p>
      <w:r>
        <w:drawing>
          <wp:inline xmlns:a="http://schemas.openxmlformats.org/drawingml/2006/main" xmlns:pic="http://schemas.openxmlformats.org/drawingml/2006/picture">
            <wp:extent cx="5596128" cy="2168851"/>
            <wp:docPr id="42" name="Picture 42" descr="逐任务评测与MuSR审计。图中展示三个MuSR子任务归一化聚合和重建结果审计。损坏JSON保留原件及台账，无法解析的目录退出逐任务分析，不用补值制造完整样本。" title="逐任务评测与MuSR审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2_q4_task_level_audit"/>
                    <pic:cNvPicPr/>
                  </pic:nvPicPr>
                  <pic:blipFill>
                    <a:blip r:embed="rId50">
                      <a:extLst>
                        <a:ext uri="{96DAC541-7B7A-43D3-8B79-37D633B846F1}">
                          <ns41:svgBlip xmlns:ns41="http://schemas.microsoft.com/office/drawing/2016/SVG/main" r:embed="rIdSVG04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2168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97076"/>
          <w:sz w:val="18"/>
        </w:rPr>
        <w:t>图 42  逐任务评测与MuSR审计</w:t>
      </w:r>
    </w:p>
    <w:p>
      <w:pPr>
        <w:pStyle w:val="Heading2"/>
        <w:keepNext/>
      </w:pPr>
      <w:r>
        <w:t>执行步骤 7  结构模型与短期回测验证</w:t>
      </w:r>
    </w:p>
    <w:p>
      <w:pPr>
        <w:keepNext/>
      </w:pPr>
      <w:r>
        <w:t>图中比较机构留出、发布队列阻塞留出和榜单月度短期回测。只有对话/微调类别优于上月延续；基础与合并模型未胜出，短期回测也不足以证明长期前沿准确。</w:t>
      </w:r>
    </w:p>
    <w:p>
      <w:r>
        <w:drawing>
          <wp:inline xmlns:a="http://schemas.openxmlformats.org/drawingml/2006/main" xmlns:pic="http://schemas.openxmlformats.org/drawingml/2006/picture">
            <wp:extent cx="5596128" cy="1900281"/>
            <wp:docPr id="43" name="Picture 43" descr="结构模型与短期回测验证。图中比较机构留出、发布队列阻塞留出和榜单月度短期回测。只有对话/微调类别优于上月延续；基础与合并模型未胜出，短期回测也不足以证明长期前沿准确。" title="结构模型与短期回测验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3_q4_validation"/>
                    <pic:cNvPicPr/>
                  </pic:nvPicPr>
                  <pic:blipFill>
                    <a:blip r:embed="rId51">
                      <a:extLst>
                        <a:ext uri="{96DAC541-7B7A-43D3-8B79-37D633B846F1}">
                          <ns42:svgBlip xmlns:ns42="http://schemas.microsoft.com/office/drawing/2016/SVG/main" r:embed="rIdSVG04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1900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97076"/>
          <w:sz w:val="18"/>
        </w:rPr>
        <w:t>图 43  结构模型与短期回测验证</w:t>
      </w:r>
    </w:p>
    <w:sectPr w:rsidR="00FC693F" w:rsidRPr="0006063C" w:rsidSect="00034616">
      <w:pgSz w:w="11906" w:h="16838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oto Sans SC" w:hAnsi="Noto Sans SC" w:eastAsia="Noto Sans SC"/>
      <w:color w:val="2D34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1C4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2A60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32465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SC" w:hAnsi="Noto Sans SC" w:eastAsia="Noto Sans SC"/>
      <w:b/>
      <w:color w:val="1C395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SVG001" Type="http://schemas.openxmlformats.org/officeDocument/2006/relationships/image" Target="media/vector_01.svg"/><Relationship Id="rIdSVG002" Type="http://schemas.openxmlformats.org/officeDocument/2006/relationships/image" Target="media/vector_02.svg"/><Relationship Id="rIdSVG003" Type="http://schemas.openxmlformats.org/officeDocument/2006/relationships/image" Target="media/vector_03.svg"/><Relationship Id="rIdSVG004" Type="http://schemas.openxmlformats.org/officeDocument/2006/relationships/image" Target="media/vector_04.svg"/><Relationship Id="rIdSVG005" Type="http://schemas.openxmlformats.org/officeDocument/2006/relationships/image" Target="media/vector_05.svg"/><Relationship Id="rIdSVG006" Type="http://schemas.openxmlformats.org/officeDocument/2006/relationships/image" Target="media/vector_06.svg"/><Relationship Id="rIdSVG007" Type="http://schemas.openxmlformats.org/officeDocument/2006/relationships/image" Target="media/vector_07.svg"/><Relationship Id="rIdSVG008" Type="http://schemas.openxmlformats.org/officeDocument/2006/relationships/image" Target="media/vector_08.svg"/><Relationship Id="rIdSVG009" Type="http://schemas.openxmlformats.org/officeDocument/2006/relationships/image" Target="media/vector_09.svg"/><Relationship Id="rIdSVG010" Type="http://schemas.openxmlformats.org/officeDocument/2006/relationships/image" Target="media/vector_10.svg"/><Relationship Id="rIdSVG011" Type="http://schemas.openxmlformats.org/officeDocument/2006/relationships/image" Target="media/vector_11.svg"/><Relationship Id="rIdSVG012" Type="http://schemas.openxmlformats.org/officeDocument/2006/relationships/image" Target="media/vector_12.svg"/><Relationship Id="rIdSVG013" Type="http://schemas.openxmlformats.org/officeDocument/2006/relationships/image" Target="media/vector_13.svg"/><Relationship Id="rIdSVG014" Type="http://schemas.openxmlformats.org/officeDocument/2006/relationships/image" Target="media/vector_14.svg"/><Relationship Id="rIdSVG015" Type="http://schemas.openxmlformats.org/officeDocument/2006/relationships/image" Target="media/vector_15.svg"/><Relationship Id="rIdSVG016" Type="http://schemas.openxmlformats.org/officeDocument/2006/relationships/image" Target="media/vector_16.svg"/><Relationship Id="rIdSVG017" Type="http://schemas.openxmlformats.org/officeDocument/2006/relationships/image" Target="media/vector_17.svg"/><Relationship Id="rIdSVG018" Type="http://schemas.openxmlformats.org/officeDocument/2006/relationships/image" Target="media/vector_18.svg"/><Relationship Id="rIdSVG019" Type="http://schemas.openxmlformats.org/officeDocument/2006/relationships/image" Target="media/vector_19.svg"/><Relationship Id="rIdSVG020" Type="http://schemas.openxmlformats.org/officeDocument/2006/relationships/image" Target="media/vector_20.svg"/><Relationship Id="rIdSVG021" Type="http://schemas.openxmlformats.org/officeDocument/2006/relationships/image" Target="media/vector_21.svg"/><Relationship Id="rIdSVG022" Type="http://schemas.openxmlformats.org/officeDocument/2006/relationships/image" Target="media/vector_22.svg"/><Relationship Id="rIdSVG023" Type="http://schemas.openxmlformats.org/officeDocument/2006/relationships/image" Target="media/vector_23.svg"/><Relationship Id="rIdSVG024" Type="http://schemas.openxmlformats.org/officeDocument/2006/relationships/image" Target="media/vector_24.svg"/><Relationship Id="rIdSVG025" Type="http://schemas.openxmlformats.org/officeDocument/2006/relationships/image" Target="media/vector_25.svg"/><Relationship Id="rIdSVG026" Type="http://schemas.openxmlformats.org/officeDocument/2006/relationships/image" Target="media/vector_26.svg"/><Relationship Id="rIdSVG027" Type="http://schemas.openxmlformats.org/officeDocument/2006/relationships/image" Target="media/vector_27.svg"/><Relationship Id="rIdSVG028" Type="http://schemas.openxmlformats.org/officeDocument/2006/relationships/image" Target="media/vector_28.svg"/><Relationship Id="rIdSVG029" Type="http://schemas.openxmlformats.org/officeDocument/2006/relationships/image" Target="media/vector_29.svg"/><Relationship Id="rIdSVG030" Type="http://schemas.openxmlformats.org/officeDocument/2006/relationships/image" Target="media/vector_30.svg"/><Relationship Id="rIdSVG031" Type="http://schemas.openxmlformats.org/officeDocument/2006/relationships/image" Target="media/vector_31.svg"/><Relationship Id="rIdSVG032" Type="http://schemas.openxmlformats.org/officeDocument/2006/relationships/image" Target="media/vector_32.svg"/><Relationship Id="rIdSVG033" Type="http://schemas.openxmlformats.org/officeDocument/2006/relationships/image" Target="media/vector_33.svg"/><Relationship Id="rIdSVG034" Type="http://schemas.openxmlformats.org/officeDocument/2006/relationships/image" Target="media/vector_34.svg"/><Relationship Id="rIdSVG035" Type="http://schemas.openxmlformats.org/officeDocument/2006/relationships/image" Target="media/vector_35.svg"/><Relationship Id="rIdSVG036" Type="http://schemas.openxmlformats.org/officeDocument/2006/relationships/image" Target="media/vector_36.svg"/><Relationship Id="rIdSVG037" Type="http://schemas.openxmlformats.org/officeDocument/2006/relationships/image" Target="media/vector_37.svg"/><Relationship Id="rIdSVG038" Type="http://schemas.openxmlformats.org/officeDocument/2006/relationships/image" Target="media/vector_38.svg"/><Relationship Id="rIdSVG039" Type="http://schemas.openxmlformats.org/officeDocument/2006/relationships/image" Target="media/vector_39.svg"/><Relationship Id="rIdSVG040" Type="http://schemas.openxmlformats.org/officeDocument/2006/relationships/image" Target="media/vector_40.svg"/><Relationship Id="rIdSVG041" Type="http://schemas.openxmlformats.org/officeDocument/2006/relationships/image" Target="media/vector_41.svg"/><Relationship Id="rIdSVG042" Type="http://schemas.openxmlformats.org/officeDocument/2006/relationships/image" Target="media/vector_42.svg"/><Relationship Id="rIdSVG043" Type="http://schemas.openxmlformats.org/officeDocument/2006/relationships/image" Target="media/vector_43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四问结果分析与论文插图</dc:title>
  <dc:subject>问题一至问题四执行步骤对应结果说明及SVG图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