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881"/>
        <w:gridCol w:w="210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8A358B" w:rsidP="00C1160A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</w:t>
            </w:r>
            <w:r w:rsidR="00C1160A">
              <w:rPr>
                <w:rFonts w:ascii="Century Gothic" w:hAnsi="Century Gothic"/>
                <w:lang w:val="en-PH"/>
              </w:rPr>
              <w:t>t. P</w:t>
            </w:r>
            <w:r>
              <w:rPr>
                <w:rFonts w:ascii="Century Gothic" w:hAnsi="Century Gothic"/>
                <w:lang w:val="en-PH"/>
              </w:rPr>
              <w:t>rof</w:t>
            </w:r>
            <w:r w:rsidR="00C1160A">
              <w:rPr>
                <w:rFonts w:ascii="Century Gothic" w:hAnsi="Century Gothic"/>
                <w:lang w:val="en-PH"/>
              </w:rPr>
              <w:t>.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  <w:r w:rsidR="00C1160A">
              <w:rPr>
                <w:rFonts w:ascii="Century Gothic" w:hAnsi="Century Gothic"/>
                <w:lang w:val="en-PH"/>
              </w:rPr>
              <w:t>ROSARIO R. CABUSAO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8A358B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Library Coordinator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8A358B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Science (Chemistry)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8A358B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Teacher Education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8A358B" w:rsidP="008A358B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406 1611 </w:t>
            </w:r>
            <w:proofErr w:type="spellStart"/>
            <w:r>
              <w:rPr>
                <w:rFonts w:ascii="Century Gothic" w:hAnsi="Century Gothic"/>
                <w:lang w:val="en-PH"/>
              </w:rPr>
              <w:t>loc</w:t>
            </w:r>
            <w:proofErr w:type="spellEnd"/>
            <w:r>
              <w:rPr>
                <w:rFonts w:ascii="Century Gothic" w:hAnsi="Century Gothic"/>
                <w:lang w:val="en-PH"/>
              </w:rPr>
              <w:t xml:space="preserve"> 8476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E6776B" w:rsidP="002C354D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="00C1160A" w:rsidRPr="00791BCB">
                <w:rPr>
                  <w:rStyle w:val="Hyperlink"/>
                  <w:rFonts w:ascii="Century Gothic" w:hAnsi="Century Gothic"/>
                  <w:lang w:val="en-PH"/>
                </w:rPr>
                <w:t>rrcabusao@ust.edu.ph</w:t>
              </w:r>
            </w:hyperlink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8A358B" w:rsidP="000B10CE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Wednesdays </w:t>
            </w:r>
            <w:r w:rsidR="000B10CE">
              <w:rPr>
                <w:rFonts w:ascii="Century Gothic" w:hAnsi="Century Gothic"/>
                <w:lang w:val="en-PH"/>
              </w:rPr>
              <w:t>2</w:t>
            </w:r>
            <w:r>
              <w:rPr>
                <w:rFonts w:ascii="Century Gothic" w:hAnsi="Century Gothic"/>
                <w:lang w:val="en-PH"/>
              </w:rPr>
              <w:t>-</w:t>
            </w:r>
            <w:r w:rsidR="000B10CE">
              <w:rPr>
                <w:rFonts w:ascii="Century Gothic" w:hAnsi="Century Gothic"/>
                <w:lang w:val="en-PH"/>
              </w:rPr>
              <w:t>4</w:t>
            </w:r>
            <w:r>
              <w:rPr>
                <w:rFonts w:ascii="Century Gothic" w:hAnsi="Century Gothic"/>
                <w:lang w:val="en-PH"/>
              </w:rPr>
              <w:t xml:space="preserve"> PM</w:t>
            </w:r>
          </w:p>
        </w:tc>
      </w:tr>
      <w:tr w:rsidR="00B42459" w:rsidRPr="000548E9" w:rsidTr="008A358B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88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10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8A358B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88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10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8A358B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881" w:type="dxa"/>
          </w:tcPr>
          <w:p w:rsidR="00B42459" w:rsidRPr="000548E9" w:rsidRDefault="008A358B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M.S. Chemistry Education</w:t>
            </w:r>
          </w:p>
        </w:tc>
        <w:tc>
          <w:tcPr>
            <w:tcW w:w="2103" w:type="dxa"/>
          </w:tcPr>
          <w:p w:rsidR="00B42459" w:rsidRPr="00E6776B" w:rsidRDefault="008A358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E6776B"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42459" w:rsidRPr="000548E9" w:rsidRDefault="008A358B" w:rsidP="00E6776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1994</w:t>
            </w:r>
          </w:p>
        </w:tc>
      </w:tr>
      <w:tr w:rsidR="00B42459" w:rsidRPr="000548E9" w:rsidTr="008A358B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C63D39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881" w:type="dxa"/>
          </w:tcPr>
          <w:p w:rsidR="00B42459" w:rsidRPr="000548E9" w:rsidRDefault="008A358B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B.S. Chemistry</w:t>
            </w:r>
          </w:p>
        </w:tc>
        <w:tc>
          <w:tcPr>
            <w:tcW w:w="2103" w:type="dxa"/>
          </w:tcPr>
          <w:p w:rsidR="00B42459" w:rsidRPr="00E6776B" w:rsidRDefault="008A358B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E6776B"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42459" w:rsidRPr="000548E9" w:rsidRDefault="008A358B" w:rsidP="00E6776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1980</w:t>
            </w:r>
          </w:p>
        </w:tc>
      </w:tr>
      <w:tr w:rsidR="00B42459" w:rsidRPr="000548E9" w:rsidTr="008A358B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88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10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365B09" w:rsidRPr="000548E9" w:rsidTr="008A358B">
        <w:trPr>
          <w:trHeight w:val="138"/>
        </w:trPr>
        <w:tc>
          <w:tcPr>
            <w:tcW w:w="2334" w:type="dxa"/>
            <w:vMerge/>
          </w:tcPr>
          <w:p w:rsidR="00365B09" w:rsidRDefault="00365B09" w:rsidP="00365B09">
            <w:pPr>
              <w:rPr>
                <w:rFonts w:ascii="Century Gothic" w:hAnsi="Century Gothic"/>
                <w:lang w:val="en-PH"/>
              </w:rPr>
            </w:pPr>
            <w:bookmarkStart w:id="0" w:name="_GoBack" w:colFirst="3" w:colLast="3"/>
          </w:p>
        </w:tc>
        <w:tc>
          <w:tcPr>
            <w:tcW w:w="2881" w:type="dxa"/>
          </w:tcPr>
          <w:p w:rsidR="00365B09" w:rsidRPr="00C1160A" w:rsidRDefault="00365B09" w:rsidP="00365B09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Philippine Association for Teacher Education</w:t>
            </w:r>
          </w:p>
        </w:tc>
        <w:tc>
          <w:tcPr>
            <w:tcW w:w="2103" w:type="dxa"/>
          </w:tcPr>
          <w:p w:rsidR="00365B09" w:rsidRPr="00C1160A" w:rsidRDefault="00365B09" w:rsidP="00365B09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Board Member</w:t>
            </w:r>
          </w:p>
        </w:tc>
        <w:tc>
          <w:tcPr>
            <w:tcW w:w="2032" w:type="dxa"/>
          </w:tcPr>
          <w:p w:rsidR="00365B09" w:rsidRPr="00C1160A" w:rsidRDefault="00365B09" w:rsidP="00E6776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2011-2012</w:t>
            </w:r>
          </w:p>
        </w:tc>
      </w:tr>
      <w:tr w:rsidR="00C1160A" w:rsidRPr="000548E9" w:rsidTr="008A358B">
        <w:trPr>
          <w:trHeight w:val="99"/>
        </w:trPr>
        <w:tc>
          <w:tcPr>
            <w:tcW w:w="2334" w:type="dxa"/>
            <w:vMerge/>
          </w:tcPr>
          <w:p w:rsidR="00C1160A" w:rsidRDefault="00C1160A" w:rsidP="00365B0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881" w:type="dxa"/>
          </w:tcPr>
          <w:p w:rsidR="00C1160A" w:rsidRPr="00C1160A" w:rsidRDefault="00C1160A" w:rsidP="00365B09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Philippine Association of Chemistry Teachers</w:t>
            </w:r>
          </w:p>
        </w:tc>
        <w:tc>
          <w:tcPr>
            <w:tcW w:w="2103" w:type="dxa"/>
          </w:tcPr>
          <w:p w:rsidR="00C1160A" w:rsidRPr="00C1160A" w:rsidRDefault="00C1160A" w:rsidP="00365B09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Life Member</w:t>
            </w:r>
          </w:p>
        </w:tc>
        <w:tc>
          <w:tcPr>
            <w:tcW w:w="2032" w:type="dxa"/>
          </w:tcPr>
          <w:p w:rsidR="00C1160A" w:rsidRPr="00C1160A" w:rsidRDefault="00C1160A" w:rsidP="00E6776B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2009-Present</w:t>
            </w:r>
          </w:p>
        </w:tc>
      </w:tr>
      <w:bookmarkEnd w:id="0"/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C1160A" w:rsidRDefault="00C1160A">
            <w:pPr>
              <w:rPr>
                <w:rFonts w:ascii="Century Gothic" w:hAnsi="Century Gothic"/>
                <w:lang w:val="en-PH"/>
              </w:rPr>
            </w:pPr>
          </w:p>
          <w:p w:rsidR="00B42459" w:rsidRPr="00C1160A" w:rsidRDefault="003A30D2" w:rsidP="003A30D2">
            <w:pPr>
              <w:jc w:val="both"/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Asst. Prof</w:t>
            </w:r>
            <w:r w:rsidR="00C1160A">
              <w:rPr>
                <w:rFonts w:ascii="Century Gothic" w:hAnsi="Century Gothic"/>
                <w:sz w:val="20"/>
                <w:lang w:val="en-PH"/>
              </w:rPr>
              <w:t>.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C1160A">
              <w:rPr>
                <w:rFonts w:ascii="Century Gothic" w:hAnsi="Century Gothic"/>
                <w:sz w:val="20"/>
                <w:lang w:val="en-PH"/>
              </w:rPr>
              <w:t>Cabusao</w:t>
            </w:r>
            <w:proofErr w:type="spellEnd"/>
            <w:r w:rsidR="00A2065A" w:rsidRPr="00C1160A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has been teaching science and professional </w:t>
            </w:r>
            <w:r w:rsidR="00A2065A" w:rsidRPr="00C1160A">
              <w:rPr>
                <w:rFonts w:ascii="Century Gothic" w:hAnsi="Century Gothic"/>
                <w:sz w:val="20"/>
                <w:lang w:val="en-PH"/>
              </w:rPr>
              <w:t xml:space="preserve">education 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courses </w:t>
            </w:r>
            <w:r w:rsidR="00365B09" w:rsidRPr="00C1160A">
              <w:rPr>
                <w:rFonts w:ascii="Century Gothic" w:hAnsi="Century Gothic"/>
                <w:sz w:val="20"/>
                <w:lang w:val="en-PH"/>
              </w:rPr>
              <w:t xml:space="preserve">under the teacher </w:t>
            </w:r>
            <w:r w:rsidR="006D6FD1" w:rsidRPr="00C1160A">
              <w:rPr>
                <w:rFonts w:ascii="Century Gothic" w:hAnsi="Century Gothic"/>
                <w:sz w:val="20"/>
                <w:lang w:val="en-PH"/>
              </w:rPr>
              <w:t>e</w:t>
            </w:r>
            <w:r w:rsidR="00365B09" w:rsidRPr="00C1160A">
              <w:rPr>
                <w:rFonts w:ascii="Century Gothic" w:hAnsi="Century Gothic"/>
                <w:sz w:val="20"/>
                <w:lang w:val="en-PH"/>
              </w:rPr>
              <w:t xml:space="preserve">ducation, </w:t>
            </w:r>
            <w:r w:rsidR="006D6FD1" w:rsidRPr="00C1160A">
              <w:rPr>
                <w:rFonts w:ascii="Century Gothic" w:hAnsi="Century Gothic"/>
                <w:sz w:val="20"/>
                <w:lang w:val="en-PH"/>
              </w:rPr>
              <w:t>f</w:t>
            </w:r>
            <w:r w:rsidR="00365B09" w:rsidRPr="00C1160A">
              <w:rPr>
                <w:rFonts w:ascii="Century Gothic" w:hAnsi="Century Gothic"/>
                <w:sz w:val="20"/>
                <w:lang w:val="en-PH"/>
              </w:rPr>
              <w:t>ood techno</w:t>
            </w:r>
            <w:r w:rsidR="006D6FD1" w:rsidRPr="00C1160A">
              <w:rPr>
                <w:rFonts w:ascii="Century Gothic" w:hAnsi="Century Gothic"/>
                <w:sz w:val="20"/>
                <w:lang w:val="en-PH"/>
              </w:rPr>
              <w:t>logy and nutrition programs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for over 15 years. </w:t>
            </w:r>
            <w:r w:rsidR="00B712E0" w:rsidRPr="00C1160A">
              <w:rPr>
                <w:rFonts w:ascii="Century Gothic" w:hAnsi="Century Gothic"/>
                <w:sz w:val="20"/>
                <w:lang w:val="en-PH"/>
              </w:rPr>
              <w:t>Her background in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chemistry education and her work as </w:t>
            </w:r>
            <w:r w:rsidR="00A2065A" w:rsidRPr="00C1160A">
              <w:rPr>
                <w:rFonts w:ascii="Century Gothic" w:hAnsi="Century Gothic"/>
                <w:sz w:val="20"/>
                <w:lang w:val="en-PH"/>
              </w:rPr>
              <w:t>S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cience </w:t>
            </w:r>
            <w:r w:rsidR="00A2065A" w:rsidRPr="00C1160A">
              <w:rPr>
                <w:rFonts w:ascii="Century Gothic" w:hAnsi="Century Gothic"/>
                <w:sz w:val="20"/>
                <w:lang w:val="en-PH"/>
              </w:rPr>
              <w:t>E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ducation </w:t>
            </w:r>
            <w:r w:rsidR="00A2065A" w:rsidRPr="00C1160A">
              <w:rPr>
                <w:rFonts w:ascii="Century Gothic" w:hAnsi="Century Gothic"/>
                <w:sz w:val="20"/>
                <w:lang w:val="en-PH"/>
              </w:rPr>
              <w:t>S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pecialist 1 at the National Institute for </w:t>
            </w:r>
            <w:r w:rsidR="00A2065A" w:rsidRPr="00C1160A">
              <w:rPr>
                <w:rFonts w:ascii="Century Gothic" w:hAnsi="Century Gothic"/>
                <w:sz w:val="20"/>
                <w:lang w:val="en-PH"/>
              </w:rPr>
              <w:t>S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cience and </w:t>
            </w:r>
            <w:r w:rsidR="00A2065A" w:rsidRPr="00C1160A">
              <w:rPr>
                <w:rFonts w:ascii="Century Gothic" w:hAnsi="Century Gothic"/>
                <w:sz w:val="20"/>
                <w:lang w:val="en-PH"/>
              </w:rPr>
              <w:t xml:space="preserve">Mathematics 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>Education</w:t>
            </w:r>
            <w:r w:rsidR="00A2065A" w:rsidRPr="00C1160A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>has enriched her experiences as a science teacher</w:t>
            </w:r>
            <w:r w:rsidR="00A2065A" w:rsidRPr="00C1160A">
              <w:rPr>
                <w:rFonts w:ascii="Century Gothic" w:hAnsi="Century Gothic"/>
                <w:sz w:val="20"/>
                <w:lang w:val="en-PH"/>
              </w:rPr>
              <w:t xml:space="preserve">. Her work in the institute involved </w:t>
            </w:r>
            <w:r w:rsidR="006D6FD1" w:rsidRPr="00C1160A">
              <w:rPr>
                <w:rFonts w:ascii="Century Gothic" w:hAnsi="Century Gothic"/>
                <w:sz w:val="20"/>
                <w:lang w:val="en-PH"/>
              </w:rPr>
              <w:t xml:space="preserve">the </w:t>
            </w:r>
            <w:r w:rsidR="00A2065A" w:rsidRPr="00C1160A">
              <w:rPr>
                <w:rFonts w:ascii="Century Gothic" w:hAnsi="Century Gothic"/>
                <w:sz w:val="20"/>
                <w:lang w:val="en-PH"/>
              </w:rPr>
              <w:t xml:space="preserve">production of modules and other learning materials in chemistry and environmental science. </w:t>
            </w:r>
            <w:r w:rsidR="00365B09" w:rsidRPr="00C1160A">
              <w:rPr>
                <w:rFonts w:ascii="Century Gothic" w:hAnsi="Century Gothic"/>
                <w:sz w:val="20"/>
                <w:lang w:val="en-PH"/>
              </w:rPr>
              <w:t xml:space="preserve">She </w:t>
            </w:r>
            <w:r w:rsidR="004D261C" w:rsidRPr="00C1160A">
              <w:rPr>
                <w:rFonts w:ascii="Century Gothic" w:hAnsi="Century Gothic"/>
                <w:sz w:val="20"/>
                <w:lang w:val="en-PH"/>
              </w:rPr>
              <w:t>served as</w:t>
            </w:r>
            <w:r w:rsidR="00365B09" w:rsidRPr="00C1160A">
              <w:rPr>
                <w:rFonts w:ascii="Century Gothic" w:hAnsi="Century Gothic"/>
                <w:sz w:val="20"/>
                <w:lang w:val="en-PH"/>
              </w:rPr>
              <w:t xml:space="preserve"> Coordinator for the Chemistry Department for almost 10 years. Currently, she </w:t>
            </w:r>
            <w:r w:rsidR="004D261C" w:rsidRPr="00C1160A">
              <w:rPr>
                <w:rFonts w:ascii="Century Gothic" w:hAnsi="Century Gothic"/>
                <w:sz w:val="20"/>
                <w:lang w:val="en-PH"/>
              </w:rPr>
              <w:t>heads</w:t>
            </w:r>
            <w:r w:rsidR="00365B09" w:rsidRPr="00C1160A">
              <w:rPr>
                <w:rFonts w:ascii="Century Gothic" w:hAnsi="Century Gothic"/>
                <w:sz w:val="20"/>
                <w:lang w:val="en-PH"/>
              </w:rPr>
              <w:t xml:space="preserve"> the Library </w:t>
            </w:r>
            <w:r w:rsidR="004D261C" w:rsidRPr="00C1160A">
              <w:rPr>
                <w:rFonts w:ascii="Century Gothic" w:hAnsi="Century Gothic"/>
                <w:sz w:val="20"/>
                <w:lang w:val="en-PH"/>
              </w:rPr>
              <w:t>Committee</w:t>
            </w:r>
            <w:r w:rsidR="00365B09" w:rsidRPr="00C1160A">
              <w:rPr>
                <w:rFonts w:ascii="Century Gothic" w:hAnsi="Century Gothic"/>
                <w:sz w:val="20"/>
                <w:lang w:val="en-PH"/>
              </w:rPr>
              <w:t xml:space="preserve"> of the College</w:t>
            </w:r>
            <w:r w:rsidR="004D261C" w:rsidRPr="00C1160A">
              <w:rPr>
                <w:rFonts w:ascii="Century Gothic" w:hAnsi="Century Gothic"/>
                <w:sz w:val="20"/>
                <w:lang w:val="en-PH"/>
              </w:rPr>
              <w:t xml:space="preserve"> of Education</w:t>
            </w:r>
            <w:r w:rsidR="00365B09" w:rsidRPr="00C1160A">
              <w:rPr>
                <w:rFonts w:ascii="Century Gothic" w:hAnsi="Century Gothic"/>
                <w:sz w:val="20"/>
                <w:lang w:val="en-PH"/>
              </w:rPr>
              <w:t>.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C1160A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100 – General Inorganic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200 – Organic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304 – Quantitative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EDUC 218/219 – Field Study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FT 104 – Food Chemistry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C1160A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B42459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100 – General Inorganic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200- Organic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EDUC 205 A – </w:t>
            </w:r>
            <w:proofErr w:type="spellStart"/>
            <w:r w:rsidRPr="00C1160A">
              <w:rPr>
                <w:rFonts w:ascii="Century Gothic" w:hAnsi="Century Gothic"/>
                <w:sz w:val="20"/>
                <w:lang w:val="en-PH"/>
              </w:rPr>
              <w:t>EducationaL</w:t>
            </w:r>
            <w:proofErr w:type="spellEnd"/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Technology 1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EDUC 219 – Field Study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NS 106 – Environmental Science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C1160A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B42459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100 – General Inorganic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200 – Organic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EDUC 220 – Field Study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NS 106 – Environmental Science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C1160A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100 – General Inorganic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200 – Organic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303 – Qualitative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304 – Quantitative 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600 – Biochemistry</w:t>
            </w:r>
          </w:p>
          <w:p w:rsidR="001E10EF" w:rsidRPr="00C1160A" w:rsidRDefault="001E10EF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NS 106 – Environmental Science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C1160A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1E10EF" w:rsidRPr="00C1160A" w:rsidRDefault="001E10EF" w:rsidP="001E10EF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100 – General Inorganic Chemistry</w:t>
            </w:r>
          </w:p>
          <w:p w:rsidR="001E10EF" w:rsidRPr="00C1160A" w:rsidRDefault="001E10EF" w:rsidP="001E10EF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200 – Organic Chemistry</w:t>
            </w:r>
          </w:p>
          <w:p w:rsidR="001E10EF" w:rsidRPr="00C1160A" w:rsidRDefault="001E10EF" w:rsidP="001E10EF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303 – Qualitative Chemistry</w:t>
            </w:r>
          </w:p>
          <w:p w:rsidR="001E10EF" w:rsidRPr="00C1160A" w:rsidRDefault="001E10EF" w:rsidP="001E10EF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304 – Quantitative Chemistry</w:t>
            </w:r>
          </w:p>
          <w:p w:rsidR="001E10EF" w:rsidRPr="00C1160A" w:rsidRDefault="001E10EF" w:rsidP="001E10EF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Chemistry 600 – Biochemistry</w:t>
            </w:r>
          </w:p>
          <w:p w:rsidR="00B42459" w:rsidRPr="00C1160A" w:rsidRDefault="001E10EF" w:rsidP="001E10EF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EDUC 206 A – Principles of Teaching 1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C1160A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C1160A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Committee on Syllabi Revision</w:t>
            </w:r>
          </w:p>
        </w:tc>
        <w:tc>
          <w:tcPr>
            <w:tcW w:w="1975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August-September 2012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0A29D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Chair</w:t>
            </w:r>
          </w:p>
        </w:tc>
        <w:tc>
          <w:tcPr>
            <w:tcW w:w="3690" w:type="dxa"/>
          </w:tcPr>
          <w:p w:rsidR="00B42459" w:rsidRPr="00C1160A" w:rsidRDefault="000A29D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AD-HOC Committee on Faculty Competence Evaluation – Chemistry courses</w:t>
            </w:r>
          </w:p>
        </w:tc>
        <w:tc>
          <w:tcPr>
            <w:tcW w:w="1975" w:type="dxa"/>
          </w:tcPr>
          <w:p w:rsidR="00B42459" w:rsidRPr="00C1160A" w:rsidRDefault="000A29D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2012-2013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0A29D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Chair</w:t>
            </w:r>
          </w:p>
        </w:tc>
        <w:tc>
          <w:tcPr>
            <w:tcW w:w="3690" w:type="dxa"/>
          </w:tcPr>
          <w:p w:rsidR="00B42459" w:rsidRPr="00C1160A" w:rsidRDefault="000A29D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Laboratories Committee, Accreditation (Food technology and Nutrition programs)</w:t>
            </w:r>
          </w:p>
        </w:tc>
        <w:tc>
          <w:tcPr>
            <w:tcW w:w="1975" w:type="dxa"/>
          </w:tcPr>
          <w:p w:rsidR="00B42459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2012-2013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Finance and Logistics Committee, Solemn Investiture 2013</w:t>
            </w:r>
          </w:p>
        </w:tc>
        <w:tc>
          <w:tcPr>
            <w:tcW w:w="1975" w:type="dxa"/>
          </w:tcPr>
          <w:p w:rsidR="00B42459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2012-2013</w:t>
            </w: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Freshmen Admission Committee</w:t>
            </w:r>
          </w:p>
        </w:tc>
        <w:tc>
          <w:tcPr>
            <w:tcW w:w="1975" w:type="dxa"/>
          </w:tcPr>
          <w:p w:rsidR="00B42459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2012-2013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Chair</w:t>
            </w:r>
          </w:p>
        </w:tc>
        <w:tc>
          <w:tcPr>
            <w:tcW w:w="3690" w:type="dxa"/>
          </w:tcPr>
          <w:p w:rsidR="00B42459" w:rsidRPr="00C1160A" w:rsidRDefault="00406BDD" w:rsidP="0084251A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Organizing Committee, Developmental Planning for Sustainable Ecology: Philippine </w:t>
            </w:r>
            <w:r w:rsidR="0084251A" w:rsidRPr="00C1160A">
              <w:rPr>
                <w:rFonts w:ascii="Century Gothic" w:hAnsi="Century Gothic"/>
                <w:sz w:val="20"/>
                <w:lang w:val="en-PH"/>
              </w:rPr>
              <w:t>S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>etting</w:t>
            </w:r>
          </w:p>
        </w:tc>
        <w:tc>
          <w:tcPr>
            <w:tcW w:w="1975" w:type="dxa"/>
          </w:tcPr>
          <w:p w:rsidR="00B42459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December 5, 2013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Student Awards Committee</w:t>
            </w:r>
          </w:p>
        </w:tc>
        <w:tc>
          <w:tcPr>
            <w:tcW w:w="1975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2013-2014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Authentication Committee</w:t>
            </w:r>
          </w:p>
        </w:tc>
        <w:tc>
          <w:tcPr>
            <w:tcW w:w="1975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2013-2014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lastRenderedPageBreak/>
              <w:t>2014-2015</w:t>
            </w:r>
          </w:p>
        </w:tc>
        <w:tc>
          <w:tcPr>
            <w:tcW w:w="1710" w:type="dxa"/>
          </w:tcPr>
          <w:p w:rsidR="00B42459" w:rsidRPr="00C1160A" w:rsidRDefault="0084251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Over-all Co-chair</w:t>
            </w:r>
          </w:p>
        </w:tc>
        <w:tc>
          <w:tcPr>
            <w:tcW w:w="3690" w:type="dxa"/>
          </w:tcPr>
          <w:p w:rsidR="00B42459" w:rsidRPr="00C1160A" w:rsidRDefault="0084251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Graduation </w:t>
            </w:r>
            <w:proofErr w:type="spellStart"/>
            <w:r w:rsidRPr="00C1160A">
              <w:rPr>
                <w:rFonts w:ascii="Century Gothic" w:hAnsi="Century Gothic"/>
                <w:sz w:val="20"/>
                <w:lang w:val="en-PH"/>
              </w:rPr>
              <w:t>Committe</w:t>
            </w:r>
            <w:proofErr w:type="spellEnd"/>
          </w:p>
        </w:tc>
        <w:tc>
          <w:tcPr>
            <w:tcW w:w="1975" w:type="dxa"/>
          </w:tcPr>
          <w:p w:rsidR="00B42459" w:rsidRPr="00C1160A" w:rsidRDefault="0084251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2014-2015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84251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84251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AD-HOC Committee on Faculty Competence Evaluation</w:t>
            </w:r>
          </w:p>
        </w:tc>
        <w:tc>
          <w:tcPr>
            <w:tcW w:w="1975" w:type="dxa"/>
          </w:tcPr>
          <w:p w:rsidR="00B42459" w:rsidRPr="00C1160A" w:rsidRDefault="0084251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2014-2015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84251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C1160A">
              <w:rPr>
                <w:rFonts w:ascii="Century Gothic" w:hAnsi="Century Gothic"/>
                <w:sz w:val="20"/>
                <w:lang w:val="en-PH"/>
              </w:rPr>
              <w:t>Styllabus</w:t>
            </w:r>
            <w:proofErr w:type="spellEnd"/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Revision (Natural Science)</w:t>
            </w:r>
          </w:p>
        </w:tc>
        <w:tc>
          <w:tcPr>
            <w:tcW w:w="1975" w:type="dxa"/>
          </w:tcPr>
          <w:p w:rsidR="00B42459" w:rsidRPr="00C1160A" w:rsidRDefault="00AE18F3" w:rsidP="00AE18F3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2014-2015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Syllabus Revision (Chemistry)</w:t>
            </w:r>
          </w:p>
        </w:tc>
        <w:tc>
          <w:tcPr>
            <w:tcW w:w="1975" w:type="dxa"/>
          </w:tcPr>
          <w:p w:rsidR="00B42459" w:rsidRPr="00C1160A" w:rsidRDefault="00AE18F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2014-2015</w:t>
            </w:r>
          </w:p>
        </w:tc>
      </w:tr>
      <w:tr w:rsidR="00EF617D" w:rsidRPr="000548E9" w:rsidTr="00B42459">
        <w:trPr>
          <w:trHeight w:val="91"/>
        </w:trPr>
        <w:tc>
          <w:tcPr>
            <w:tcW w:w="1975" w:type="dxa"/>
            <w:vMerge w:val="restart"/>
          </w:tcPr>
          <w:p w:rsidR="00EF617D" w:rsidRPr="000548E9" w:rsidRDefault="00EF617D" w:rsidP="00EF617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EF617D" w:rsidRPr="00C1160A" w:rsidRDefault="00EF617D" w:rsidP="00EF617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EF617D" w:rsidRPr="00C1160A" w:rsidRDefault="00EF617D" w:rsidP="00EF617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Program Committee, Solemn Investiture 2016</w:t>
            </w:r>
          </w:p>
        </w:tc>
        <w:tc>
          <w:tcPr>
            <w:tcW w:w="1975" w:type="dxa"/>
          </w:tcPr>
          <w:p w:rsidR="00EF617D" w:rsidRPr="00C1160A" w:rsidRDefault="00EF617D" w:rsidP="00EF617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2015-2016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Authentication Committee</w:t>
            </w:r>
          </w:p>
        </w:tc>
        <w:tc>
          <w:tcPr>
            <w:tcW w:w="1975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1</w:t>
            </w:r>
            <w:r w:rsidRPr="00C1160A">
              <w:rPr>
                <w:rFonts w:ascii="Century Gothic" w:hAnsi="Century Gothic"/>
                <w:sz w:val="20"/>
                <w:vertAlign w:val="superscript"/>
                <w:lang w:val="en-PH"/>
              </w:rPr>
              <w:t>st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Term, AY 2015-2016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Chairperson</w:t>
            </w:r>
          </w:p>
        </w:tc>
        <w:tc>
          <w:tcPr>
            <w:tcW w:w="369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Student Awards Committee</w:t>
            </w:r>
          </w:p>
        </w:tc>
        <w:tc>
          <w:tcPr>
            <w:tcW w:w="1975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2015-2016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Chairperson</w:t>
            </w:r>
          </w:p>
        </w:tc>
        <w:tc>
          <w:tcPr>
            <w:tcW w:w="369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Communication Group, Crisis Management Team</w:t>
            </w:r>
          </w:p>
        </w:tc>
        <w:tc>
          <w:tcPr>
            <w:tcW w:w="1975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2015-2016</w:t>
            </w:r>
          </w:p>
        </w:tc>
      </w:tr>
      <w:tr w:rsidR="000B10CE" w:rsidRPr="000548E9" w:rsidTr="00B42459">
        <w:trPr>
          <w:trHeight w:val="91"/>
        </w:trPr>
        <w:tc>
          <w:tcPr>
            <w:tcW w:w="1975" w:type="dxa"/>
            <w:vMerge w:val="restart"/>
          </w:tcPr>
          <w:p w:rsidR="000B10CE" w:rsidRPr="000548E9" w:rsidRDefault="000B10CE" w:rsidP="000B10CE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0B10CE" w:rsidRPr="00C1160A" w:rsidRDefault="000B10CE" w:rsidP="000B10CE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Chairperson</w:t>
            </w:r>
          </w:p>
        </w:tc>
        <w:tc>
          <w:tcPr>
            <w:tcW w:w="3690" w:type="dxa"/>
          </w:tcPr>
          <w:p w:rsidR="000B10CE" w:rsidRPr="00C1160A" w:rsidRDefault="000B10CE" w:rsidP="000B10CE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Communication Group, Crisis Management Team</w:t>
            </w:r>
          </w:p>
        </w:tc>
        <w:tc>
          <w:tcPr>
            <w:tcW w:w="1975" w:type="dxa"/>
          </w:tcPr>
          <w:p w:rsidR="000B10CE" w:rsidRPr="00C1160A" w:rsidRDefault="000B10CE" w:rsidP="000B10CE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2016-2017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Committee on AUN-Quality Assurance Criteria 10-11</w:t>
            </w:r>
          </w:p>
        </w:tc>
        <w:tc>
          <w:tcPr>
            <w:tcW w:w="1975" w:type="dxa"/>
          </w:tcPr>
          <w:p w:rsidR="00B42459" w:rsidRPr="00C1160A" w:rsidRDefault="000B10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2016-2017</w:t>
            </w:r>
          </w:p>
        </w:tc>
      </w:tr>
      <w:tr w:rsidR="00EF617D" w:rsidRPr="000548E9" w:rsidTr="00B42459">
        <w:trPr>
          <w:trHeight w:val="126"/>
        </w:trPr>
        <w:tc>
          <w:tcPr>
            <w:tcW w:w="1975" w:type="dxa"/>
            <w:vMerge/>
          </w:tcPr>
          <w:p w:rsidR="00EF617D" w:rsidRDefault="00EF617D" w:rsidP="00EF617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EF617D" w:rsidRPr="00C1160A" w:rsidRDefault="00EF617D" w:rsidP="00EF617D">
            <w:pPr>
              <w:rPr>
                <w:rFonts w:ascii="Century Gothic" w:hAnsi="Century Gothic"/>
                <w:sz w:val="20"/>
              </w:rPr>
            </w:pPr>
            <w:r w:rsidRPr="00C1160A">
              <w:rPr>
                <w:rFonts w:ascii="Century Gothic" w:hAnsi="Century Gothic"/>
                <w:sz w:val="20"/>
              </w:rPr>
              <w:t>Member</w:t>
            </w:r>
          </w:p>
        </w:tc>
        <w:tc>
          <w:tcPr>
            <w:tcW w:w="3690" w:type="dxa"/>
          </w:tcPr>
          <w:p w:rsidR="00EF617D" w:rsidRPr="00C1160A" w:rsidRDefault="00EF617D" w:rsidP="00EF617D">
            <w:pPr>
              <w:rPr>
                <w:rFonts w:ascii="Century Gothic" w:hAnsi="Century Gothic"/>
                <w:sz w:val="20"/>
              </w:rPr>
            </w:pPr>
            <w:r w:rsidRPr="00C1160A">
              <w:rPr>
                <w:rFonts w:ascii="Century Gothic" w:hAnsi="Century Gothic"/>
                <w:sz w:val="20"/>
              </w:rPr>
              <w:t>Thesis Writing Guidebook Committee</w:t>
            </w:r>
          </w:p>
        </w:tc>
        <w:tc>
          <w:tcPr>
            <w:tcW w:w="1975" w:type="dxa"/>
          </w:tcPr>
          <w:p w:rsidR="00EF617D" w:rsidRPr="00C1160A" w:rsidRDefault="00EF617D" w:rsidP="00EF617D">
            <w:pPr>
              <w:rPr>
                <w:rFonts w:ascii="Century Gothic" w:hAnsi="Century Gothic"/>
                <w:sz w:val="20"/>
              </w:rPr>
            </w:pPr>
            <w:r w:rsidRPr="00C1160A">
              <w:rPr>
                <w:rFonts w:ascii="Century Gothic" w:hAnsi="Century Gothic"/>
                <w:sz w:val="20"/>
              </w:rPr>
              <w:t>AY 2016-2017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C1160A" w:rsidRDefault="00EF617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C1160A" w:rsidRDefault="00EF617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Gift and Prizes Committee,</w:t>
            </w:r>
          </w:p>
          <w:p w:rsidR="00EF617D" w:rsidRPr="00C1160A" w:rsidRDefault="00EF617D" w:rsidP="00EF617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2</w:t>
            </w:r>
            <w:r w:rsidRPr="00C1160A">
              <w:rPr>
                <w:rFonts w:ascii="Century Gothic" w:hAnsi="Century Gothic"/>
                <w:sz w:val="20"/>
                <w:vertAlign w:val="superscript"/>
                <w:lang w:val="en-PH"/>
              </w:rPr>
              <w:t>nd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International Conference and 6</w:t>
            </w:r>
            <w:r w:rsidRPr="00C1160A">
              <w:rPr>
                <w:rFonts w:ascii="Century Gothic" w:hAnsi="Century Gothic"/>
                <w:sz w:val="20"/>
                <w:vertAlign w:val="superscript"/>
                <w:lang w:val="en-PH"/>
              </w:rPr>
              <w:t>th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Tri-Level Conference of Teachers and Educators</w:t>
            </w:r>
          </w:p>
        </w:tc>
        <w:tc>
          <w:tcPr>
            <w:tcW w:w="1975" w:type="dxa"/>
          </w:tcPr>
          <w:p w:rsidR="00B42459" w:rsidRPr="00C1160A" w:rsidRDefault="00EF617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1</w:t>
            </w:r>
            <w:r w:rsidRPr="00C1160A">
              <w:rPr>
                <w:rFonts w:ascii="Century Gothic" w:hAnsi="Century Gothic"/>
                <w:sz w:val="20"/>
                <w:vertAlign w:val="superscript"/>
                <w:lang w:val="en-PH"/>
              </w:rPr>
              <w:t>st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Term AY 2016-2017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1160A" w:rsidRDefault="00C1160A" w:rsidP="002C354D">
            <w:pPr>
              <w:rPr>
                <w:rFonts w:ascii="Century Gothic" w:hAnsi="Century Gothic"/>
                <w:lang w:val="en-PH"/>
              </w:rPr>
            </w:pPr>
          </w:p>
          <w:p w:rsidR="00406BDD" w:rsidRPr="00C1160A" w:rsidRDefault="008C4889" w:rsidP="00406BD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AY </w:t>
            </w:r>
            <w:r w:rsidR="000A29DC" w:rsidRPr="00C1160A">
              <w:rPr>
                <w:rFonts w:ascii="Century Gothic" w:hAnsi="Century Gothic"/>
                <w:sz w:val="20"/>
                <w:lang w:val="en-PH"/>
              </w:rPr>
              <w:t>201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>3</w:t>
            </w:r>
            <w:r w:rsidR="000A29DC" w:rsidRPr="00C1160A">
              <w:rPr>
                <w:rFonts w:ascii="Century Gothic" w:hAnsi="Century Gothic"/>
                <w:sz w:val="20"/>
                <w:lang w:val="en-PH"/>
              </w:rPr>
              <w:t>- 201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>7</w:t>
            </w:r>
            <w:r w:rsidR="000A29DC" w:rsidRPr="00C1160A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406BDD" w:rsidRPr="00C1160A">
              <w:rPr>
                <w:rFonts w:ascii="Century Gothic" w:hAnsi="Century Gothic"/>
                <w:sz w:val="20"/>
                <w:lang w:val="en-PH"/>
              </w:rPr>
              <w:t>Laboratory Manual in Qualitative Analysis (co-author)</w:t>
            </w:r>
          </w:p>
          <w:p w:rsidR="000A29DC" w:rsidRPr="00C1160A" w:rsidRDefault="00406BD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                  </w:t>
            </w:r>
            <w:r w:rsidR="008C4889" w:rsidRPr="00C1160A">
              <w:rPr>
                <w:rFonts w:ascii="Century Gothic" w:hAnsi="Century Gothic"/>
                <w:sz w:val="20"/>
                <w:lang w:val="en-PH"/>
              </w:rPr>
              <w:t xml:space="preserve">      </w:t>
            </w:r>
            <w:r w:rsidR="000A29DC" w:rsidRPr="00C1160A">
              <w:rPr>
                <w:rFonts w:ascii="Century Gothic" w:hAnsi="Century Gothic"/>
                <w:sz w:val="20"/>
                <w:lang w:val="en-PH"/>
              </w:rPr>
              <w:t>Compilation of Experiments in Environmental Science  (co-author)</w:t>
            </w:r>
          </w:p>
          <w:p w:rsidR="00C1160A" w:rsidRPr="00C1160A" w:rsidRDefault="00C1160A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060B23" w:rsidRPr="00C1160A" w:rsidRDefault="00060B2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AY 2011-2012  Laboratory Manual in Inorganic Chemistry (co-author)</w:t>
            </w:r>
          </w:p>
          <w:p w:rsidR="00C1160A" w:rsidRPr="00C1160A" w:rsidRDefault="00C1160A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0A29DC" w:rsidRPr="00C1160A" w:rsidRDefault="008C488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AY </w:t>
            </w:r>
            <w:r w:rsidR="000A29DC" w:rsidRPr="00C1160A">
              <w:rPr>
                <w:rFonts w:ascii="Century Gothic" w:hAnsi="Century Gothic"/>
                <w:sz w:val="20"/>
                <w:lang w:val="en-PH"/>
              </w:rPr>
              <w:t xml:space="preserve">2011-2012  Inter-University Research on “Anxieties, Aspirations, and Wisdom of the        </w:t>
            </w:r>
          </w:p>
          <w:p w:rsidR="00B42459" w:rsidRPr="00C1160A" w:rsidRDefault="000A29D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 xml:space="preserve">                   </w:t>
            </w:r>
            <w:r w:rsidR="008C4889" w:rsidRPr="00C1160A">
              <w:rPr>
                <w:rFonts w:ascii="Century Gothic" w:hAnsi="Century Gothic"/>
                <w:sz w:val="20"/>
                <w:lang w:val="en-PH"/>
              </w:rPr>
              <w:t xml:space="preserve">      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>Elderly in the Academe”</w:t>
            </w:r>
          </w:p>
          <w:p w:rsidR="00C1160A" w:rsidRPr="000548E9" w:rsidRDefault="00C1160A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C1160A" w:rsidTr="00150C59">
        <w:tc>
          <w:tcPr>
            <w:tcW w:w="2334" w:type="dxa"/>
          </w:tcPr>
          <w:p w:rsidR="00150C59" w:rsidRPr="00C1160A" w:rsidRDefault="00A2065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Reactor</w:t>
            </w:r>
          </w:p>
        </w:tc>
        <w:tc>
          <w:tcPr>
            <w:tcW w:w="5221" w:type="dxa"/>
          </w:tcPr>
          <w:p w:rsidR="00150C59" w:rsidRPr="00C1160A" w:rsidRDefault="00A2065A" w:rsidP="00A2065A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Knowledge Exchange Series on, “e-books and e-readers: a passing pad or wave for the future</w:t>
            </w:r>
            <w:r w:rsidR="00AE18F3" w:rsidRPr="00C1160A">
              <w:rPr>
                <w:rFonts w:ascii="Century Gothic" w:hAnsi="Century Gothic"/>
                <w:sz w:val="20"/>
                <w:lang w:val="en-PH"/>
              </w:rPr>
              <w:t>?</w:t>
            </w:r>
            <w:r w:rsidRPr="00C1160A">
              <w:rPr>
                <w:rFonts w:ascii="Century Gothic" w:hAnsi="Century Gothic"/>
                <w:sz w:val="20"/>
                <w:lang w:val="en-PH"/>
              </w:rPr>
              <w:t>”</w:t>
            </w:r>
          </w:p>
        </w:tc>
        <w:tc>
          <w:tcPr>
            <w:tcW w:w="1795" w:type="dxa"/>
          </w:tcPr>
          <w:p w:rsidR="00150C59" w:rsidRPr="00C1160A" w:rsidRDefault="00A2065A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C1160A">
              <w:rPr>
                <w:rFonts w:ascii="Century Gothic" w:hAnsi="Century Gothic"/>
                <w:sz w:val="20"/>
                <w:lang w:val="en-PH"/>
              </w:rPr>
              <w:t>March 31, 2017</w:t>
            </w: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060B23"/>
    <w:rsid w:val="000A29DC"/>
    <w:rsid w:val="000B10CE"/>
    <w:rsid w:val="00150C59"/>
    <w:rsid w:val="001E10EF"/>
    <w:rsid w:val="001E7BF5"/>
    <w:rsid w:val="00365B09"/>
    <w:rsid w:val="003A30D2"/>
    <w:rsid w:val="00406BDD"/>
    <w:rsid w:val="004D261C"/>
    <w:rsid w:val="006D6FD1"/>
    <w:rsid w:val="0084251A"/>
    <w:rsid w:val="008A358B"/>
    <w:rsid w:val="008C4889"/>
    <w:rsid w:val="009E57B0"/>
    <w:rsid w:val="00A2065A"/>
    <w:rsid w:val="00AE18F3"/>
    <w:rsid w:val="00B42459"/>
    <w:rsid w:val="00B712E0"/>
    <w:rsid w:val="00C1160A"/>
    <w:rsid w:val="00C632AF"/>
    <w:rsid w:val="00C63D39"/>
    <w:rsid w:val="00DC602E"/>
    <w:rsid w:val="00E6776B"/>
    <w:rsid w:val="00E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rcabusao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7</cp:revision>
  <dcterms:created xsi:type="dcterms:W3CDTF">2017-04-06T23:57:00Z</dcterms:created>
  <dcterms:modified xsi:type="dcterms:W3CDTF">2017-04-13T14:27:00Z</dcterms:modified>
</cp:coreProperties>
</file>