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9A3846" w:rsidP="009A38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Mr.</w:t>
            </w:r>
            <w:r w:rsidR="00861BBB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KEVIN E. CARPIO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9A38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A02B19" w:rsidRPr="000548E9" w:rsidTr="00B42459">
        <w:tc>
          <w:tcPr>
            <w:tcW w:w="2334" w:type="dxa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Nutrition and Dietetics</w:t>
            </w:r>
          </w:p>
        </w:tc>
      </w:tr>
      <w:tr w:rsidR="00A02B19" w:rsidRPr="000548E9" w:rsidTr="00B42459">
        <w:tc>
          <w:tcPr>
            <w:tcW w:w="2334" w:type="dxa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Nutrition and Dietetics</w:t>
            </w:r>
          </w:p>
        </w:tc>
      </w:tr>
      <w:tr w:rsidR="00A02B19" w:rsidRPr="000548E9" w:rsidTr="00B42459">
        <w:tc>
          <w:tcPr>
            <w:tcW w:w="2334" w:type="dxa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A02B19" w:rsidRPr="000548E9" w:rsidRDefault="00323003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406 1611 </w:t>
            </w:r>
            <w:proofErr w:type="spellStart"/>
            <w:r>
              <w:rPr>
                <w:rFonts w:ascii="Century Gothic" w:hAnsi="Century Gothic"/>
                <w:lang w:val="en-PH"/>
              </w:rPr>
              <w:t>loc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</w:t>
            </w:r>
            <w:r w:rsidR="00A02B19">
              <w:rPr>
                <w:rFonts w:ascii="Century Gothic" w:hAnsi="Century Gothic"/>
                <w:lang w:val="en-PH"/>
              </w:rPr>
              <w:t>8476</w:t>
            </w:r>
          </w:p>
        </w:tc>
      </w:tr>
      <w:tr w:rsidR="00A02B19" w:rsidRPr="000548E9" w:rsidTr="00B42459">
        <w:tc>
          <w:tcPr>
            <w:tcW w:w="2334" w:type="dxa"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A02B19" w:rsidRPr="000548E9" w:rsidRDefault="00323003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kecarpio@ust.edu.ph</w:t>
            </w:r>
          </w:p>
        </w:tc>
      </w:tr>
      <w:tr w:rsidR="00A02B19" w:rsidRPr="000548E9" w:rsidTr="00B42459">
        <w:tc>
          <w:tcPr>
            <w:tcW w:w="2334" w:type="dxa"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A02B19" w:rsidRPr="000548E9" w:rsidRDefault="009A3846" w:rsidP="009A384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W</w:t>
            </w:r>
            <w:r w:rsidR="005B1964">
              <w:rPr>
                <w:rFonts w:ascii="Century Gothic" w:hAnsi="Century Gothic"/>
                <w:lang w:val="en-PH"/>
              </w:rPr>
              <w:t xml:space="preserve">, 1:00 </w:t>
            </w:r>
            <w:r>
              <w:rPr>
                <w:rFonts w:ascii="Century Gothic" w:hAnsi="Century Gothic"/>
                <w:lang w:val="en-PH"/>
              </w:rPr>
              <w:t>-</w:t>
            </w:r>
            <w:r w:rsidR="005B1964">
              <w:rPr>
                <w:rFonts w:ascii="Century Gothic" w:hAnsi="Century Gothic"/>
                <w:lang w:val="en-PH"/>
              </w:rPr>
              <w:t xml:space="preserve"> 3</w:t>
            </w:r>
            <w:r w:rsidR="00A02B19">
              <w:rPr>
                <w:rFonts w:ascii="Century Gothic" w:hAnsi="Century Gothic"/>
                <w:lang w:val="en-PH"/>
              </w:rPr>
              <w:t>:00 PM</w:t>
            </w:r>
          </w:p>
        </w:tc>
      </w:tr>
      <w:tr w:rsidR="00A02B19" w:rsidRPr="000548E9" w:rsidTr="00B42459">
        <w:trPr>
          <w:trHeight w:val="194"/>
        </w:trPr>
        <w:tc>
          <w:tcPr>
            <w:tcW w:w="2334" w:type="dxa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A02B19" w:rsidRPr="000548E9" w:rsidRDefault="00A02B19" w:rsidP="00A02B1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A02B19" w:rsidRPr="000548E9" w:rsidRDefault="00A02B19" w:rsidP="00A02B1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A02B19" w:rsidRPr="000548E9" w:rsidRDefault="00A02B19" w:rsidP="00A02B1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A02B19" w:rsidRPr="000548E9" w:rsidTr="00B42459">
        <w:trPr>
          <w:trHeight w:val="115"/>
        </w:trPr>
        <w:tc>
          <w:tcPr>
            <w:tcW w:w="2334" w:type="dxa"/>
          </w:tcPr>
          <w:p w:rsidR="00A02B19" w:rsidRPr="00B42459" w:rsidRDefault="00A02B19" w:rsidP="00A02B1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A02B19" w:rsidRPr="000548E9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A02B19" w:rsidRPr="000548E9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A02B19" w:rsidRPr="000548E9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A02B19" w:rsidRPr="000548E9" w:rsidTr="00B42459">
        <w:trPr>
          <w:trHeight w:val="126"/>
        </w:trPr>
        <w:tc>
          <w:tcPr>
            <w:tcW w:w="2334" w:type="dxa"/>
          </w:tcPr>
          <w:p w:rsidR="00A02B19" w:rsidRPr="00B42459" w:rsidRDefault="00A02B19" w:rsidP="00A02B1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Master of Science in Clinical Nutrition</w:t>
            </w:r>
          </w:p>
        </w:tc>
        <w:tc>
          <w:tcPr>
            <w:tcW w:w="2013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Philippine Women’s University</w:t>
            </w:r>
          </w:p>
        </w:tc>
        <w:tc>
          <w:tcPr>
            <w:tcW w:w="2032" w:type="dxa"/>
          </w:tcPr>
          <w:p w:rsidR="00A02B19" w:rsidRPr="009A3846" w:rsidRDefault="00A02B19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A02B19" w:rsidRPr="000548E9" w:rsidTr="00B42459">
        <w:trPr>
          <w:trHeight w:val="133"/>
        </w:trPr>
        <w:tc>
          <w:tcPr>
            <w:tcW w:w="2334" w:type="dxa"/>
          </w:tcPr>
          <w:p w:rsidR="00A02B19" w:rsidRPr="00B42459" w:rsidRDefault="00A02B19" w:rsidP="00A02B1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317338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Bachelor of Science in Nutrition and Dietetics</w:t>
            </w:r>
          </w:p>
        </w:tc>
        <w:tc>
          <w:tcPr>
            <w:tcW w:w="2013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A02B19" w:rsidRPr="009A3846" w:rsidRDefault="00A02B19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2012</w:t>
            </w:r>
          </w:p>
        </w:tc>
      </w:tr>
      <w:tr w:rsidR="00A02B1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A02B19" w:rsidRPr="000548E9" w:rsidRDefault="00A02B19" w:rsidP="00A02B1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A02B19" w:rsidRPr="00B42459" w:rsidRDefault="00A02B19" w:rsidP="00A02B1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A02B19" w:rsidRPr="00B42459" w:rsidRDefault="00A02B19" w:rsidP="00A02B1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A02B19" w:rsidRPr="00B42459" w:rsidRDefault="00A02B19" w:rsidP="00A02B1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A02B19" w:rsidRPr="000548E9" w:rsidTr="00B42459">
        <w:trPr>
          <w:trHeight w:val="138"/>
        </w:trPr>
        <w:tc>
          <w:tcPr>
            <w:tcW w:w="2334" w:type="dxa"/>
            <w:vMerge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Philippine Association of Nutrition</w:t>
            </w:r>
            <w:r w:rsidR="0007213A" w:rsidRPr="009A3846">
              <w:rPr>
                <w:rFonts w:ascii="Century Gothic" w:hAnsi="Century Gothic"/>
                <w:sz w:val="20"/>
                <w:lang w:val="en-PH"/>
              </w:rPr>
              <w:t>, Inc.</w:t>
            </w:r>
          </w:p>
        </w:tc>
        <w:tc>
          <w:tcPr>
            <w:tcW w:w="2013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A02B19" w:rsidRPr="009A3846" w:rsidRDefault="00A02B19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</w:t>
            </w:r>
            <w:r w:rsidR="006C79A6">
              <w:rPr>
                <w:rFonts w:ascii="Century Gothic" w:hAnsi="Century Gothic"/>
                <w:sz w:val="20"/>
                <w:lang w:val="en-PH"/>
              </w:rPr>
              <w:t xml:space="preserve"> – present</w:t>
            </w:r>
          </w:p>
        </w:tc>
      </w:tr>
      <w:tr w:rsidR="00A02B19" w:rsidRPr="000548E9" w:rsidTr="00B42459">
        <w:trPr>
          <w:trHeight w:val="99"/>
        </w:trPr>
        <w:tc>
          <w:tcPr>
            <w:tcW w:w="2334" w:type="dxa"/>
            <w:vMerge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A02B19" w:rsidRPr="009A3846" w:rsidRDefault="00A02B19" w:rsidP="00323003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Philippine Society of 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>Parenteral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and 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>Enteral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Nutrition</w:t>
            </w:r>
          </w:p>
        </w:tc>
        <w:tc>
          <w:tcPr>
            <w:tcW w:w="2013" w:type="dxa"/>
          </w:tcPr>
          <w:p w:rsidR="00A02B19" w:rsidRPr="009A3846" w:rsidRDefault="00A02B19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A02B19" w:rsidRPr="009A3846" w:rsidRDefault="006C79A6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2012 – present</w:t>
            </w:r>
          </w:p>
        </w:tc>
      </w:tr>
      <w:tr w:rsidR="00A02B19" w:rsidRPr="000548E9" w:rsidTr="00B42459">
        <w:trPr>
          <w:trHeight w:val="138"/>
        </w:trPr>
        <w:tc>
          <w:tcPr>
            <w:tcW w:w="2334" w:type="dxa"/>
            <w:vMerge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A02B19" w:rsidRPr="009A3846" w:rsidRDefault="00882FD1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Nutritionist-Dietitians’ Association of the Philippines</w:t>
            </w:r>
          </w:p>
        </w:tc>
        <w:tc>
          <w:tcPr>
            <w:tcW w:w="2013" w:type="dxa"/>
          </w:tcPr>
          <w:p w:rsidR="00A02B19" w:rsidRPr="009A3846" w:rsidRDefault="00882FD1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A02B19" w:rsidRPr="009A3846" w:rsidRDefault="00882FD1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2012</w:t>
            </w:r>
            <w:r w:rsidR="006C79A6">
              <w:rPr>
                <w:rFonts w:ascii="Century Gothic" w:hAnsi="Century Gothic"/>
                <w:sz w:val="20"/>
                <w:lang w:val="en-PH"/>
              </w:rPr>
              <w:t xml:space="preserve"> – present</w:t>
            </w:r>
          </w:p>
        </w:tc>
      </w:tr>
      <w:tr w:rsidR="00A02B19" w:rsidRPr="000548E9" w:rsidTr="00B42459">
        <w:trPr>
          <w:trHeight w:val="126"/>
        </w:trPr>
        <w:tc>
          <w:tcPr>
            <w:tcW w:w="2334" w:type="dxa"/>
            <w:vMerge/>
          </w:tcPr>
          <w:p w:rsidR="00A02B19" w:rsidRDefault="00A02B19" w:rsidP="00A02B1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A02B19" w:rsidRPr="009A3846" w:rsidRDefault="00882FD1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American Society for Parenteral and Enteral Nutrition</w:t>
            </w:r>
          </w:p>
        </w:tc>
        <w:tc>
          <w:tcPr>
            <w:tcW w:w="2013" w:type="dxa"/>
          </w:tcPr>
          <w:p w:rsidR="00A02B19" w:rsidRPr="009A3846" w:rsidRDefault="00882FD1" w:rsidP="00A02B19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A02B19" w:rsidRPr="009A3846" w:rsidRDefault="00882FD1" w:rsidP="00317338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</w:t>
            </w:r>
            <w:r w:rsidR="006C79A6">
              <w:rPr>
                <w:rFonts w:ascii="Century Gothic" w:hAnsi="Century Gothic"/>
                <w:sz w:val="20"/>
                <w:lang w:val="en-PH"/>
              </w:rPr>
              <w:t xml:space="preserve"> –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9A3846" w:rsidRDefault="009A3846">
            <w:pPr>
              <w:rPr>
                <w:rFonts w:ascii="Century Gothic" w:hAnsi="Century Gothic"/>
                <w:lang w:val="en-PH"/>
              </w:rPr>
            </w:pPr>
          </w:p>
          <w:p w:rsidR="00A30B61" w:rsidRPr="009A3846" w:rsidRDefault="00323003" w:rsidP="00A30B61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Kevin E.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MSc, RND is an Instructor III at the </w:t>
            </w:r>
            <w:r w:rsidR="00937BE7" w:rsidRPr="009A3846">
              <w:rPr>
                <w:rFonts w:ascii="Century Gothic" w:hAnsi="Century Gothic"/>
                <w:sz w:val="20"/>
                <w:lang w:val="en-PH"/>
              </w:rPr>
              <w:t xml:space="preserve">Department of Nutrition and Dietetics </w:t>
            </w:r>
            <w:r w:rsidR="00882FD1" w:rsidRPr="009A3846">
              <w:rPr>
                <w:rFonts w:ascii="Century Gothic" w:hAnsi="Century Gothic"/>
                <w:sz w:val="20"/>
                <w:lang w:val="en-PH"/>
              </w:rPr>
              <w:t>of the</w:t>
            </w:r>
            <w:r w:rsidR="00937BE7"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University of Santo Tomas, where he </w:t>
            </w:r>
            <w:r w:rsidR="00621C25" w:rsidRPr="009A3846">
              <w:rPr>
                <w:rFonts w:ascii="Century Gothic" w:hAnsi="Century Gothic"/>
                <w:sz w:val="20"/>
                <w:lang w:val="en-PH"/>
              </w:rPr>
              <w:t>handles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professional </w:t>
            </w:r>
            <w:r w:rsidR="00621C25" w:rsidRPr="009A3846">
              <w:rPr>
                <w:rFonts w:ascii="Century Gothic" w:hAnsi="Century Gothic"/>
                <w:sz w:val="20"/>
                <w:lang w:val="en-PH"/>
              </w:rPr>
              <w:t xml:space="preserve">nutrition 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courses such as Nutrition Therapy, Food Service Systems, and Applied Wellness and Sports Nutrition. </w:t>
            </w:r>
          </w:p>
          <w:p w:rsidR="00A30B61" w:rsidRPr="009A3846" w:rsidRDefault="00A30B61" w:rsidP="00A30B61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621C25" w:rsidRDefault="00E727D8" w:rsidP="00164DAC">
            <w:pPr>
              <w:rPr>
                <w:rFonts w:ascii="Century Gothic" w:hAnsi="Century Gothic"/>
                <w:sz w:val="20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Mr.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 earned his Bachelor’s degree in Nutrition and Dietetics at </w:t>
            </w:r>
            <w:r w:rsidR="00882FD1" w:rsidRPr="009A3846">
              <w:rPr>
                <w:rFonts w:ascii="Century Gothic" w:hAnsi="Century Gothic"/>
                <w:sz w:val="20"/>
                <w:lang w:val="en-PH"/>
              </w:rPr>
              <w:t>UST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r w:rsidR="008D0334" w:rsidRPr="009A3846">
              <w:rPr>
                <w:rFonts w:ascii="Century Gothic" w:hAnsi="Century Gothic"/>
                <w:sz w:val="20"/>
                <w:lang w:val="en-PH"/>
              </w:rPr>
              <w:t>where he received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 several awards including 4</w:t>
            </w:r>
            <w:r w:rsidR="00323003" w:rsidRPr="009A3846">
              <w:rPr>
                <w:rFonts w:ascii="Century Gothic" w:hAnsi="Century Gothic"/>
                <w:sz w:val="20"/>
                <w:vertAlign w:val="superscript"/>
                <w:lang w:val="en-PH"/>
              </w:rPr>
              <w:t>th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5E553D" w:rsidRPr="009A3846">
              <w:rPr>
                <w:rFonts w:ascii="Century Gothic" w:hAnsi="Century Gothic"/>
                <w:sz w:val="20"/>
                <w:lang w:val="en-PH"/>
              </w:rPr>
              <w:t xml:space="preserve">place 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>in the</w:t>
            </w:r>
            <w:r w:rsidR="00884263" w:rsidRPr="009A3846">
              <w:rPr>
                <w:rFonts w:ascii="Century Gothic" w:hAnsi="Century Gothic"/>
                <w:sz w:val="20"/>
                <w:lang w:val="en-PH"/>
              </w:rPr>
              <w:t xml:space="preserve"> Board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 Licensure Examination</w:t>
            </w:r>
            <w:r w:rsidR="00E30778" w:rsidRPr="009A3846">
              <w:rPr>
                <w:rFonts w:ascii="Century Gothic" w:hAnsi="Century Gothic"/>
                <w:sz w:val="20"/>
                <w:lang w:val="en-PH"/>
              </w:rPr>
              <w:t>s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 for Nutritionist-</w:t>
            </w:r>
            <w:r w:rsidR="00E30778" w:rsidRPr="009A3846">
              <w:rPr>
                <w:rFonts w:ascii="Century Gothic" w:hAnsi="Century Gothic"/>
                <w:sz w:val="20"/>
                <w:lang w:val="en-PH"/>
              </w:rPr>
              <w:t>Dietitians</w:t>
            </w:r>
            <w:r w:rsidR="00323003" w:rsidRPr="009A3846">
              <w:rPr>
                <w:rFonts w:ascii="Century Gothic" w:hAnsi="Century Gothic"/>
                <w:sz w:val="20"/>
                <w:lang w:val="en-PH"/>
              </w:rPr>
              <w:t xml:space="preserve">. He obtained his Master’s degree in Clinical Nutrition at the Philippine Women’s University. </w:t>
            </w:r>
            <w:r w:rsidR="00A30B61" w:rsidRPr="009A3846">
              <w:rPr>
                <w:rFonts w:ascii="Century Gothic" w:hAnsi="Century Gothic"/>
                <w:sz w:val="20"/>
              </w:rPr>
              <w:t xml:space="preserve">Prior to joining the academe, Mr. </w:t>
            </w:r>
            <w:proofErr w:type="spellStart"/>
            <w:r w:rsidR="00A30B61" w:rsidRPr="009A3846">
              <w:rPr>
                <w:rFonts w:ascii="Century Gothic" w:hAnsi="Century Gothic"/>
                <w:sz w:val="20"/>
              </w:rPr>
              <w:t>Carpio</w:t>
            </w:r>
            <w:proofErr w:type="spellEnd"/>
            <w:r w:rsidR="00A30B61" w:rsidRPr="009A3846">
              <w:rPr>
                <w:rFonts w:ascii="Century Gothic" w:hAnsi="Century Gothic"/>
                <w:sz w:val="20"/>
              </w:rPr>
              <w:t xml:space="preserve"> was a Therapeutic Dietitian, specializing in hospital dietetics</w:t>
            </w:r>
            <w:r w:rsidR="001E7A1D" w:rsidRPr="009A3846">
              <w:rPr>
                <w:rFonts w:ascii="Century Gothic" w:hAnsi="Century Gothic"/>
                <w:sz w:val="20"/>
              </w:rPr>
              <w:t xml:space="preserve"> and food service administration</w:t>
            </w:r>
            <w:r w:rsidR="00A30B61" w:rsidRPr="009A3846">
              <w:rPr>
                <w:rFonts w:ascii="Century Gothic" w:hAnsi="Century Gothic"/>
                <w:sz w:val="20"/>
              </w:rPr>
              <w:t>. He also worked in the health and wellness industry where he was honed in weight management, sports nutrition, and medical nutrition therapy.</w:t>
            </w:r>
          </w:p>
          <w:p w:rsidR="009A3846" w:rsidRDefault="009A3846" w:rsidP="00164DAC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Pr="00E727D8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9A3846" w:rsidTr="00B42459">
        <w:tc>
          <w:tcPr>
            <w:tcW w:w="1975" w:type="dxa"/>
          </w:tcPr>
          <w:p w:rsidR="00B42459" w:rsidRPr="009A3846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Nutrition Therapy I, Food Service Systems I, Food Service and Catering, Bakery Science, Applied Wellness and Sports Nutrition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1F1378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1F1378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6C79A6" w:rsidRDefault="00E17119" w:rsidP="00E17119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 xml:space="preserve">Registration </w:t>
            </w:r>
            <w:r w:rsidR="00205621" w:rsidRPr="006C79A6">
              <w:rPr>
                <w:rFonts w:ascii="Century Gothic" w:hAnsi="Century Gothic"/>
                <w:sz w:val="20"/>
                <w:lang w:val="en-PH"/>
              </w:rPr>
              <w:t xml:space="preserve">Committee </w:t>
            </w:r>
            <w:r w:rsidRPr="006C79A6">
              <w:rPr>
                <w:rFonts w:ascii="Century Gothic" w:hAnsi="Century Gothic"/>
                <w:sz w:val="20"/>
                <w:lang w:val="en-PH"/>
              </w:rPr>
              <w:t>- Member</w:t>
            </w:r>
          </w:p>
        </w:tc>
        <w:tc>
          <w:tcPr>
            <w:tcW w:w="3690" w:type="dxa"/>
          </w:tcPr>
          <w:p w:rsidR="00B42459" w:rsidRPr="006C79A6" w:rsidRDefault="0020562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Workshop on the Standards and Practice of the Nutrition Care Process: Strengthening the Role of RNDs in Patient Care</w:t>
            </w:r>
          </w:p>
        </w:tc>
        <w:tc>
          <w:tcPr>
            <w:tcW w:w="1975" w:type="dxa"/>
          </w:tcPr>
          <w:p w:rsidR="00B42459" w:rsidRPr="006C79A6" w:rsidRDefault="0020562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March</w:t>
            </w:r>
            <w:r w:rsidR="006D48AE" w:rsidRPr="006C79A6">
              <w:rPr>
                <w:rFonts w:ascii="Century Gothic" w:hAnsi="Century Gothic"/>
                <w:sz w:val="20"/>
                <w:lang w:val="en-PH"/>
              </w:rPr>
              <w:t xml:space="preserve"> 6-7,</w:t>
            </w:r>
            <w:r w:rsidRPr="006C79A6">
              <w:rPr>
                <w:rFonts w:ascii="Century Gothic" w:hAnsi="Century Gothic"/>
                <w:sz w:val="20"/>
                <w:lang w:val="en-PH"/>
              </w:rPr>
              <w:t xml:space="preserve"> 2017</w:t>
            </w:r>
          </w:p>
        </w:tc>
      </w:tr>
      <w:tr w:rsidR="006D48AE" w:rsidRPr="000548E9" w:rsidTr="00B42459">
        <w:trPr>
          <w:trHeight w:val="110"/>
        </w:trPr>
        <w:tc>
          <w:tcPr>
            <w:tcW w:w="1975" w:type="dxa"/>
            <w:vMerge/>
          </w:tcPr>
          <w:p w:rsidR="006D48AE" w:rsidRDefault="006D48AE" w:rsidP="006D48AE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Program Committee- Member</w:t>
            </w:r>
          </w:p>
        </w:tc>
        <w:tc>
          <w:tcPr>
            <w:tcW w:w="3690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Oh My Rice!</w:t>
            </w:r>
          </w:p>
        </w:tc>
        <w:tc>
          <w:tcPr>
            <w:tcW w:w="1975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April 25, 2017</w:t>
            </w:r>
          </w:p>
        </w:tc>
      </w:tr>
      <w:tr w:rsidR="006D48AE" w:rsidRPr="000548E9" w:rsidTr="00B42459">
        <w:trPr>
          <w:trHeight w:val="126"/>
        </w:trPr>
        <w:tc>
          <w:tcPr>
            <w:tcW w:w="1975" w:type="dxa"/>
            <w:vMerge/>
          </w:tcPr>
          <w:p w:rsidR="006D48AE" w:rsidRDefault="006D48AE" w:rsidP="006D48AE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Committee Member</w:t>
            </w:r>
          </w:p>
        </w:tc>
        <w:tc>
          <w:tcPr>
            <w:tcW w:w="3690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Functional Foods: Options, Notions, Directions</w:t>
            </w:r>
          </w:p>
        </w:tc>
        <w:tc>
          <w:tcPr>
            <w:tcW w:w="1975" w:type="dxa"/>
          </w:tcPr>
          <w:p w:rsidR="006D48AE" w:rsidRPr="006C79A6" w:rsidRDefault="006D48AE" w:rsidP="006D48AE">
            <w:pPr>
              <w:rPr>
                <w:rFonts w:ascii="Century Gothic" w:hAnsi="Century Gothic"/>
                <w:sz w:val="20"/>
                <w:lang w:val="en-PH"/>
              </w:rPr>
            </w:pPr>
            <w:r w:rsidRPr="006C79A6">
              <w:rPr>
                <w:rFonts w:ascii="Century Gothic" w:hAnsi="Century Gothic"/>
                <w:sz w:val="20"/>
                <w:lang w:val="en-PH"/>
              </w:rPr>
              <w:t>April 26, 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9A3846" w:rsidRDefault="009A3846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9A3846" w:rsidRDefault="005B1964" w:rsidP="009A3846">
            <w:pPr>
              <w:ind w:left="697" w:hanging="697"/>
              <w:rPr>
                <w:rFonts w:ascii="Century Gothic" w:hAnsi="Century Gothic"/>
                <w:i/>
                <w:sz w:val="20"/>
                <w:lang w:val="en-PH"/>
              </w:rPr>
            </w:pP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K.,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Esculto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M., Umali, M., Velasco I.,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Oliveros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E.,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Panlasigui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L.,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Llido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L. (2016). Prevalence of Sarcopenia in the Philippines: report from a weight management center in the Philippines. 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>PHILSPEN Online Journal of Parenteral and Enteral Nutrition, Jan to Jun 2016: 111-120.</w:t>
            </w:r>
          </w:p>
          <w:p w:rsidR="005B1964" w:rsidRPr="009A3846" w:rsidRDefault="005B1964" w:rsidP="009A3846">
            <w:pPr>
              <w:ind w:left="697" w:hanging="697"/>
              <w:rPr>
                <w:rFonts w:ascii="Century Gothic" w:hAnsi="Century Gothic"/>
                <w:i/>
                <w:sz w:val="20"/>
                <w:lang w:val="en-PH"/>
              </w:rPr>
            </w:pPr>
          </w:p>
          <w:p w:rsidR="002630CB" w:rsidRPr="009A3846" w:rsidRDefault="0007213A" w:rsidP="009A3846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K.,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Panlasigui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>, L. (2016). Effects of L-carnitine drinks on</w:t>
            </w:r>
            <w:r w:rsidR="00FE5812" w:rsidRPr="009A3846">
              <w:rPr>
                <w:rFonts w:ascii="Century Gothic" w:hAnsi="Century Gothic"/>
                <w:sz w:val="20"/>
                <w:lang w:val="en-PH"/>
              </w:rPr>
              <w:t xml:space="preserve"> the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Body Composition of Young Overfat Filipino Adults ages 20 to 35 years old. 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>PHILSPEN Online Journal of Parenteral and Enteral Nutrition. Master of Sci</w:t>
            </w:r>
            <w:r w:rsidR="002630CB" w:rsidRPr="009A3846">
              <w:rPr>
                <w:rFonts w:ascii="Century Gothic" w:hAnsi="Century Gothic"/>
                <w:i/>
                <w:sz w:val="20"/>
                <w:lang w:val="en-PH"/>
              </w:rPr>
              <w:t>ence in Clinical Nutrition These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>s Abstracts.</w:t>
            </w:r>
            <w:r w:rsidR="002630CB" w:rsidRPr="009A3846">
              <w:rPr>
                <w:rFonts w:ascii="Century Gothic" w:hAnsi="Century Gothic"/>
                <w:i/>
                <w:sz w:val="20"/>
                <w:lang w:val="en-PH"/>
              </w:rPr>
              <w:t xml:space="preserve"> </w:t>
            </w:r>
            <w:r w:rsidR="002630CB" w:rsidRPr="009A3846">
              <w:rPr>
                <w:rFonts w:ascii="Century Gothic" w:hAnsi="Century Gothic"/>
                <w:sz w:val="20"/>
                <w:lang w:val="en-PH"/>
              </w:rPr>
              <w:t>Retrieved from: http://www.philspenonlinejournal.com/pwu_mscn_theses.php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2630CB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9A3846" w:rsidRDefault="009A3846" w:rsidP="002C354D">
            <w:pPr>
              <w:rPr>
                <w:rFonts w:ascii="Century Gothic" w:hAnsi="Century Gothic"/>
                <w:lang w:val="en-PH"/>
              </w:rPr>
            </w:pPr>
          </w:p>
          <w:p w:rsidR="002630CB" w:rsidRPr="009A3846" w:rsidRDefault="002630CB" w:rsidP="009A3846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K. et al. </w:t>
            </w:r>
            <w:r w:rsidR="00FE5812" w:rsidRPr="009A3846">
              <w:rPr>
                <w:rFonts w:ascii="Century Gothic" w:hAnsi="Century Gothic"/>
                <w:sz w:val="20"/>
                <w:lang w:val="en-PH"/>
              </w:rPr>
              <w:t>Cooking Healthy: 12 Easy Pulse Recipes.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 xml:space="preserve">United States Department of </w:t>
            </w:r>
            <w:r w:rsidR="00FE5812" w:rsidRPr="009A3846">
              <w:rPr>
                <w:rFonts w:ascii="Century Gothic" w:hAnsi="Century Gothic"/>
                <w:i/>
                <w:sz w:val="20"/>
                <w:lang w:val="en-PH"/>
              </w:rPr>
              <w:t>Agriculture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 xml:space="preserve">, </w:t>
            </w:r>
            <w:r w:rsidR="00FE5812" w:rsidRPr="009A3846">
              <w:rPr>
                <w:rFonts w:ascii="Century Gothic" w:hAnsi="Century Gothic"/>
                <w:i/>
                <w:sz w:val="20"/>
                <w:lang w:val="en-PH"/>
              </w:rPr>
              <w:t xml:space="preserve">US Dry Pea and Lentil Council, US Dry Bean Council. </w:t>
            </w:r>
            <w:r w:rsidR="00FE5812" w:rsidRPr="009A3846">
              <w:rPr>
                <w:rFonts w:ascii="Century Gothic" w:hAnsi="Century Gothic"/>
                <w:sz w:val="20"/>
                <w:lang w:val="en-PH"/>
              </w:rPr>
              <w:t>November 2016. Print.</w:t>
            </w:r>
          </w:p>
          <w:p w:rsidR="002630CB" w:rsidRPr="009A3846" w:rsidRDefault="002630CB" w:rsidP="009A3846">
            <w:pPr>
              <w:ind w:left="697" w:hanging="697"/>
              <w:rPr>
                <w:rFonts w:ascii="Century Gothic" w:hAnsi="Century Gothic"/>
                <w:i/>
                <w:sz w:val="20"/>
                <w:lang w:val="en-PH"/>
              </w:rPr>
            </w:pPr>
          </w:p>
          <w:p w:rsidR="00B42459" w:rsidRPr="009A3846" w:rsidRDefault="002630CB" w:rsidP="009A3846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>, K. Unil</w:t>
            </w:r>
            <w:r w:rsidR="001A0D42" w:rsidRPr="009A3846">
              <w:rPr>
                <w:rFonts w:ascii="Century Gothic" w:hAnsi="Century Gothic"/>
                <w:sz w:val="20"/>
                <w:lang w:val="en-PH"/>
              </w:rPr>
              <w:t>e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>ver Sustainable Living Plan: Healthy Sandwiches as a Means for Healthy Snacking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>. 2016 Joint Philippine Association of Nutrition and Philippine Society for Nutritionist Dietitians Convention Souvenir Program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. July 2016. Print. </w:t>
            </w:r>
          </w:p>
          <w:p w:rsidR="002630CB" w:rsidRPr="009A3846" w:rsidRDefault="002630CB" w:rsidP="009A3846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</w:p>
          <w:p w:rsidR="002630CB" w:rsidRPr="009A3846" w:rsidRDefault="002630CB" w:rsidP="009A3846">
            <w:pPr>
              <w:ind w:left="697" w:hanging="69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K. ABCs of Sports Nutrition. </w:t>
            </w:r>
            <w:r w:rsidRPr="009A3846">
              <w:rPr>
                <w:rFonts w:ascii="Century Gothic" w:hAnsi="Century Gothic"/>
                <w:i/>
                <w:sz w:val="20"/>
                <w:lang w:val="en-PH"/>
              </w:rPr>
              <w:t>Philippine Daily Inquirer Health and Wellness Section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>. March 13, 2016. Print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9A3846" w:rsidTr="00C632AF">
        <w:tc>
          <w:tcPr>
            <w:tcW w:w="2334" w:type="dxa"/>
          </w:tcPr>
          <w:p w:rsidR="00C632AF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Academic Honor</w:t>
            </w:r>
          </w:p>
        </w:tc>
        <w:tc>
          <w:tcPr>
            <w:tcW w:w="5211" w:type="dxa"/>
          </w:tcPr>
          <w:p w:rsidR="00C632AF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4</w:t>
            </w:r>
            <w:r w:rsidRPr="009A3846">
              <w:rPr>
                <w:rFonts w:ascii="Century Gothic" w:hAnsi="Century Gothic"/>
                <w:sz w:val="20"/>
                <w:vertAlign w:val="superscript"/>
                <w:lang w:val="en-PH"/>
              </w:rPr>
              <w:t>th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place – Board Licensure Examination for Nutritionist Dietitian</w:t>
            </w:r>
          </w:p>
        </w:tc>
        <w:tc>
          <w:tcPr>
            <w:tcW w:w="1805" w:type="dxa"/>
          </w:tcPr>
          <w:p w:rsidR="00C632AF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2012</w:t>
            </w:r>
          </w:p>
        </w:tc>
      </w:tr>
      <w:tr w:rsidR="00C632AF" w:rsidRPr="009A3846" w:rsidTr="00C632AF">
        <w:tc>
          <w:tcPr>
            <w:tcW w:w="2334" w:type="dxa"/>
          </w:tcPr>
          <w:p w:rsidR="00C632AF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Academic Honor</w:t>
            </w:r>
          </w:p>
        </w:tc>
        <w:tc>
          <w:tcPr>
            <w:tcW w:w="5211" w:type="dxa"/>
          </w:tcPr>
          <w:p w:rsidR="00C632AF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1</w:t>
            </w:r>
            <w:r w:rsidRPr="009A3846">
              <w:rPr>
                <w:rFonts w:ascii="Century Gothic" w:hAnsi="Century Gothic"/>
                <w:sz w:val="20"/>
                <w:vertAlign w:val="superscript"/>
                <w:lang w:val="en-PH"/>
              </w:rPr>
              <w:t>st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prize – Food and Nutrition Research Institute Undergraduate Research Competition</w:t>
            </w:r>
          </w:p>
        </w:tc>
        <w:tc>
          <w:tcPr>
            <w:tcW w:w="1805" w:type="dxa"/>
          </w:tcPr>
          <w:p w:rsidR="00C632AF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2012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“Right Food and Fitness: An Effective Way to Weight Management” (Organized by Silliman University Department of Nutrition and Dietetics)</w:t>
            </w:r>
          </w:p>
        </w:tc>
        <w:tc>
          <w:tcPr>
            <w:tcW w:w="1795" w:type="dxa"/>
          </w:tcPr>
          <w:p w:rsidR="00150C59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  <w:tr w:rsidR="007D33B9" w:rsidRPr="000548E9" w:rsidTr="00150C59">
        <w:tc>
          <w:tcPr>
            <w:tcW w:w="2334" w:type="dxa"/>
          </w:tcPr>
          <w:p w:rsidR="007D33B9" w:rsidRPr="009A3846" w:rsidRDefault="007D33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Panel Member</w:t>
            </w:r>
          </w:p>
        </w:tc>
        <w:tc>
          <w:tcPr>
            <w:tcW w:w="5221" w:type="dxa"/>
          </w:tcPr>
          <w:p w:rsidR="007D33B9" w:rsidRPr="009A3846" w:rsidRDefault="007D33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Nutrition Research Undergraduate Thesis Defense (Organized by Philippine Women’s University – School of Nutrition)</w:t>
            </w:r>
          </w:p>
        </w:tc>
        <w:tc>
          <w:tcPr>
            <w:tcW w:w="1795" w:type="dxa"/>
          </w:tcPr>
          <w:p w:rsidR="007D33B9" w:rsidRPr="009A3846" w:rsidRDefault="007D33B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9A3846" w:rsidRDefault="005B1964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“Weight Management: Tips and Tools for Eating Smart” (Organized by UST College of Education in celebration of World Nutrition Day)</w:t>
            </w:r>
          </w:p>
        </w:tc>
        <w:tc>
          <w:tcPr>
            <w:tcW w:w="1795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0548E9" w:rsidTr="002C354D">
        <w:tc>
          <w:tcPr>
            <w:tcW w:w="2334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“Addressing Overweight and Obesity through D.I.E.T” (Organized by UST Central Student Council and the Philippine Association of Nutrition-Omega Chapter)`</w:t>
            </w:r>
          </w:p>
        </w:tc>
        <w:tc>
          <w:tcPr>
            <w:tcW w:w="1795" w:type="dxa"/>
          </w:tcPr>
          <w:p w:rsidR="00150C59" w:rsidRPr="009A3846" w:rsidRDefault="0007213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“42</w:t>
            </w:r>
            <w:r w:rsidRPr="009A3846">
              <w:rPr>
                <w:rFonts w:ascii="Century Gothic" w:hAnsi="Century Gothic"/>
                <w:sz w:val="20"/>
                <w:vertAlign w:val="superscript"/>
                <w:lang w:val="en-PH"/>
              </w:rPr>
              <w:t>nd</w:t>
            </w: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Ship for Southeast Asian and Japanese Youth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Programme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>” (Organized by Philippine Women’s University)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Panel Member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 xml:space="preserve">Food and Nutrition Research Undergraduate Thesis Defense (Organized by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>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PANkaalaman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2015: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Wastong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Timbang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Makakamtan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Tamang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Nutrisyon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Ehersisyo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, at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Bagong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A3846">
              <w:rPr>
                <w:rFonts w:ascii="Century Gothic" w:hAnsi="Century Gothic"/>
                <w:sz w:val="20"/>
                <w:lang w:val="en-PH"/>
              </w:rPr>
              <w:t>Kaalaman</w:t>
            </w:r>
            <w:proofErr w:type="spellEnd"/>
            <w:r w:rsidRPr="009A3846">
              <w:rPr>
                <w:rFonts w:ascii="Century Gothic" w:hAnsi="Century Gothic"/>
                <w:sz w:val="20"/>
                <w:lang w:val="en-PH"/>
              </w:rPr>
              <w:t>” (Organized by the Philippine Association of Nutrition-Omega Chapter)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“Food and Fitness: Raising the Bar in Weight Management” (Organized by Philippine Women’s University- School of Nutrition)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“Unveiling Recent Issues and Controversies in Glycemic Index and Nutrigenomics” (Organized by Philippine Women’s University- School of Nutrition)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A970E7" w:rsidRPr="000548E9" w:rsidTr="002C354D">
        <w:tc>
          <w:tcPr>
            <w:tcW w:w="2334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Oral Presenter</w:t>
            </w:r>
          </w:p>
        </w:tc>
        <w:tc>
          <w:tcPr>
            <w:tcW w:w="5221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“Food and Nutrition Research Institute Undergraduate Research Competition – Nutrition Category” (Organized by the Food and Nutrition Research Institute)</w:t>
            </w:r>
          </w:p>
        </w:tc>
        <w:tc>
          <w:tcPr>
            <w:tcW w:w="1795" w:type="dxa"/>
          </w:tcPr>
          <w:p w:rsidR="00A970E7" w:rsidRPr="009A3846" w:rsidRDefault="00A970E7" w:rsidP="00A970E7">
            <w:pPr>
              <w:rPr>
                <w:rFonts w:ascii="Century Gothic" w:hAnsi="Century Gothic"/>
                <w:sz w:val="20"/>
                <w:lang w:val="en-PH"/>
              </w:rPr>
            </w:pPr>
            <w:r w:rsidRPr="009A3846">
              <w:rPr>
                <w:rFonts w:ascii="Century Gothic" w:hAnsi="Century Gothic"/>
                <w:sz w:val="20"/>
                <w:lang w:val="en-PH"/>
              </w:rPr>
              <w:t>2011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7213A"/>
    <w:rsid w:val="00150C59"/>
    <w:rsid w:val="00164DAC"/>
    <w:rsid w:val="001A0D42"/>
    <w:rsid w:val="001E7A1D"/>
    <w:rsid w:val="001E7BF5"/>
    <w:rsid w:val="001F1378"/>
    <w:rsid w:val="00205621"/>
    <w:rsid w:val="002414A7"/>
    <w:rsid w:val="002630CB"/>
    <w:rsid w:val="00317338"/>
    <w:rsid w:val="00323003"/>
    <w:rsid w:val="0055516A"/>
    <w:rsid w:val="005B1964"/>
    <w:rsid w:val="005E553D"/>
    <w:rsid w:val="00621C25"/>
    <w:rsid w:val="006548E7"/>
    <w:rsid w:val="006C79A6"/>
    <w:rsid w:val="006D48AE"/>
    <w:rsid w:val="007D33B9"/>
    <w:rsid w:val="00861BBB"/>
    <w:rsid w:val="00882FD1"/>
    <w:rsid w:val="00884263"/>
    <w:rsid w:val="008D0334"/>
    <w:rsid w:val="00937BE7"/>
    <w:rsid w:val="0094570D"/>
    <w:rsid w:val="009A3846"/>
    <w:rsid w:val="00A02B19"/>
    <w:rsid w:val="00A30B61"/>
    <w:rsid w:val="00A970E7"/>
    <w:rsid w:val="00B41BED"/>
    <w:rsid w:val="00B42459"/>
    <w:rsid w:val="00C32486"/>
    <w:rsid w:val="00C632AF"/>
    <w:rsid w:val="00D8535C"/>
    <w:rsid w:val="00DC602E"/>
    <w:rsid w:val="00E17119"/>
    <w:rsid w:val="00E30778"/>
    <w:rsid w:val="00E727D8"/>
    <w:rsid w:val="00F910E2"/>
    <w:rsid w:val="00FE5812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1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33</cp:revision>
  <dcterms:created xsi:type="dcterms:W3CDTF">2017-04-05T03:22:00Z</dcterms:created>
  <dcterms:modified xsi:type="dcterms:W3CDTF">2017-04-13T14:50:00Z</dcterms:modified>
</cp:coreProperties>
</file>