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7435C7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Assoc. Prof. ARTHUR P. CASANOVA</w:t>
            </w:r>
            <w:r w:rsidR="00F477CD">
              <w:rPr>
                <w:rFonts w:ascii="Century Gothic" w:hAnsi="Century Gothic"/>
                <w:lang w:val="en-PH"/>
              </w:rPr>
              <w:t>, Ph.D.</w:t>
            </w:r>
            <w:bookmarkStart w:id="0" w:name="_GoBack"/>
            <w:bookmarkEnd w:id="0"/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7435C7" w:rsidP="007435C7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EA4151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EA415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  <w:r w:rsidR="00A44E04">
              <w:rPr>
                <w:rFonts w:ascii="Century Gothic" w:hAnsi="Century Gothic"/>
                <w:lang w:val="en-PH"/>
              </w:rPr>
              <w:t xml:space="preserve"> Department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EA4151" w:rsidP="008F4B6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4061611 l</w:t>
            </w:r>
            <w:r w:rsidR="008F4B66">
              <w:rPr>
                <w:rFonts w:ascii="Century Gothic" w:hAnsi="Century Gothic"/>
                <w:lang w:val="en-PH"/>
              </w:rPr>
              <w:t>o</w:t>
            </w:r>
            <w:r>
              <w:rPr>
                <w:rFonts w:ascii="Century Gothic" w:hAnsi="Century Gothic"/>
                <w:lang w:val="en-PH"/>
              </w:rPr>
              <w:t>c.8756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F477CD" w:rsidP="002C354D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="001549B0" w:rsidRPr="005E3DF8">
                <w:rPr>
                  <w:rStyle w:val="Hyperlink"/>
                  <w:rFonts w:ascii="Century Gothic" w:hAnsi="Century Gothic"/>
                  <w:lang w:val="en-PH"/>
                </w:rPr>
                <w:t>apcasanova@ust.edu.ph</w:t>
              </w:r>
            </w:hyperlink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7435C7" w:rsidP="007435C7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F, 2:30 -</w:t>
            </w:r>
            <w:r w:rsidR="00EA4151">
              <w:rPr>
                <w:rFonts w:ascii="Century Gothic" w:hAnsi="Century Gothic"/>
                <w:lang w:val="en-PH"/>
              </w:rPr>
              <w:t xml:space="preserve"> 3:30 </w:t>
            </w:r>
            <w:r>
              <w:rPr>
                <w:rFonts w:ascii="Century Gothic" w:hAnsi="Century Gothic"/>
                <w:lang w:val="en-PH"/>
              </w:rPr>
              <w:t>PM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A44E04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PhD</w:t>
            </w:r>
            <w:r w:rsidR="00EA4151">
              <w:rPr>
                <w:rFonts w:ascii="Century Gothic" w:hAnsi="Century Gothic"/>
                <w:sz w:val="20"/>
                <w:lang w:val="en-PH"/>
              </w:rPr>
              <w:t xml:space="preserve"> Linguistics and Literature</w:t>
            </w:r>
          </w:p>
        </w:tc>
        <w:tc>
          <w:tcPr>
            <w:tcW w:w="2013" w:type="dxa"/>
          </w:tcPr>
          <w:p w:rsidR="00B42459" w:rsidRPr="000548E9" w:rsidRDefault="00EA415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PNU</w:t>
            </w:r>
          </w:p>
        </w:tc>
        <w:tc>
          <w:tcPr>
            <w:tcW w:w="2032" w:type="dxa"/>
          </w:tcPr>
          <w:p w:rsidR="00B42459" w:rsidRPr="000548E9" w:rsidRDefault="00EA4151" w:rsidP="00D1587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1999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</w:p>
        </w:tc>
        <w:tc>
          <w:tcPr>
            <w:tcW w:w="2971" w:type="dxa"/>
          </w:tcPr>
          <w:p w:rsidR="00B42459" w:rsidRPr="000548E9" w:rsidRDefault="00EA415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 in Education with specialization in Filipino Linguistics</w:t>
            </w:r>
          </w:p>
        </w:tc>
        <w:tc>
          <w:tcPr>
            <w:tcW w:w="2013" w:type="dxa"/>
          </w:tcPr>
          <w:p w:rsidR="00B42459" w:rsidRPr="000548E9" w:rsidRDefault="00EA415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Philippine Normal University (PNU)</w:t>
            </w:r>
          </w:p>
        </w:tc>
        <w:tc>
          <w:tcPr>
            <w:tcW w:w="2032" w:type="dxa"/>
          </w:tcPr>
          <w:p w:rsidR="00B42459" w:rsidRPr="000548E9" w:rsidRDefault="00EA4151" w:rsidP="00D1587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1992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8F4B66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EA415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B.S.E. Filipino </w:t>
            </w:r>
          </w:p>
        </w:tc>
        <w:tc>
          <w:tcPr>
            <w:tcW w:w="2013" w:type="dxa"/>
          </w:tcPr>
          <w:p w:rsidR="00B42459" w:rsidRPr="000548E9" w:rsidRDefault="00EA415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Mindanao State University</w:t>
            </w:r>
          </w:p>
        </w:tc>
        <w:tc>
          <w:tcPr>
            <w:tcW w:w="2032" w:type="dxa"/>
          </w:tcPr>
          <w:p w:rsidR="00B42459" w:rsidRPr="000548E9" w:rsidRDefault="00EA4151" w:rsidP="00D1587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1982</w:t>
            </w:r>
          </w:p>
        </w:tc>
      </w:tr>
      <w:tr w:rsidR="007435C7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7435C7" w:rsidRPr="000548E9" w:rsidRDefault="007435C7" w:rsidP="007435C7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7435C7" w:rsidRPr="00B42459" w:rsidRDefault="007435C7" w:rsidP="007435C7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7435C7" w:rsidRPr="00B42459" w:rsidRDefault="007435C7" w:rsidP="007435C7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7435C7" w:rsidRPr="00B42459" w:rsidRDefault="007435C7" w:rsidP="007435C7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7435C7" w:rsidRPr="000548E9" w:rsidTr="00B42459">
        <w:trPr>
          <w:trHeight w:val="138"/>
        </w:trPr>
        <w:tc>
          <w:tcPr>
            <w:tcW w:w="2334" w:type="dxa"/>
            <w:vMerge/>
          </w:tcPr>
          <w:p w:rsidR="007435C7" w:rsidRDefault="007435C7" w:rsidP="007435C7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7435C7" w:rsidRPr="007435C7" w:rsidRDefault="007435C7" w:rsidP="007435C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szCs w:val="20"/>
                <w:lang w:val="en-PH"/>
              </w:rPr>
              <w:t xml:space="preserve">Metrobank Foundation Network of Outstanding Teachers and Educators </w:t>
            </w:r>
          </w:p>
        </w:tc>
        <w:tc>
          <w:tcPr>
            <w:tcW w:w="2013" w:type="dxa"/>
          </w:tcPr>
          <w:p w:rsidR="007435C7" w:rsidRPr="007435C7" w:rsidRDefault="007435C7" w:rsidP="007435C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szCs w:val="20"/>
                <w:lang w:val="en-PH"/>
              </w:rPr>
              <w:t xml:space="preserve">President </w:t>
            </w:r>
          </w:p>
        </w:tc>
        <w:tc>
          <w:tcPr>
            <w:tcW w:w="2032" w:type="dxa"/>
          </w:tcPr>
          <w:p w:rsidR="007435C7" w:rsidRPr="007435C7" w:rsidRDefault="007435C7" w:rsidP="007435C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szCs w:val="20"/>
                <w:lang w:val="en-PH"/>
              </w:rPr>
              <w:t>2011-2012</w:t>
            </w:r>
          </w:p>
        </w:tc>
      </w:tr>
      <w:tr w:rsidR="007435C7" w:rsidRPr="000548E9" w:rsidTr="00B42459">
        <w:trPr>
          <w:trHeight w:val="99"/>
        </w:trPr>
        <w:tc>
          <w:tcPr>
            <w:tcW w:w="2334" w:type="dxa"/>
            <w:vMerge/>
          </w:tcPr>
          <w:p w:rsidR="007435C7" w:rsidRDefault="007435C7" w:rsidP="007435C7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7435C7" w:rsidRPr="007435C7" w:rsidRDefault="007435C7" w:rsidP="007435C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szCs w:val="20"/>
                <w:lang w:val="en-PH"/>
              </w:rPr>
              <w:t>International Theatre Institute (ITI)</w:t>
            </w:r>
          </w:p>
        </w:tc>
        <w:tc>
          <w:tcPr>
            <w:tcW w:w="2013" w:type="dxa"/>
          </w:tcPr>
          <w:p w:rsidR="007435C7" w:rsidRPr="007435C7" w:rsidRDefault="007435C7" w:rsidP="007435C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7435C7" w:rsidRPr="007435C7" w:rsidRDefault="007435C7" w:rsidP="007435C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szCs w:val="20"/>
                <w:lang w:val="en-PH"/>
              </w:rPr>
              <w:t>2000-2017</w:t>
            </w:r>
          </w:p>
        </w:tc>
      </w:tr>
      <w:tr w:rsidR="007435C7" w:rsidRPr="000548E9" w:rsidTr="00B42459">
        <w:trPr>
          <w:trHeight w:val="138"/>
        </w:trPr>
        <w:tc>
          <w:tcPr>
            <w:tcW w:w="2334" w:type="dxa"/>
            <w:vMerge/>
          </w:tcPr>
          <w:p w:rsidR="007435C7" w:rsidRDefault="007435C7" w:rsidP="007435C7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7435C7" w:rsidRPr="007435C7" w:rsidRDefault="007435C7" w:rsidP="007435C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szCs w:val="20"/>
                <w:lang w:val="en-PH"/>
              </w:rPr>
              <w:t xml:space="preserve">Aliw Awards Foundation </w:t>
            </w:r>
          </w:p>
        </w:tc>
        <w:tc>
          <w:tcPr>
            <w:tcW w:w="2013" w:type="dxa"/>
          </w:tcPr>
          <w:p w:rsidR="007435C7" w:rsidRPr="007435C7" w:rsidRDefault="007435C7" w:rsidP="007435C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szCs w:val="20"/>
                <w:lang w:val="en-PH"/>
              </w:rPr>
              <w:t>Member, Screening Committee</w:t>
            </w:r>
          </w:p>
        </w:tc>
        <w:tc>
          <w:tcPr>
            <w:tcW w:w="2032" w:type="dxa"/>
          </w:tcPr>
          <w:p w:rsidR="007435C7" w:rsidRPr="007435C7" w:rsidRDefault="007435C7" w:rsidP="007435C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szCs w:val="20"/>
                <w:lang w:val="en-PH"/>
              </w:rPr>
              <w:t>2013-2017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(Bionote: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7435C7" w:rsidRDefault="007435C7">
            <w:pPr>
              <w:rPr>
                <w:rFonts w:ascii="Century Gothic" w:hAnsi="Century Gothic"/>
                <w:lang w:val="en-PH"/>
              </w:rPr>
            </w:pPr>
          </w:p>
          <w:p w:rsidR="00B42459" w:rsidRPr="007435C7" w:rsidRDefault="00EA4151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Born in Manila, Arthur P. Casanova is a product of Philippine Public School System. He was a consistent science scholar </w:t>
            </w:r>
            <w:r w:rsidR="00941B86" w:rsidRPr="007435C7">
              <w:rPr>
                <w:rFonts w:ascii="Century Gothic" w:hAnsi="Century Gothic"/>
                <w:sz w:val="20"/>
                <w:lang w:val="en-PH"/>
              </w:rPr>
              <w:t>at the Mindanao State University in Marawi City. After finishing BSE Chemistry</w:t>
            </w:r>
            <w:r w:rsidR="00A44E04" w:rsidRPr="007435C7">
              <w:rPr>
                <w:rFonts w:ascii="Century Gothic" w:hAnsi="Century Gothic"/>
                <w:sz w:val="20"/>
                <w:lang w:val="en-PH"/>
              </w:rPr>
              <w:t>,</w:t>
            </w:r>
            <w:r w:rsidR="00941B86" w:rsidRPr="007435C7">
              <w:rPr>
                <w:rFonts w:ascii="Century Gothic" w:hAnsi="Century Gothic"/>
                <w:sz w:val="20"/>
                <w:lang w:val="en-PH"/>
              </w:rPr>
              <w:t xml:space="preserve"> he went on with his BSE Filipino course which he finished in 1982</w:t>
            </w:r>
            <w:r w:rsidR="00A44E04" w:rsidRPr="007435C7">
              <w:rPr>
                <w:rFonts w:ascii="Century Gothic" w:hAnsi="Century Gothic"/>
                <w:sz w:val="20"/>
                <w:lang w:val="en-PH"/>
              </w:rPr>
              <w:t xml:space="preserve"> inn the same university</w:t>
            </w:r>
            <w:r w:rsidR="00941B86" w:rsidRPr="007435C7">
              <w:rPr>
                <w:rFonts w:ascii="Century Gothic" w:hAnsi="Century Gothic"/>
                <w:sz w:val="20"/>
                <w:lang w:val="en-PH"/>
              </w:rPr>
              <w:t>. He started teaching Filipino in 1980 at th</w:t>
            </w:r>
            <w:r w:rsidR="00A44E04" w:rsidRPr="007435C7">
              <w:rPr>
                <w:rFonts w:ascii="Century Gothic" w:hAnsi="Century Gothic"/>
                <w:sz w:val="20"/>
                <w:lang w:val="en-PH"/>
              </w:rPr>
              <w:t>e College of Liberal Arts, MSU,</w:t>
            </w:r>
            <w:r w:rsidR="00941B86" w:rsidRPr="007435C7">
              <w:rPr>
                <w:rFonts w:ascii="Century Gothic" w:hAnsi="Century Gothic"/>
                <w:sz w:val="20"/>
                <w:lang w:val="en-PH"/>
              </w:rPr>
              <w:t xml:space="preserve"> Marawi City. While at MSU, he was a member of Darangan Cultural Troupe, the official dance troupe of the university. In 1974, he was one of the founding members of the MSU Sining Kambayoka.</w:t>
            </w:r>
          </w:p>
          <w:p w:rsidR="00941B86" w:rsidRPr="007435C7" w:rsidRDefault="00941B86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941B86" w:rsidRPr="007435C7" w:rsidRDefault="00941B86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Casanova is a poet, short story writer, playwright, actor, &amp; director. He has written 35 textbooks for high school and college. He has also published a number of anthologies of plays. He</w:t>
            </w:r>
            <w:r w:rsidR="00A44E04" w:rsidRPr="007435C7">
              <w:rPr>
                <w:rFonts w:ascii="Century Gothic" w:hAnsi="Century Gothic"/>
                <w:sz w:val="20"/>
                <w:lang w:val="en-PH"/>
              </w:rPr>
              <w:t xml:space="preserve"> is a multi-award winner:</w:t>
            </w: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 Metrobank Foundation Outstanding Teacher (199), National Book Award (1986 &amp; 1987), Aliw Awards for Best Musical Play Director, among others. 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7435C7" w:rsidRDefault="00941B8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Fil. 3 – Retorika; Fil. 109 - Dula at Nobela ; Fil 110 - Obra Maestra 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7435C7" w:rsidRDefault="00941B8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Fil 2 – Pagbasa at Pagsulat Tungo sa Pananaliksik; Fil 1 </w:t>
            </w:r>
            <w:r w:rsidR="009436EA" w:rsidRPr="007435C7">
              <w:rPr>
                <w:rFonts w:ascii="Century Gothic" w:hAnsi="Century Gothic"/>
                <w:sz w:val="20"/>
                <w:lang w:val="en-PH"/>
              </w:rPr>
              <w:t>–</w:t>
            </w: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9436EA" w:rsidRPr="007435C7">
              <w:rPr>
                <w:rFonts w:ascii="Century Gothic" w:hAnsi="Century Gothic"/>
                <w:sz w:val="20"/>
                <w:lang w:val="en-PH"/>
              </w:rPr>
              <w:t xml:space="preserve">Mabisang Pagpapahayag sa Akademikong Filipino; Fil. 3 -  Retorika; Fil. – Panulaan; Fil. 109 – Dula at Nobela; Fil. 110 – Obra Maestra 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1E0454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1E0454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Screening Committee, Aliw Awards Foundation</w:t>
            </w:r>
          </w:p>
        </w:tc>
        <w:tc>
          <w:tcPr>
            <w:tcW w:w="1975" w:type="dxa"/>
          </w:tcPr>
          <w:p w:rsidR="00B42459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2013</w:t>
            </w:r>
            <w:r w:rsidR="001E045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7435C7">
              <w:rPr>
                <w:rFonts w:ascii="Century Gothic" w:hAnsi="Century Gothic"/>
                <w:sz w:val="20"/>
                <w:lang w:val="en-PH"/>
              </w:rPr>
              <w:t>-</w:t>
            </w:r>
            <w:r w:rsidR="001E045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7435C7">
              <w:rPr>
                <w:rFonts w:ascii="Century Gothic" w:hAnsi="Century Gothic"/>
                <w:sz w:val="20"/>
                <w:lang w:val="en-PH"/>
              </w:rPr>
              <w:t>2017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Member </w:t>
            </w:r>
          </w:p>
        </w:tc>
        <w:tc>
          <w:tcPr>
            <w:tcW w:w="3690" w:type="dxa"/>
          </w:tcPr>
          <w:p w:rsidR="00B42459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Committee on the Selection of BEA Awards for Outstanding Students and Practicumers </w:t>
            </w:r>
          </w:p>
        </w:tc>
        <w:tc>
          <w:tcPr>
            <w:tcW w:w="1975" w:type="dxa"/>
          </w:tcPr>
          <w:p w:rsidR="00B42459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March 2017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Panelist </w:t>
            </w:r>
          </w:p>
        </w:tc>
        <w:tc>
          <w:tcPr>
            <w:tcW w:w="3690" w:type="dxa"/>
          </w:tcPr>
          <w:p w:rsidR="00B42459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Research Presentations of the Faculty of Filipino Department, UST College of Education</w:t>
            </w:r>
          </w:p>
        </w:tc>
        <w:tc>
          <w:tcPr>
            <w:tcW w:w="1975" w:type="dxa"/>
          </w:tcPr>
          <w:p w:rsidR="00B42459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March 2017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7435C7" w:rsidRDefault="007435C7" w:rsidP="002C354D">
            <w:pPr>
              <w:rPr>
                <w:rFonts w:ascii="Century Gothic" w:hAnsi="Century Gothic"/>
                <w:lang w:val="en-PH"/>
              </w:rPr>
            </w:pPr>
          </w:p>
          <w:p w:rsidR="00674E14" w:rsidRPr="007435C7" w:rsidRDefault="00674E14" w:rsidP="00674E14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Casanova, A. P. (2011). Isahan, Kalipunan ng mga Dramatikong Monolo. Mandaluyong: Anvil Publishing House.</w:t>
            </w:r>
          </w:p>
          <w:p w:rsidR="00674E14" w:rsidRDefault="00674E14" w:rsidP="00674E14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674E14" w:rsidRPr="007435C7" w:rsidRDefault="00674E14" w:rsidP="00674E14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Casanova, A. P. (2011). Klasrum Drama. Mandaluyong: Anvil Publishing House. </w:t>
            </w:r>
          </w:p>
          <w:p w:rsidR="00674E14" w:rsidRDefault="00674E14" w:rsidP="00674E14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674E14" w:rsidRPr="007435C7" w:rsidRDefault="00674E14" w:rsidP="00674E14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Casanova, A. P. (2011). Mga Kuwentong-bayang ng Katimugang Pilipinas. Mandaluyong: Anvil Publishing House.</w:t>
            </w:r>
          </w:p>
          <w:p w:rsidR="00674E14" w:rsidRDefault="00674E14" w:rsidP="00674E14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674E14" w:rsidRPr="007435C7" w:rsidRDefault="00674E14" w:rsidP="00674E14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Casanova</w:t>
            </w: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, A. P. (2011). Dalawahan, Kalipunan ng mga Dulang May Dalawang Tauhan. Mandaluyong: Anvil Publishing House. </w:t>
            </w:r>
          </w:p>
          <w:p w:rsidR="00674E14" w:rsidRDefault="00674E14" w:rsidP="00674E14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674E14" w:rsidRPr="007435C7" w:rsidRDefault="00674E14" w:rsidP="00674E14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Esteban, R., Casanova, A.P. and Esteban, I. (2011). Folktales of Southern Philippines. Mandaluyong: Anvil Publishing House. </w:t>
            </w: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7435C7" w:rsidRDefault="007435C7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674E14" w:rsidRDefault="00947F9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674E14">
              <w:rPr>
                <w:rFonts w:ascii="Century Gothic" w:hAnsi="Century Gothic"/>
                <w:sz w:val="20"/>
                <w:lang w:val="en-PH"/>
              </w:rPr>
              <w:t>Director, “Mangsing-irog,” presented by the students of Fil 109 &amp; Fil 110. Scripts written by Genoveva matute &amp; Arthur P. Casanova.</w:t>
            </w:r>
          </w:p>
          <w:p w:rsidR="00947F9F" w:rsidRDefault="00947F9F" w:rsidP="002C354D">
            <w:pPr>
              <w:rPr>
                <w:rFonts w:ascii="Century Gothic" w:hAnsi="Century Gothic"/>
                <w:lang w:val="en-PH"/>
              </w:rPr>
            </w:pPr>
          </w:p>
          <w:p w:rsidR="00947F9F" w:rsidRDefault="00947F9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lastRenderedPageBreak/>
              <w:t>Director, “Ali</w:t>
            </w:r>
            <w:r w:rsidR="00A44E04">
              <w:rPr>
                <w:rFonts w:ascii="Century Gothic" w:hAnsi="Century Gothic"/>
                <w:lang w:val="en-PH"/>
              </w:rPr>
              <w:t>w</w:t>
            </w:r>
            <w:r>
              <w:rPr>
                <w:rFonts w:ascii="Century Gothic" w:hAnsi="Century Gothic"/>
                <w:lang w:val="en-PH"/>
              </w:rPr>
              <w:t xml:space="preserve">-iw,” a poetry reading of poems written by Filipino poets; interpreted by the students of Panulaan course. </w:t>
            </w: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947F9F" w:rsidRPr="007435C7" w:rsidRDefault="00150C59" w:rsidP="007435C7">
            <w:pPr>
              <w:jc w:val="center"/>
              <w:rPr>
                <w:rFonts w:ascii="Century Gothic" w:hAnsi="Century Gothic"/>
                <w:sz w:val="16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947F9F" w:rsidRPr="000548E9" w:rsidRDefault="00C632AF" w:rsidP="007435C7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947F9F" w:rsidRPr="000548E9" w:rsidRDefault="00C632AF" w:rsidP="007435C7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947F9F" w:rsidRPr="007435C7" w:rsidTr="00C632AF">
        <w:tc>
          <w:tcPr>
            <w:tcW w:w="2334" w:type="dxa"/>
          </w:tcPr>
          <w:p w:rsidR="00947F9F" w:rsidRPr="007435C7" w:rsidRDefault="00DA413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PNU Gawad Sulo</w:t>
            </w:r>
          </w:p>
        </w:tc>
        <w:tc>
          <w:tcPr>
            <w:tcW w:w="5211" w:type="dxa"/>
          </w:tcPr>
          <w:p w:rsidR="00947F9F" w:rsidRPr="007435C7" w:rsidRDefault="00DA413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2017 – PNU Gawad Sulo Eminent Alumni </w:t>
            </w:r>
          </w:p>
        </w:tc>
        <w:tc>
          <w:tcPr>
            <w:tcW w:w="1805" w:type="dxa"/>
          </w:tcPr>
          <w:p w:rsidR="00947F9F" w:rsidRPr="007435C7" w:rsidRDefault="00DA413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2017</w:t>
            </w:r>
          </w:p>
        </w:tc>
      </w:tr>
      <w:tr w:rsidR="00947F9F" w:rsidRPr="007435C7" w:rsidTr="00C632AF">
        <w:tc>
          <w:tcPr>
            <w:tcW w:w="2334" w:type="dxa"/>
          </w:tcPr>
          <w:p w:rsidR="00947F9F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SA</w:t>
            </w:r>
            <w:r w:rsidR="001549B0" w:rsidRPr="007435C7">
              <w:rPr>
                <w:rFonts w:ascii="Century Gothic" w:hAnsi="Century Gothic"/>
                <w:sz w:val="20"/>
                <w:lang w:val="en-PH"/>
              </w:rPr>
              <w:t xml:space="preserve">RIMANOK Award </w:t>
            </w:r>
          </w:p>
        </w:tc>
        <w:tc>
          <w:tcPr>
            <w:tcW w:w="5211" w:type="dxa"/>
          </w:tcPr>
          <w:p w:rsidR="00947F9F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Outstanding Alumnu</w:t>
            </w:r>
            <w:r w:rsidR="001549B0" w:rsidRPr="007435C7">
              <w:rPr>
                <w:rFonts w:ascii="Century Gothic" w:hAnsi="Century Gothic"/>
                <w:sz w:val="20"/>
                <w:lang w:val="en-PH"/>
              </w:rPr>
              <w:t>s in the Field of Literature and the Arts – Mindanao State University</w:t>
            </w:r>
          </w:p>
        </w:tc>
        <w:tc>
          <w:tcPr>
            <w:tcW w:w="1805" w:type="dxa"/>
          </w:tcPr>
          <w:p w:rsidR="00947F9F" w:rsidRPr="007435C7" w:rsidRDefault="006D1E6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20</w:t>
            </w:r>
            <w:r w:rsidR="001549B0" w:rsidRPr="007435C7">
              <w:rPr>
                <w:rFonts w:ascii="Century Gothic" w:hAnsi="Century Gothic"/>
                <w:sz w:val="20"/>
                <w:lang w:val="en-PH"/>
              </w:rPr>
              <w:t>11</w:t>
            </w: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7435C7" w:rsidTr="00150C59">
        <w:tc>
          <w:tcPr>
            <w:tcW w:w="2334" w:type="dxa"/>
          </w:tcPr>
          <w:p w:rsidR="00150C59" w:rsidRPr="007435C7" w:rsidRDefault="001549B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Speaker-Trainor</w:t>
            </w:r>
          </w:p>
        </w:tc>
        <w:tc>
          <w:tcPr>
            <w:tcW w:w="5221" w:type="dxa"/>
          </w:tcPr>
          <w:p w:rsidR="00150C59" w:rsidRPr="007435C7" w:rsidRDefault="001549B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Simposyum sa Leksikograpiya – Komisyon sa Wikang Filipino (KWF)  - “Pagbuo ng Monolinggwal at Teknikal na Diksiyunaryo” </w:t>
            </w:r>
          </w:p>
        </w:tc>
        <w:tc>
          <w:tcPr>
            <w:tcW w:w="1795" w:type="dxa"/>
          </w:tcPr>
          <w:p w:rsidR="00150C59" w:rsidRPr="007435C7" w:rsidRDefault="001549B0" w:rsidP="007B0C2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  <w:tr w:rsidR="00150C59" w:rsidRPr="007435C7" w:rsidTr="00150C59">
        <w:tc>
          <w:tcPr>
            <w:tcW w:w="2334" w:type="dxa"/>
          </w:tcPr>
          <w:p w:rsidR="00150C59" w:rsidRPr="007435C7" w:rsidRDefault="001549B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Speaker </w:t>
            </w:r>
          </w:p>
        </w:tc>
        <w:tc>
          <w:tcPr>
            <w:tcW w:w="5221" w:type="dxa"/>
          </w:tcPr>
          <w:p w:rsidR="00150C59" w:rsidRPr="007435C7" w:rsidRDefault="001549B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Trends and Prospects in Education – Metrobank Foundation- Network of Outstanding Teachers and Educators (NOTED) – “Facebook: A Potent Tool in Teaching Poetr”y</w:t>
            </w:r>
          </w:p>
        </w:tc>
        <w:tc>
          <w:tcPr>
            <w:tcW w:w="1795" w:type="dxa"/>
          </w:tcPr>
          <w:p w:rsidR="00150C59" w:rsidRPr="007435C7" w:rsidRDefault="001549B0" w:rsidP="007B0C2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  <w:tr w:rsidR="00150C59" w:rsidRPr="007435C7" w:rsidTr="002C354D">
        <w:tc>
          <w:tcPr>
            <w:tcW w:w="2334" w:type="dxa"/>
          </w:tcPr>
          <w:p w:rsidR="00150C59" w:rsidRPr="007435C7" w:rsidRDefault="001549B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Speaker </w:t>
            </w:r>
          </w:p>
        </w:tc>
        <w:tc>
          <w:tcPr>
            <w:tcW w:w="5221" w:type="dxa"/>
          </w:tcPr>
          <w:p w:rsidR="00150C59" w:rsidRPr="007435C7" w:rsidRDefault="001549B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Personal Goal Setting – PBED, UST College of Education</w:t>
            </w:r>
          </w:p>
        </w:tc>
        <w:tc>
          <w:tcPr>
            <w:tcW w:w="1795" w:type="dxa"/>
          </w:tcPr>
          <w:p w:rsidR="00150C59" w:rsidRPr="007435C7" w:rsidRDefault="001549B0" w:rsidP="007B0C2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  <w:tr w:rsidR="00150C59" w:rsidRPr="007435C7" w:rsidTr="002C354D">
        <w:tc>
          <w:tcPr>
            <w:tcW w:w="2334" w:type="dxa"/>
          </w:tcPr>
          <w:p w:rsidR="00150C59" w:rsidRPr="007435C7" w:rsidRDefault="001549B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Speaker </w:t>
            </w:r>
          </w:p>
        </w:tc>
        <w:tc>
          <w:tcPr>
            <w:tcW w:w="5221" w:type="dxa"/>
          </w:tcPr>
          <w:p w:rsidR="00150C59" w:rsidRPr="007435C7" w:rsidRDefault="001549B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UST COLLEGE OF EDUCATION SIYASIK – “Tex5tula sa Cellphone”</w:t>
            </w:r>
          </w:p>
        </w:tc>
        <w:tc>
          <w:tcPr>
            <w:tcW w:w="1795" w:type="dxa"/>
          </w:tcPr>
          <w:p w:rsidR="00150C59" w:rsidRPr="007435C7" w:rsidRDefault="001549B0" w:rsidP="007B0C2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  <w:tr w:rsidR="00150C59" w:rsidRPr="007435C7" w:rsidTr="002C354D">
        <w:tc>
          <w:tcPr>
            <w:tcW w:w="2334" w:type="dxa"/>
          </w:tcPr>
          <w:p w:rsidR="00150C59" w:rsidRPr="007435C7" w:rsidRDefault="001549B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 xml:space="preserve">Speaker </w:t>
            </w:r>
          </w:p>
        </w:tc>
        <w:tc>
          <w:tcPr>
            <w:tcW w:w="5221" w:type="dxa"/>
          </w:tcPr>
          <w:p w:rsidR="00150C59" w:rsidRPr="007435C7" w:rsidRDefault="001549B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The Kambayoka: Traditional Theater Form of the Meranaw – College of Education</w:t>
            </w:r>
          </w:p>
        </w:tc>
        <w:tc>
          <w:tcPr>
            <w:tcW w:w="1795" w:type="dxa"/>
          </w:tcPr>
          <w:p w:rsidR="00150C59" w:rsidRPr="007435C7" w:rsidRDefault="001549B0" w:rsidP="007B0C2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7435C7"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50C59"/>
    <w:rsid w:val="001549B0"/>
    <w:rsid w:val="001E0454"/>
    <w:rsid w:val="001E7BF5"/>
    <w:rsid w:val="002A3ACD"/>
    <w:rsid w:val="00674E14"/>
    <w:rsid w:val="006D1E66"/>
    <w:rsid w:val="007435C7"/>
    <w:rsid w:val="007B0C24"/>
    <w:rsid w:val="008F4B66"/>
    <w:rsid w:val="00941B86"/>
    <w:rsid w:val="009436EA"/>
    <w:rsid w:val="00947F9F"/>
    <w:rsid w:val="00A44E04"/>
    <w:rsid w:val="00B42459"/>
    <w:rsid w:val="00C632AF"/>
    <w:rsid w:val="00D15874"/>
    <w:rsid w:val="00DA4136"/>
    <w:rsid w:val="00DC602E"/>
    <w:rsid w:val="00EA4151"/>
    <w:rsid w:val="00F4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casanova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10</cp:revision>
  <dcterms:created xsi:type="dcterms:W3CDTF">2017-04-05T03:17:00Z</dcterms:created>
  <dcterms:modified xsi:type="dcterms:W3CDTF">2017-04-14T07:10:00Z</dcterms:modified>
</cp:coreProperties>
</file>