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582D14" w:rsidP="00582D1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Prof. IMELDA P. DE CASTRO</w:t>
            </w:r>
            <w:r w:rsidR="00444113">
              <w:rPr>
                <w:rFonts w:ascii="Century Gothic" w:hAnsi="Century Gothic"/>
                <w:lang w:val="en-PH"/>
              </w:rPr>
              <w:t>, Ph.D.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582D1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700DC2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Cultural &amp; Literary Studies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700DC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582D1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(02) </w:t>
            </w:r>
            <w:r w:rsidR="00700DC2">
              <w:rPr>
                <w:rFonts w:ascii="Century Gothic" w:hAnsi="Century Gothic"/>
                <w:lang w:val="en-PH"/>
              </w:rPr>
              <w:t>7314323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444113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700DC2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imeldapdecastro@ust.edu.ph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444113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582D14" w:rsidP="00582D1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T, </w:t>
            </w:r>
            <w:r w:rsidR="00700DC2">
              <w:rPr>
                <w:rFonts w:ascii="Century Gothic" w:hAnsi="Century Gothic"/>
                <w:lang w:val="en-PH"/>
              </w:rPr>
              <w:t>1</w:t>
            </w:r>
            <w:r>
              <w:rPr>
                <w:rFonts w:ascii="Century Gothic" w:hAnsi="Century Gothic"/>
                <w:lang w:val="en-PH"/>
              </w:rPr>
              <w:t xml:space="preserve">:00 – </w:t>
            </w:r>
            <w:r w:rsidR="00700DC2">
              <w:rPr>
                <w:rFonts w:ascii="Century Gothic" w:hAnsi="Century Gothic"/>
                <w:lang w:val="en-PH"/>
              </w:rPr>
              <w:t>5</w:t>
            </w:r>
            <w:r>
              <w:rPr>
                <w:rFonts w:ascii="Century Gothic" w:hAnsi="Century Gothic"/>
                <w:lang w:val="en-PH"/>
              </w:rPr>
              <w:t xml:space="preserve">:00 PM; F, 1:00 – </w:t>
            </w:r>
            <w:r w:rsidR="00700DC2">
              <w:rPr>
                <w:rFonts w:ascii="Century Gothic" w:hAnsi="Century Gothic"/>
                <w:lang w:val="en-PH"/>
              </w:rPr>
              <w:t>5</w:t>
            </w:r>
            <w:r>
              <w:rPr>
                <w:rFonts w:ascii="Century Gothic" w:hAnsi="Century Gothic"/>
                <w:lang w:val="en-PH"/>
              </w:rPr>
              <w:t>:00 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Doctor of Arts in Language &amp; Literature</w:t>
            </w:r>
          </w:p>
        </w:tc>
        <w:tc>
          <w:tcPr>
            <w:tcW w:w="2013" w:type="dxa"/>
          </w:tcPr>
          <w:p w:rsidR="00B42459" w:rsidRPr="000548E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De La Salle University-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Mla</w:t>
            </w:r>
            <w:proofErr w:type="spellEnd"/>
            <w:r>
              <w:rPr>
                <w:rFonts w:ascii="Century Gothic" w:hAnsi="Century Gothic"/>
                <w:sz w:val="20"/>
                <w:lang w:val="en-PH"/>
              </w:rPr>
              <w:t>.</w:t>
            </w:r>
          </w:p>
        </w:tc>
        <w:tc>
          <w:tcPr>
            <w:tcW w:w="2032" w:type="dxa"/>
          </w:tcPr>
          <w:p w:rsidR="00B42459" w:rsidRPr="000548E9" w:rsidRDefault="00700DC2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2000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 Language &amp; Literature</w:t>
            </w:r>
          </w:p>
          <w:p w:rsidR="00700DC2" w:rsidRPr="000548E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 Educational Mgt. &amp; Planning</w:t>
            </w:r>
          </w:p>
        </w:tc>
        <w:tc>
          <w:tcPr>
            <w:tcW w:w="2013" w:type="dxa"/>
          </w:tcPr>
          <w:p w:rsidR="00B4245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Phil. Normal University</w:t>
            </w:r>
          </w:p>
          <w:p w:rsidR="00700DC2" w:rsidRPr="000548E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MLQU</w:t>
            </w:r>
          </w:p>
        </w:tc>
        <w:tc>
          <w:tcPr>
            <w:tcW w:w="2032" w:type="dxa"/>
          </w:tcPr>
          <w:p w:rsidR="00B42459" w:rsidRDefault="00700DC2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1990</w:t>
            </w:r>
          </w:p>
          <w:p w:rsidR="00700DC2" w:rsidRDefault="00700DC2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700DC2" w:rsidRPr="000548E9" w:rsidRDefault="00700DC2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1996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</w:t>
            </w:r>
            <w:r w:rsidR="00444113">
              <w:rPr>
                <w:rFonts w:ascii="Century Gothic" w:hAnsi="Century Gothic"/>
                <w:sz w:val="20"/>
                <w:lang w:val="en-PH"/>
              </w:rPr>
              <w:t xml:space="preserve">achelor of </w:t>
            </w:r>
            <w:r>
              <w:rPr>
                <w:rFonts w:ascii="Century Gothic" w:hAnsi="Century Gothic"/>
                <w:sz w:val="20"/>
                <w:lang w:val="en-PH"/>
              </w:rPr>
              <w:t>S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econdary Education</w:t>
            </w:r>
          </w:p>
        </w:tc>
        <w:tc>
          <w:tcPr>
            <w:tcW w:w="2013" w:type="dxa"/>
          </w:tcPr>
          <w:p w:rsidR="00B42459" w:rsidRPr="000548E9" w:rsidRDefault="00444113" w:rsidP="00444113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</w:t>
            </w:r>
          </w:p>
        </w:tc>
        <w:tc>
          <w:tcPr>
            <w:tcW w:w="2032" w:type="dxa"/>
          </w:tcPr>
          <w:p w:rsidR="00B42459" w:rsidRPr="000548E9" w:rsidRDefault="00700DC2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1978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44113" w:rsidRDefault="00700DC2" w:rsidP="00F32721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44113">
              <w:rPr>
                <w:rFonts w:ascii="Century Gothic" w:hAnsi="Century Gothic"/>
                <w:sz w:val="20"/>
                <w:lang w:val="en-PH"/>
              </w:rPr>
              <w:t>San</w:t>
            </w:r>
            <w:r w:rsidR="00F32721">
              <w:rPr>
                <w:rFonts w:ascii="Century Gothic" w:hAnsi="Century Gothic"/>
                <w:sz w:val="20"/>
                <w:lang w:val="en-PH"/>
              </w:rPr>
              <w:t>g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gunian</w:t>
            </w:r>
            <w:proofErr w:type="spellEnd"/>
            <w:r w:rsidRPr="0044411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44113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444113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</w:tc>
        <w:tc>
          <w:tcPr>
            <w:tcW w:w="2013" w:type="dxa"/>
          </w:tcPr>
          <w:p w:rsidR="00B42459" w:rsidRPr="00444113" w:rsidRDefault="00700DC2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Vice-President</w:t>
            </w:r>
          </w:p>
        </w:tc>
        <w:tc>
          <w:tcPr>
            <w:tcW w:w="2032" w:type="dxa"/>
          </w:tcPr>
          <w:p w:rsidR="00B42459" w:rsidRPr="00444113" w:rsidRDefault="00250BAB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1998-2010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44113" w:rsidRDefault="00250BAB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National Commission on Culture &amp; the Arts-NCLT</w:t>
            </w:r>
          </w:p>
        </w:tc>
        <w:tc>
          <w:tcPr>
            <w:tcW w:w="2013" w:type="dxa"/>
          </w:tcPr>
          <w:p w:rsidR="00B42459" w:rsidRPr="00444113" w:rsidRDefault="00250BAB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Asst. Secretary</w:t>
            </w:r>
          </w:p>
          <w:p w:rsidR="00250BAB" w:rsidRPr="00444113" w:rsidRDefault="00250BAB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EXECON</w:t>
            </w:r>
          </w:p>
        </w:tc>
        <w:tc>
          <w:tcPr>
            <w:tcW w:w="2032" w:type="dxa"/>
          </w:tcPr>
          <w:p w:rsidR="00B42459" w:rsidRPr="00444113" w:rsidRDefault="00250BAB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2011-2014</w:t>
            </w:r>
          </w:p>
          <w:p w:rsidR="00250BAB" w:rsidRPr="00444113" w:rsidRDefault="00F32721" w:rsidP="00F32721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2016-present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44113" w:rsidRDefault="00250BAB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National Research Council of the Philippines</w:t>
            </w:r>
          </w:p>
        </w:tc>
        <w:tc>
          <w:tcPr>
            <w:tcW w:w="2013" w:type="dxa"/>
          </w:tcPr>
          <w:p w:rsidR="00B42459" w:rsidRPr="00444113" w:rsidRDefault="00250BAB" w:rsidP="00444113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Associate Researcher</w:t>
            </w:r>
          </w:p>
        </w:tc>
        <w:tc>
          <w:tcPr>
            <w:tcW w:w="2032" w:type="dxa"/>
          </w:tcPr>
          <w:p w:rsidR="00B42459" w:rsidRPr="00444113" w:rsidRDefault="00250BAB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2015-present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444113" w:rsidRDefault="00444113">
            <w:pPr>
              <w:rPr>
                <w:rFonts w:ascii="Century Gothic" w:hAnsi="Century Gothic"/>
                <w:lang w:val="en-PH"/>
              </w:rPr>
            </w:pPr>
          </w:p>
          <w:p w:rsidR="00B42459" w:rsidRPr="00444113" w:rsidRDefault="005365BF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>Dr.</w:t>
            </w:r>
            <w:r w:rsidR="00444113" w:rsidRPr="0044411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Imelda P. </w:t>
            </w:r>
            <w:r w:rsidR="00444113" w:rsidRPr="00444113">
              <w:rPr>
                <w:rFonts w:ascii="Century Gothic" w:hAnsi="Century Gothic"/>
                <w:sz w:val="20"/>
                <w:lang w:val="en-PH"/>
              </w:rPr>
              <w:t>d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e Castro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i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s the former Chairperson of the Filipino Department of the University of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S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anto Tomas where she is also a Full Professor and Resident Research Fellow</w:t>
            </w:r>
            <w:r w:rsidR="00444113">
              <w:rPr>
                <w:rFonts w:ascii="Century Gothic" w:hAnsi="Century Gothic"/>
                <w:sz w:val="20"/>
                <w:lang w:val="en-PH"/>
              </w:rPr>
              <w:t xml:space="preserve"> of the 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Research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C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ente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r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 on Culture, Arts &amp; Humanities.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She obtained her Doctor of Arts in Languag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e &amp; Literature Degree (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with High Distinction) from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De La Salle University-Manila. She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t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eaches Filipino Language, rhetoric, literature, translation, lexicography and research methodology.</w:t>
            </w:r>
          </w:p>
          <w:p w:rsidR="00444113" w:rsidRPr="00444113" w:rsidRDefault="00444113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5365BF" w:rsidRPr="00444113" w:rsidRDefault="005365BF">
            <w:pPr>
              <w:rPr>
                <w:rFonts w:ascii="Century Gothic" w:hAnsi="Century Gothic"/>
                <w:sz w:val="20"/>
                <w:lang w:val="en-PH"/>
              </w:rPr>
            </w:pPr>
            <w:r w:rsidRPr="00444113">
              <w:rPr>
                <w:rFonts w:ascii="Century Gothic" w:hAnsi="Century Gothic"/>
                <w:sz w:val="20"/>
                <w:lang w:val="en-PH"/>
              </w:rPr>
              <w:t xml:space="preserve">As a researcher, Dr.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d</w:t>
            </w:r>
            <w:r w:rsidRPr="00444113">
              <w:rPr>
                <w:rFonts w:ascii="Century Gothic" w:hAnsi="Century Gothic"/>
                <w:sz w:val="20"/>
                <w:lang w:val="en-PH"/>
              </w:rPr>
              <w:t>e Castro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has received numerous awards and citations from the </w:t>
            </w:r>
            <w:proofErr w:type="spellStart"/>
            <w:r w:rsidR="002D2CD2" w:rsidRPr="00444113">
              <w:rPr>
                <w:rFonts w:ascii="Century Gothic" w:hAnsi="Century Gothic"/>
                <w:sz w:val="20"/>
                <w:lang w:val="en-PH"/>
              </w:rPr>
              <w:t>Unuversity</w:t>
            </w:r>
            <w:proofErr w:type="spellEnd"/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Research Coordination Council (URCO)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of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DLSU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.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She </w:t>
            </w:r>
            <w:r w:rsidR="00444113">
              <w:rPr>
                <w:rFonts w:ascii="Century Gothic" w:hAnsi="Century Gothic"/>
                <w:sz w:val="20"/>
                <w:lang w:val="en-PH"/>
              </w:rPr>
              <w:t>a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lso authored and co-authored reference books in Computer Studies in Filipino, Filipino in Different Disciplines, Rhetoric, and Let’s Converse in Filipino.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She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also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present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ed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research papers in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c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onferences such as the International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C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onference on Translation and Bilingual Dictionaries in </w:t>
            </w:r>
            <w:proofErr w:type="spellStart"/>
            <w:r w:rsidR="007B1AC8">
              <w:rPr>
                <w:rFonts w:ascii="Century Gothic" w:hAnsi="Century Gothic"/>
                <w:sz w:val="20"/>
                <w:lang w:val="en-PH"/>
              </w:rPr>
              <w:t>Hongkong</w:t>
            </w:r>
            <w:proofErr w:type="spellEnd"/>
            <w:r w:rsidR="007B1AC8">
              <w:rPr>
                <w:rFonts w:ascii="Century Gothic" w:hAnsi="Century Gothic"/>
                <w:sz w:val="20"/>
                <w:lang w:val="en-PH"/>
              </w:rPr>
              <w:t xml:space="preserve"> and the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International 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C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>onference on Specialized Translation in Barcelona, Spain</w:t>
            </w:r>
            <w:r w:rsidR="007B1AC8">
              <w:rPr>
                <w:rFonts w:ascii="Century Gothic" w:hAnsi="Century Gothic"/>
                <w:sz w:val="20"/>
                <w:lang w:val="en-PH"/>
              </w:rPr>
              <w:t xml:space="preserve">. She has also published 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>article</w:t>
            </w:r>
            <w:r w:rsidR="007B1AC8">
              <w:rPr>
                <w:rFonts w:ascii="Century Gothic" w:hAnsi="Century Gothic"/>
                <w:sz w:val="20"/>
                <w:lang w:val="en-PH"/>
              </w:rPr>
              <w:t>s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in </w:t>
            </w:r>
            <w:proofErr w:type="spellStart"/>
            <w:r w:rsidR="002D2CD2" w:rsidRPr="00444113">
              <w:rPr>
                <w:rFonts w:ascii="Century Gothic" w:hAnsi="Century Gothic"/>
                <w:sz w:val="20"/>
                <w:lang w:val="en-PH"/>
              </w:rPr>
              <w:t>Lexicograpia</w:t>
            </w:r>
            <w:proofErr w:type="spellEnd"/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Manor in Tubingen, Germany and </w:t>
            </w:r>
            <w:proofErr w:type="spellStart"/>
            <w:r w:rsidR="002D2CD2" w:rsidRPr="00444113">
              <w:rPr>
                <w:rFonts w:ascii="Century Gothic" w:hAnsi="Century Gothic"/>
                <w:sz w:val="20"/>
                <w:lang w:val="en-PH"/>
              </w:rPr>
              <w:t>Lexicograpy</w:t>
            </w:r>
            <w:proofErr w:type="spellEnd"/>
            <w:r w:rsidR="002D2CD2" w:rsidRPr="00444113">
              <w:rPr>
                <w:rFonts w:ascii="Century Gothic" w:hAnsi="Century Gothic"/>
                <w:sz w:val="20"/>
                <w:lang w:val="en-PH"/>
              </w:rPr>
              <w:t xml:space="preserve"> monograph in the university of London.</w:t>
            </w:r>
          </w:p>
          <w:p w:rsidR="00444113" w:rsidRPr="00444113" w:rsidRDefault="00444113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2D2CD2" w:rsidRPr="00444113" w:rsidRDefault="007B1AC8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At present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>, she is an Executive Council Member of the National Commission on Culture &amp; the Arts –National Committee on Language &amp; Translation. She is also an Associate Researcher at the National Research Council of the Philip</w:t>
            </w:r>
            <w:r>
              <w:rPr>
                <w:rFonts w:ascii="Century Gothic" w:hAnsi="Century Gothic"/>
                <w:sz w:val="20"/>
                <w:lang w:val="en-PH"/>
              </w:rPr>
              <w:t>p</w:t>
            </w:r>
            <w:r w:rsidR="002D2CD2" w:rsidRPr="00444113">
              <w:rPr>
                <w:rFonts w:ascii="Century Gothic" w:hAnsi="Century Gothic"/>
                <w:sz w:val="20"/>
                <w:lang w:val="en-PH"/>
              </w:rPr>
              <w:t>ines.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444113">
        <w:tc>
          <w:tcPr>
            <w:tcW w:w="935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444113">
        <w:tc>
          <w:tcPr>
            <w:tcW w:w="9350" w:type="dxa"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444113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444113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444113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444113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444113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444113">
        <w:tc>
          <w:tcPr>
            <w:tcW w:w="9350" w:type="dxa"/>
          </w:tcPr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444113">
        <w:tc>
          <w:tcPr>
            <w:tcW w:w="9350" w:type="dxa"/>
          </w:tcPr>
          <w:p w:rsidR="00C632AF" w:rsidRDefault="00C632AF" w:rsidP="00444113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444113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444113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E7BF5"/>
    <w:rsid w:val="00250BAB"/>
    <w:rsid w:val="002D2CD2"/>
    <w:rsid w:val="002E0FA2"/>
    <w:rsid w:val="00444113"/>
    <w:rsid w:val="005365BF"/>
    <w:rsid w:val="00582D14"/>
    <w:rsid w:val="00700DC2"/>
    <w:rsid w:val="007B1AC8"/>
    <w:rsid w:val="00B42459"/>
    <w:rsid w:val="00C632AF"/>
    <w:rsid w:val="00DC602E"/>
    <w:rsid w:val="00F32721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7</cp:revision>
  <dcterms:created xsi:type="dcterms:W3CDTF">2017-04-05T04:44:00Z</dcterms:created>
  <dcterms:modified xsi:type="dcterms:W3CDTF">2017-04-14T06:56:00Z</dcterms:modified>
</cp:coreProperties>
</file>