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1203D1" w:rsidP="003F152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Mrs. </w:t>
            </w:r>
            <w:r w:rsidR="003F1529">
              <w:rPr>
                <w:rFonts w:ascii="Century Gothic" w:hAnsi="Century Gothic"/>
                <w:lang w:val="en-PH"/>
              </w:rPr>
              <w:t>MILANIE L. KUA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3F152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CA2107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Special 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CA210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3F152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(02) 406 1611 local</w:t>
            </w:r>
            <w:r w:rsidR="001203D1">
              <w:rPr>
                <w:rFonts w:ascii="Century Gothic" w:hAnsi="Century Gothic"/>
                <w:lang w:val="en-PH"/>
              </w:rPr>
              <w:t xml:space="preserve">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CA2107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mlkua@ust.edu.ph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CA2107" w:rsidP="003F152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</w:t>
            </w:r>
            <w:r w:rsidR="003F1529">
              <w:rPr>
                <w:rFonts w:ascii="Century Gothic" w:hAnsi="Century Gothic"/>
                <w:lang w:val="en-PH"/>
              </w:rPr>
              <w:t>, 1</w:t>
            </w:r>
            <w:r>
              <w:rPr>
                <w:rFonts w:ascii="Century Gothic" w:hAnsi="Century Gothic"/>
                <w:lang w:val="en-PH"/>
              </w:rPr>
              <w:t>0</w:t>
            </w:r>
            <w:r w:rsidR="003F1529">
              <w:rPr>
                <w:rFonts w:ascii="Century Gothic" w:hAnsi="Century Gothic"/>
                <w:lang w:val="en-PH"/>
              </w:rPr>
              <w:t>:00 AM – 12:00 NN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CA2107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Arts in Special Education</w:t>
            </w:r>
          </w:p>
        </w:tc>
        <w:tc>
          <w:tcPr>
            <w:tcW w:w="2013" w:type="dxa"/>
          </w:tcPr>
          <w:p w:rsidR="00B42459" w:rsidRPr="000548E9" w:rsidRDefault="00CA2107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College of the Holy Spirit Manila</w:t>
            </w:r>
          </w:p>
        </w:tc>
        <w:tc>
          <w:tcPr>
            <w:tcW w:w="2032" w:type="dxa"/>
          </w:tcPr>
          <w:p w:rsidR="00B42459" w:rsidRPr="000548E9" w:rsidRDefault="00CA2107" w:rsidP="003F152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B42459" w:rsidRPr="000548E9" w:rsidRDefault="00CA2107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Science in Commerce major in Accounting</w:t>
            </w:r>
          </w:p>
        </w:tc>
        <w:tc>
          <w:tcPr>
            <w:tcW w:w="2013" w:type="dxa"/>
          </w:tcPr>
          <w:p w:rsidR="00B42459" w:rsidRPr="000548E9" w:rsidRDefault="00CA2107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College of the Holy Spirit Manila</w:t>
            </w:r>
          </w:p>
        </w:tc>
        <w:tc>
          <w:tcPr>
            <w:tcW w:w="2032" w:type="dxa"/>
          </w:tcPr>
          <w:p w:rsidR="00B42459" w:rsidRPr="000548E9" w:rsidRDefault="00CA2107" w:rsidP="003F152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1991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3F1529" w:rsidRDefault="003F1529">
            <w:pPr>
              <w:rPr>
                <w:rFonts w:ascii="Century Gothic" w:hAnsi="Century Gothic"/>
                <w:lang w:val="en-PH"/>
              </w:rPr>
            </w:pPr>
          </w:p>
          <w:p w:rsidR="00B42459" w:rsidRPr="003F1529" w:rsidRDefault="003F1529">
            <w:pPr>
              <w:rPr>
                <w:rFonts w:ascii="Century Gothic" w:hAnsi="Century Gothic"/>
                <w:sz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lang w:val="en-PH"/>
              </w:rPr>
              <w:t xml:space="preserve">Mrs. </w:t>
            </w:r>
            <w:proofErr w:type="spellStart"/>
            <w:r w:rsidR="00CA2107" w:rsidRPr="003F1529">
              <w:rPr>
                <w:rFonts w:ascii="Century Gothic" w:hAnsi="Century Gothic"/>
                <w:sz w:val="20"/>
                <w:lang w:val="en-PH"/>
              </w:rPr>
              <w:t>Milanie</w:t>
            </w:r>
            <w:proofErr w:type="spellEnd"/>
            <w:r w:rsidR="00CA2107" w:rsidRPr="003F1529">
              <w:rPr>
                <w:rFonts w:ascii="Century Gothic" w:hAnsi="Century Gothic"/>
                <w:sz w:val="20"/>
                <w:lang w:val="en-PH"/>
              </w:rPr>
              <w:t xml:space="preserve"> Lim </w:t>
            </w:r>
            <w:proofErr w:type="spellStart"/>
            <w:r w:rsidR="009B2EBD" w:rsidRPr="003F1529">
              <w:rPr>
                <w:rFonts w:ascii="Century Gothic" w:hAnsi="Century Gothic"/>
                <w:sz w:val="20"/>
                <w:lang w:val="en-PH"/>
              </w:rPr>
              <w:t>Kua</w:t>
            </w:r>
            <w:proofErr w:type="spellEnd"/>
            <w:r w:rsidR="009B2EBD" w:rsidRPr="003F1529">
              <w:rPr>
                <w:rFonts w:ascii="Century Gothic" w:hAnsi="Century Gothic"/>
                <w:sz w:val="20"/>
                <w:lang w:val="en-PH"/>
              </w:rPr>
              <w:t xml:space="preserve">, MA </w:t>
            </w:r>
            <w:proofErr w:type="spellStart"/>
            <w:r w:rsidR="009B2EBD" w:rsidRPr="003F1529">
              <w:rPr>
                <w:rFonts w:ascii="Century Gothic" w:hAnsi="Century Gothic"/>
                <w:sz w:val="20"/>
                <w:lang w:val="en-PH"/>
              </w:rPr>
              <w:t>SpEd</w:t>
            </w:r>
            <w:proofErr w:type="spellEnd"/>
            <w:r w:rsidR="009B2EBD" w:rsidRPr="003F1529">
              <w:rPr>
                <w:rFonts w:ascii="Century Gothic" w:hAnsi="Century Gothic"/>
                <w:sz w:val="20"/>
                <w:lang w:val="en-PH"/>
              </w:rPr>
              <w:t xml:space="preserve">, LPT, </w:t>
            </w:r>
            <w:r w:rsidR="001230C5" w:rsidRPr="003F1529">
              <w:rPr>
                <w:rFonts w:ascii="Century Gothic" w:hAnsi="Century Gothic"/>
                <w:sz w:val="20"/>
                <w:lang w:val="en-PH"/>
              </w:rPr>
              <w:t>a part time instructor of University of Santo Tomas handling education courses, is also a part time faculty of College of the Holy Spirit Manila handling Foreign Language and TESOL class. A</w:t>
            </w:r>
            <w:r w:rsidR="009B2EBD" w:rsidRPr="003F1529">
              <w:rPr>
                <w:rFonts w:ascii="Century Gothic" w:hAnsi="Century Gothic"/>
                <w:sz w:val="20"/>
                <w:lang w:val="en-PH"/>
              </w:rPr>
              <w:t>n Accounting graduate of College of the Holy Spirt Manila</w:t>
            </w:r>
            <w:r w:rsidR="001230C5" w:rsidRPr="003F1529">
              <w:rPr>
                <w:rFonts w:ascii="Century Gothic" w:hAnsi="Century Gothic"/>
                <w:sz w:val="20"/>
                <w:lang w:val="en-PH"/>
              </w:rPr>
              <w:t xml:space="preserve">. Aside from her </w:t>
            </w:r>
            <w:r w:rsidR="00C751F0" w:rsidRPr="003F1529">
              <w:rPr>
                <w:rFonts w:ascii="Century Gothic" w:hAnsi="Century Gothic"/>
                <w:sz w:val="20"/>
                <w:lang w:val="en-PH"/>
              </w:rPr>
              <w:t>Mat</w:t>
            </w:r>
            <w:r w:rsidR="001230C5" w:rsidRPr="003F1529">
              <w:rPr>
                <w:rFonts w:ascii="Century Gothic" w:hAnsi="Century Gothic"/>
                <w:sz w:val="20"/>
                <w:lang w:val="en-PH"/>
              </w:rPr>
              <w:t xml:space="preserve">er of Arts in Special Education, she also finished her diploma course in Professional Course in </w:t>
            </w:r>
            <w:r w:rsidR="00C751F0" w:rsidRPr="003F1529">
              <w:rPr>
                <w:rFonts w:ascii="Century Gothic" w:hAnsi="Century Gothic"/>
                <w:sz w:val="20"/>
                <w:lang w:val="en-PH"/>
              </w:rPr>
              <w:t xml:space="preserve">Special Education </w:t>
            </w:r>
            <w:r w:rsidR="00CD096E" w:rsidRPr="003F1529">
              <w:rPr>
                <w:rFonts w:ascii="Century Gothic" w:hAnsi="Century Gothic"/>
                <w:sz w:val="20"/>
                <w:lang w:val="en-PH"/>
              </w:rPr>
              <w:t>at College of the Holy Spi</w:t>
            </w:r>
            <w:r w:rsidR="001230C5" w:rsidRPr="003F1529">
              <w:rPr>
                <w:rFonts w:ascii="Century Gothic" w:hAnsi="Century Gothic"/>
                <w:sz w:val="20"/>
                <w:lang w:val="en-PH"/>
              </w:rPr>
              <w:t>rit Manila and</w:t>
            </w:r>
            <w:r w:rsidR="00CD096E" w:rsidRPr="003F1529">
              <w:rPr>
                <w:rFonts w:ascii="Century Gothic" w:hAnsi="Century Gothic"/>
                <w:sz w:val="20"/>
                <w:lang w:val="en-PH"/>
              </w:rPr>
              <w:t xml:space="preserve"> Teaching of </w:t>
            </w:r>
            <w:r w:rsidR="00C751F0" w:rsidRPr="003F1529">
              <w:rPr>
                <w:rFonts w:ascii="Century Gothic" w:hAnsi="Century Gothic"/>
                <w:sz w:val="20"/>
                <w:lang w:val="en-PH"/>
              </w:rPr>
              <w:t xml:space="preserve">English to Speakers of Other Languages and Teaching English to Children at Concordia International College.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3F1529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 xml:space="preserve">SPED 4: </w:t>
            </w:r>
            <w:r w:rsidR="003F1529" w:rsidRPr="003F1529">
              <w:rPr>
                <w:rFonts w:ascii="Century Gothic" w:hAnsi="Century Gothic"/>
                <w:sz w:val="20"/>
                <w:szCs w:val="20"/>
              </w:rPr>
              <w:t>Observational Child Study</w:t>
            </w:r>
            <w:r w:rsidR="00D16E79" w:rsidRPr="003F1529">
              <w:rPr>
                <w:rFonts w:ascii="Century Gothic" w:hAnsi="Century Gothic"/>
                <w:sz w:val="20"/>
                <w:szCs w:val="20"/>
              </w:rPr>
              <w:t xml:space="preserve"> I</w:t>
            </w:r>
          </w:p>
          <w:p w:rsidR="00D16E79" w:rsidRPr="003F1529" w:rsidRDefault="00FD4ECF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 xml:space="preserve">SPED 19: </w:t>
            </w:r>
            <w:r w:rsidR="003F1529" w:rsidRPr="003F1529">
              <w:rPr>
                <w:rFonts w:ascii="Century Gothic" w:hAnsi="Century Gothic"/>
                <w:sz w:val="20"/>
                <w:szCs w:val="20"/>
                <w:lang w:val="en-PH"/>
              </w:rPr>
              <w:t xml:space="preserve">Research </w:t>
            </w:r>
            <w:r w:rsidR="003F1529">
              <w:rPr>
                <w:rFonts w:ascii="Century Gothic" w:hAnsi="Century Gothic"/>
                <w:sz w:val="20"/>
                <w:szCs w:val="20"/>
                <w:lang w:val="en-PH"/>
              </w:rPr>
              <w:t>i</w:t>
            </w:r>
            <w:r w:rsidR="003F1529" w:rsidRPr="003F1529">
              <w:rPr>
                <w:rFonts w:ascii="Century Gothic" w:hAnsi="Century Gothic"/>
                <w:sz w:val="20"/>
                <w:szCs w:val="20"/>
                <w:lang w:val="en-PH"/>
              </w:rPr>
              <w:t xml:space="preserve">n </w:t>
            </w:r>
            <w:r w:rsidR="00D16E79" w:rsidRPr="003F1529">
              <w:rPr>
                <w:rFonts w:ascii="Century Gothic" w:hAnsi="Century Gothic"/>
                <w:sz w:val="20"/>
                <w:szCs w:val="20"/>
                <w:lang w:val="en-PH"/>
              </w:rPr>
              <w:t>SPED</w:t>
            </w:r>
          </w:p>
          <w:p w:rsidR="00D16E79" w:rsidRPr="003F1529" w:rsidRDefault="00713E8B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EDUC 218</w:t>
            </w:r>
            <w:r w:rsidR="00FD4ECF" w:rsidRPr="003F1529">
              <w:rPr>
                <w:rFonts w:ascii="Century Gothic" w:hAnsi="Century Gothic"/>
                <w:sz w:val="20"/>
                <w:szCs w:val="20"/>
                <w:lang w:val="en-PH"/>
              </w:rPr>
              <w:t>: Field Study II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3F1529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 xml:space="preserve">SPED 4: </w:t>
            </w:r>
            <w:r w:rsidR="003F1529" w:rsidRPr="003F1529">
              <w:rPr>
                <w:rFonts w:ascii="Century Gothic" w:hAnsi="Century Gothic"/>
                <w:sz w:val="20"/>
                <w:szCs w:val="20"/>
              </w:rPr>
              <w:t>Observational Child Study</w:t>
            </w:r>
            <w:r w:rsidR="00D16E79" w:rsidRPr="003F1529">
              <w:rPr>
                <w:rFonts w:ascii="Century Gothic" w:hAnsi="Century Gothic"/>
                <w:sz w:val="20"/>
                <w:szCs w:val="20"/>
              </w:rPr>
              <w:t xml:space="preserve"> I </w:t>
            </w:r>
          </w:p>
          <w:p w:rsidR="00D16E79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 xml:space="preserve">SPED 20: </w:t>
            </w:r>
            <w:r w:rsidR="003F1529" w:rsidRPr="003F1529">
              <w:rPr>
                <w:rFonts w:ascii="Century Gothic" w:hAnsi="Century Gothic"/>
                <w:sz w:val="20"/>
                <w:szCs w:val="20"/>
              </w:rPr>
              <w:t xml:space="preserve">Effective Communication </w:t>
            </w:r>
            <w:r w:rsidR="003F1529">
              <w:rPr>
                <w:rFonts w:ascii="Century Gothic" w:hAnsi="Century Gothic"/>
                <w:sz w:val="20"/>
                <w:szCs w:val="20"/>
              </w:rPr>
              <w:t>w</w:t>
            </w:r>
            <w:r w:rsidR="003F1529" w:rsidRPr="003F1529">
              <w:rPr>
                <w:rFonts w:ascii="Century Gothic" w:hAnsi="Century Gothic"/>
                <w:sz w:val="20"/>
                <w:szCs w:val="20"/>
              </w:rPr>
              <w:t xml:space="preserve">ith Professionals </w:t>
            </w:r>
            <w:r w:rsidR="003F1529">
              <w:rPr>
                <w:rFonts w:ascii="Century Gothic" w:hAnsi="Century Gothic"/>
                <w:sz w:val="20"/>
                <w:szCs w:val="20"/>
              </w:rPr>
              <w:t>a</w:t>
            </w:r>
            <w:r w:rsidR="003F1529" w:rsidRPr="003F1529">
              <w:rPr>
                <w:rFonts w:ascii="Century Gothic" w:hAnsi="Century Gothic"/>
                <w:sz w:val="20"/>
                <w:szCs w:val="20"/>
              </w:rPr>
              <w:t>nd Families</w:t>
            </w:r>
          </w:p>
          <w:p w:rsidR="00713E8B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>EDUC 219</w:t>
            </w:r>
            <w:r w:rsidR="00FD4ECF" w:rsidRPr="003F1529">
              <w:rPr>
                <w:rFonts w:ascii="Century Gothic" w:hAnsi="Century Gothic"/>
                <w:sz w:val="20"/>
                <w:szCs w:val="20"/>
              </w:rPr>
              <w:t>: Filed Study III</w:t>
            </w:r>
          </w:p>
          <w:p w:rsidR="00713E8B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>EDUC 220</w:t>
            </w:r>
            <w:r w:rsidR="00FD4ECF" w:rsidRPr="003F1529">
              <w:rPr>
                <w:rFonts w:ascii="Century Gothic" w:hAnsi="Century Gothic"/>
                <w:sz w:val="20"/>
                <w:szCs w:val="20"/>
              </w:rPr>
              <w:t>: Field Study IV</w:t>
            </w:r>
          </w:p>
          <w:p w:rsidR="00713E8B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>EDUC 218</w:t>
            </w:r>
            <w:r w:rsidR="00FD4ECF" w:rsidRPr="003F1529">
              <w:rPr>
                <w:rFonts w:ascii="Century Gothic" w:hAnsi="Century Gothic"/>
                <w:sz w:val="20"/>
                <w:szCs w:val="20"/>
              </w:rPr>
              <w:t>: Field Study II</w:t>
            </w:r>
          </w:p>
          <w:p w:rsidR="00713E8B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>EDUC 221</w:t>
            </w:r>
            <w:r w:rsidR="00FD4ECF" w:rsidRPr="003F1529">
              <w:rPr>
                <w:rFonts w:ascii="Century Gothic" w:hAnsi="Century Gothic"/>
                <w:sz w:val="20"/>
                <w:szCs w:val="20"/>
              </w:rPr>
              <w:t>: Field Study V</w:t>
            </w:r>
          </w:p>
          <w:p w:rsidR="00713E8B" w:rsidRPr="003F1529" w:rsidRDefault="00713E8B" w:rsidP="002C354D">
            <w:pPr>
              <w:rPr>
                <w:rFonts w:ascii="Century Gothic" w:hAnsi="Century Gothic"/>
                <w:sz w:val="20"/>
                <w:szCs w:val="20"/>
              </w:rPr>
            </w:pPr>
            <w:r w:rsidRPr="003F1529">
              <w:rPr>
                <w:rFonts w:ascii="Century Gothic" w:hAnsi="Century Gothic"/>
                <w:sz w:val="20"/>
                <w:szCs w:val="20"/>
              </w:rPr>
              <w:t>EDUC 222</w:t>
            </w:r>
            <w:r w:rsidR="00FD4ECF" w:rsidRPr="003F1529">
              <w:rPr>
                <w:rFonts w:ascii="Century Gothic" w:hAnsi="Century Gothic"/>
                <w:sz w:val="20"/>
                <w:szCs w:val="20"/>
              </w:rPr>
              <w:t>: Field Study VI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3F1529" w:rsidRDefault="00B42459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3F1529" w:rsidRDefault="00713E8B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EDUC 218</w:t>
            </w:r>
            <w:r w:rsidR="00FD4ECF" w:rsidRPr="003F1529">
              <w:rPr>
                <w:rFonts w:ascii="Century Gothic" w:hAnsi="Century Gothic"/>
                <w:sz w:val="20"/>
                <w:szCs w:val="20"/>
                <w:lang w:val="en-PH"/>
              </w:rPr>
              <w:t>: Filed Study II</w:t>
            </w:r>
          </w:p>
          <w:p w:rsidR="00713E8B" w:rsidRPr="003F1529" w:rsidRDefault="00C34D73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EDUC 217</w:t>
            </w:r>
            <w:r w:rsidR="00FD4ECF" w:rsidRPr="003F1529">
              <w:rPr>
                <w:rFonts w:ascii="Century Gothic" w:hAnsi="Century Gothic"/>
                <w:sz w:val="20"/>
                <w:szCs w:val="20"/>
                <w:lang w:val="en-PH"/>
              </w:rPr>
              <w:t>: Field Study I</w:t>
            </w:r>
          </w:p>
          <w:p w:rsidR="00C34D73" w:rsidRPr="003F1529" w:rsidRDefault="00C34D73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EDUC 220</w:t>
            </w:r>
            <w:r w:rsidR="00FD4ECF" w:rsidRPr="003F1529">
              <w:rPr>
                <w:rFonts w:ascii="Century Gothic" w:hAnsi="Century Gothic"/>
                <w:sz w:val="20"/>
                <w:szCs w:val="20"/>
                <w:lang w:val="en-PH"/>
              </w:rPr>
              <w:t xml:space="preserve">: </w:t>
            </w:r>
            <w:r w:rsidR="009B2EBD" w:rsidRPr="003F1529">
              <w:rPr>
                <w:rFonts w:ascii="Century Gothic" w:hAnsi="Century Gothic"/>
                <w:sz w:val="20"/>
                <w:szCs w:val="20"/>
                <w:lang w:val="en-PH"/>
              </w:rPr>
              <w:t>Field Study IV</w:t>
            </w:r>
          </w:p>
          <w:p w:rsidR="00C34D73" w:rsidRPr="003F1529" w:rsidRDefault="00C34D73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EDUC 222</w:t>
            </w:r>
            <w:r w:rsidR="009B2EBD" w:rsidRPr="003F1529">
              <w:rPr>
                <w:rFonts w:ascii="Century Gothic" w:hAnsi="Century Gothic"/>
                <w:sz w:val="20"/>
                <w:szCs w:val="20"/>
                <w:lang w:val="en-PH"/>
              </w:rPr>
              <w:t>: Field Study VI</w:t>
            </w:r>
          </w:p>
          <w:p w:rsidR="00C34D73" w:rsidRPr="003F1529" w:rsidRDefault="00C34D73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3F1529">
              <w:rPr>
                <w:rFonts w:ascii="Century Gothic" w:hAnsi="Century Gothic"/>
                <w:sz w:val="20"/>
                <w:szCs w:val="20"/>
                <w:lang w:val="en-PH"/>
              </w:rPr>
              <w:t>EDUC 221</w:t>
            </w:r>
            <w:r w:rsidR="009B2EBD" w:rsidRPr="003F1529">
              <w:rPr>
                <w:rFonts w:ascii="Century Gothic" w:hAnsi="Century Gothic"/>
                <w:sz w:val="20"/>
                <w:szCs w:val="20"/>
                <w:lang w:val="en-PH"/>
              </w:rPr>
              <w:t>: Field Study V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FD4ECF" w:rsidRDefault="00FD4EC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203D1"/>
    <w:rsid w:val="001230C5"/>
    <w:rsid w:val="00150C59"/>
    <w:rsid w:val="001E7BF5"/>
    <w:rsid w:val="003F1529"/>
    <w:rsid w:val="004D5199"/>
    <w:rsid w:val="00713E8B"/>
    <w:rsid w:val="009B2EBD"/>
    <w:rsid w:val="00B42459"/>
    <w:rsid w:val="00C34D73"/>
    <w:rsid w:val="00C632AF"/>
    <w:rsid w:val="00C751F0"/>
    <w:rsid w:val="00CA2107"/>
    <w:rsid w:val="00CD096E"/>
    <w:rsid w:val="00D16E79"/>
    <w:rsid w:val="00DC602E"/>
    <w:rsid w:val="00F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4</cp:revision>
  <dcterms:created xsi:type="dcterms:W3CDTF">2017-04-05T03:16:00Z</dcterms:created>
  <dcterms:modified xsi:type="dcterms:W3CDTF">2017-04-14T08:56:00Z</dcterms:modified>
</cp:coreProperties>
</file>