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F39D0" w:rsidRDefault="006A6FC9">
            <w:pPr>
              <w:rPr>
                <w:rFonts w:ascii="Century Gothic" w:hAnsi="Century Gothic"/>
                <w:lang w:val="en-PH"/>
              </w:rPr>
            </w:pPr>
            <w:r w:rsidRPr="000F39D0">
              <w:rPr>
                <w:rFonts w:ascii="Century Gothic" w:hAnsi="Century Gothic"/>
                <w:lang w:val="en-PH"/>
              </w:rPr>
              <w:t xml:space="preserve">Ms. </w:t>
            </w:r>
            <w:r w:rsidR="000F39D0" w:rsidRPr="000F39D0">
              <w:rPr>
                <w:rFonts w:ascii="Century Gothic" w:hAnsi="Century Gothic"/>
                <w:lang w:val="en-PH"/>
              </w:rPr>
              <w:t>ESSENCE JEANNE P. LOGAN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253FBD" w:rsidRDefault="006A6FC9" w:rsidP="000F39D0">
            <w:pPr>
              <w:rPr>
                <w:rFonts w:ascii="Century Gothic" w:hAnsi="Century Gothic"/>
                <w:lang w:val="en-PH"/>
              </w:rPr>
            </w:pPr>
            <w:r w:rsidRPr="00253FBD">
              <w:rPr>
                <w:rFonts w:ascii="Century Gothic" w:hAnsi="Century Gothic"/>
                <w:lang w:val="en-PH"/>
              </w:rPr>
              <w:t xml:space="preserve">Faculty </w:t>
            </w:r>
            <w:r w:rsidR="000F39D0">
              <w:rPr>
                <w:rFonts w:ascii="Century Gothic" w:hAnsi="Century Gothic"/>
                <w:lang w:val="en-PH"/>
              </w:rPr>
              <w:t>m</w:t>
            </w:r>
            <w:r w:rsidRPr="00253FBD">
              <w:rPr>
                <w:rFonts w:ascii="Century Gothic" w:hAnsi="Century Gothic"/>
                <w:lang w:val="en-PH"/>
              </w:rPr>
              <w:t>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253FBD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Food Technology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253FB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Food Technology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253FB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(+632) 406-1611 loc.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776E46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42075E" w:rsidP="00776E46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="00253FBD" w:rsidRPr="00AA4252">
                <w:rPr>
                  <w:rStyle w:val="Hyperlink"/>
                  <w:rFonts w:ascii="Century Gothic" w:hAnsi="Century Gothic"/>
                  <w:lang w:val="en-PH"/>
                </w:rPr>
                <w:t>eplogan@ust.edu.ph</w:t>
              </w:r>
            </w:hyperlink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776E46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253FBD" w:rsidP="000F39D0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T</w:t>
            </w:r>
            <w:r w:rsidR="000F39D0">
              <w:rPr>
                <w:rFonts w:ascii="Century Gothic" w:hAnsi="Century Gothic"/>
                <w:lang w:val="en-PH"/>
              </w:rPr>
              <w:t>Th</w:t>
            </w:r>
            <w:proofErr w:type="spellEnd"/>
            <w:r>
              <w:rPr>
                <w:rFonts w:ascii="Century Gothic" w:hAnsi="Century Gothic"/>
                <w:lang w:val="en-PH"/>
              </w:rPr>
              <w:t>, 1:30 – 2:30 PM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776E46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776E46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776E46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253FBD" w:rsidP="00776E46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MS Food Science</w:t>
            </w:r>
          </w:p>
        </w:tc>
        <w:tc>
          <w:tcPr>
            <w:tcW w:w="2013" w:type="dxa"/>
          </w:tcPr>
          <w:p w:rsidR="00B42459" w:rsidRPr="000548E9" w:rsidRDefault="000F39D0" w:rsidP="00776E46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253FBD" w:rsidP="000F39D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4D4491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253FBD" w:rsidP="00776E46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BS Food Technology</w:t>
            </w:r>
          </w:p>
        </w:tc>
        <w:tc>
          <w:tcPr>
            <w:tcW w:w="2013" w:type="dxa"/>
          </w:tcPr>
          <w:p w:rsidR="00B42459" w:rsidRPr="000548E9" w:rsidRDefault="000F39D0" w:rsidP="00776E46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253FBD" w:rsidP="000F39D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2011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776E46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4D4491" w:rsidRDefault="00253FBD" w:rsidP="004D4491">
            <w:pPr>
              <w:rPr>
                <w:rFonts w:ascii="Century Gothic" w:hAnsi="Century Gothic"/>
                <w:sz w:val="20"/>
                <w:lang w:val="en-PH"/>
              </w:rPr>
            </w:pPr>
            <w:r w:rsidRPr="004D4491">
              <w:rPr>
                <w:rFonts w:ascii="Century Gothic" w:hAnsi="Century Gothic"/>
                <w:sz w:val="20"/>
                <w:lang w:val="en-PH"/>
              </w:rPr>
              <w:t>P</w:t>
            </w:r>
            <w:r w:rsidR="004D4491" w:rsidRPr="004D4491">
              <w:rPr>
                <w:rFonts w:ascii="Century Gothic" w:hAnsi="Century Gothic"/>
                <w:sz w:val="20"/>
                <w:lang w:val="en-PH"/>
              </w:rPr>
              <w:t>hilippine Association of Food Technologists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>, Inc.</w:t>
            </w:r>
          </w:p>
        </w:tc>
        <w:tc>
          <w:tcPr>
            <w:tcW w:w="2013" w:type="dxa"/>
          </w:tcPr>
          <w:p w:rsidR="00B42459" w:rsidRPr="004D4491" w:rsidRDefault="00253FBD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D449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4D4491" w:rsidRDefault="00253FBD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D4491">
              <w:rPr>
                <w:rFonts w:ascii="Century Gothic" w:hAnsi="Century Gothic"/>
                <w:sz w:val="20"/>
                <w:lang w:val="en-PH"/>
              </w:rPr>
              <w:t>2011 - 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253FBD" w:rsidRDefault="00253FBD">
            <w:pPr>
              <w:rPr>
                <w:rFonts w:ascii="Century Gothic" w:hAnsi="Century Gothic"/>
                <w:lang w:val="en-PH"/>
              </w:rPr>
            </w:pPr>
          </w:p>
          <w:p w:rsidR="00B42459" w:rsidRPr="004D4491" w:rsidRDefault="004D4491">
            <w:pPr>
              <w:rPr>
                <w:rFonts w:ascii="Century Gothic" w:hAnsi="Century Gothic"/>
                <w:sz w:val="20"/>
                <w:lang w:val="en-PH"/>
              </w:rPr>
            </w:pPr>
            <w:r w:rsidRPr="004D4491">
              <w:rPr>
                <w:rFonts w:ascii="Century Gothic" w:hAnsi="Century Gothic"/>
                <w:sz w:val="20"/>
                <w:lang w:val="en-PH"/>
              </w:rPr>
              <w:t>Ms. Essence Jeanne Logan is a professional teacher and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 food industry 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 xml:space="preserve">consultant.  She hold a degree in 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>M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>S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 Food Science 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 xml:space="preserve">from 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 xml:space="preserve">University of Santo Tomas.  She is 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currently working as a 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>c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ollege 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>p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rofessor 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>handling courses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 related to Food Science and Technology 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>such as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 Food Processing, Food Safety, Food Microbiology, Sensory Evaluation, Food Packaging and Food Chemistry</w:t>
            </w:r>
            <w:r w:rsidRPr="004D4491">
              <w:rPr>
                <w:rFonts w:ascii="Century Gothic" w:hAnsi="Century Gothic"/>
                <w:sz w:val="20"/>
                <w:lang w:val="en-PH"/>
              </w:rPr>
              <w:t>,</w:t>
            </w:r>
            <w:r w:rsidR="00253FBD" w:rsidRPr="004D4491">
              <w:rPr>
                <w:rFonts w:ascii="Century Gothic" w:hAnsi="Century Gothic"/>
                <w:sz w:val="20"/>
                <w:lang w:val="en-PH"/>
              </w:rPr>
              <w:t xml:space="preserve"> at the same time facilitating seminars about the said courses and conducting food safety audits in small to large-scale industries.</w:t>
            </w:r>
          </w:p>
          <w:p w:rsidR="00253FBD" w:rsidRDefault="00253FB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lang w:val="en-PH"/>
        </w:rPr>
        <w:br w:type="page"/>
      </w: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42075E" w:rsidTr="00B42459">
        <w:tc>
          <w:tcPr>
            <w:tcW w:w="1975" w:type="dxa"/>
          </w:tcPr>
          <w:p w:rsidR="00B42459" w:rsidRPr="0042075E" w:rsidRDefault="00B42459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42075E" w:rsidRDefault="00EC3DF3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SEN EVA, MCR-PRS, FT 100, </w:t>
            </w:r>
          </w:p>
        </w:tc>
      </w:tr>
      <w:tr w:rsidR="00B42459" w:rsidRPr="0042075E" w:rsidTr="00B42459">
        <w:tc>
          <w:tcPr>
            <w:tcW w:w="1975" w:type="dxa"/>
          </w:tcPr>
          <w:p w:rsidR="00B42459" w:rsidRPr="0042075E" w:rsidRDefault="00B42459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42075E" w:rsidRDefault="00EC3DF3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MCR-PRS, FT 104B, FT 114B, SEN EVA, FT 114A, PRACT-FT</w:t>
            </w:r>
          </w:p>
        </w:tc>
      </w:tr>
      <w:tr w:rsidR="00B42459" w:rsidRPr="0042075E" w:rsidTr="00B42459">
        <w:tc>
          <w:tcPr>
            <w:tcW w:w="1975" w:type="dxa"/>
          </w:tcPr>
          <w:p w:rsidR="00B42459" w:rsidRPr="0042075E" w:rsidRDefault="00B42459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42075E" w:rsidRDefault="00EC3DF3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FT 102, MCR-PRS, FT 105, RT, FT 117, FT104A, FT 114C, RTW, PRACT-FT</w:t>
            </w:r>
          </w:p>
        </w:tc>
      </w:tr>
      <w:tr w:rsidR="00B42459" w:rsidRPr="0042075E" w:rsidTr="00B42459">
        <w:tc>
          <w:tcPr>
            <w:tcW w:w="1975" w:type="dxa"/>
          </w:tcPr>
          <w:p w:rsidR="00B42459" w:rsidRPr="0042075E" w:rsidRDefault="00B42459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42075E" w:rsidRDefault="00EC3DF3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FT 102, MCR-PRS, FT 111, RT, FT104A, FT 114A, FT 115, SEM FD, RTW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553DF5">
        <w:trPr>
          <w:trHeight w:val="320"/>
        </w:trPr>
        <w:tc>
          <w:tcPr>
            <w:tcW w:w="1975" w:type="dxa"/>
            <w:vMerge w:val="restart"/>
            <w:vAlign w:val="center"/>
          </w:tcPr>
          <w:p w:rsidR="00B42459" w:rsidRPr="000548E9" w:rsidRDefault="00B42459" w:rsidP="00553DF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  <w:vAlign w:val="center"/>
          </w:tcPr>
          <w:p w:rsidR="00B42459" w:rsidRPr="000548E9" w:rsidRDefault="00B42459" w:rsidP="00553DF5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553DF5">
        <w:trPr>
          <w:trHeight w:val="217"/>
        </w:trPr>
        <w:tc>
          <w:tcPr>
            <w:tcW w:w="1975" w:type="dxa"/>
            <w:vMerge/>
            <w:vAlign w:val="center"/>
          </w:tcPr>
          <w:p w:rsidR="00B42459" w:rsidRDefault="00B42459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B42459" w:rsidRDefault="00B42459" w:rsidP="00553DF5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  <w:vAlign w:val="center"/>
          </w:tcPr>
          <w:p w:rsidR="00B42459" w:rsidRDefault="00B42459" w:rsidP="00553DF5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  <w:vAlign w:val="center"/>
          </w:tcPr>
          <w:p w:rsidR="00C632AF" w:rsidRDefault="00B42459" w:rsidP="004207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42075E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553DF5" w:rsidRPr="000548E9" w:rsidTr="00553DF5">
        <w:trPr>
          <w:trHeight w:val="91"/>
        </w:trPr>
        <w:tc>
          <w:tcPr>
            <w:tcW w:w="1975" w:type="dxa"/>
            <w:vMerge w:val="restart"/>
            <w:vAlign w:val="center"/>
          </w:tcPr>
          <w:p w:rsidR="00553DF5" w:rsidRPr="000548E9" w:rsidRDefault="00553DF5" w:rsidP="00553DF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College Commissioned Researches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2014 - 2015</w:t>
            </w:r>
          </w:p>
        </w:tc>
      </w:tr>
      <w:tr w:rsidR="00553DF5" w:rsidRPr="000548E9" w:rsidTr="00553DF5">
        <w:trPr>
          <w:trHeight w:val="110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Community Involvement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2014 - 2015</w:t>
            </w:r>
          </w:p>
        </w:tc>
      </w:tr>
      <w:tr w:rsidR="00553DF5" w:rsidRPr="000548E9" w:rsidTr="00553DF5">
        <w:trPr>
          <w:trHeight w:val="126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Student Awards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2014 - 2015</w:t>
            </w:r>
          </w:p>
        </w:tc>
      </w:tr>
      <w:tr w:rsidR="00553DF5" w:rsidRPr="000548E9" w:rsidTr="00553DF5">
        <w:trPr>
          <w:trHeight w:val="149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Co-Adviser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UST Philippine Association of Food Technologists (PAFT) -EPSILON Chapter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2014 - 2015</w:t>
            </w:r>
          </w:p>
        </w:tc>
      </w:tr>
      <w:tr w:rsidR="00553DF5" w:rsidRPr="000548E9" w:rsidTr="00553DF5">
        <w:trPr>
          <w:trHeight w:val="103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Coordinator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Practicum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Special Term, 2014-2015</w:t>
            </w:r>
          </w:p>
        </w:tc>
      </w:tr>
      <w:tr w:rsidR="00553DF5" w:rsidRPr="000548E9" w:rsidTr="00553DF5">
        <w:trPr>
          <w:trHeight w:val="149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90" w:type="dxa"/>
            <w:vAlign w:val="center"/>
          </w:tcPr>
          <w:p w:rsidR="00553DF5" w:rsidRPr="0042075E" w:rsidRDefault="0042075E" w:rsidP="00553DF5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Classes 1F1 and</w:t>
            </w:r>
            <w:r w:rsidR="00553DF5" w:rsidRPr="0042075E">
              <w:rPr>
                <w:rFonts w:ascii="Century Gothic" w:hAnsi="Century Gothic"/>
                <w:sz w:val="20"/>
                <w:lang w:val="en-PH"/>
              </w:rPr>
              <w:t xml:space="preserve"> 3F1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2014 - 2015</w:t>
            </w:r>
          </w:p>
        </w:tc>
      </w:tr>
      <w:tr w:rsidR="00553DF5" w:rsidRPr="000548E9" w:rsidTr="00553DF5">
        <w:trPr>
          <w:trHeight w:val="91"/>
        </w:trPr>
        <w:tc>
          <w:tcPr>
            <w:tcW w:w="1975" w:type="dxa"/>
            <w:vMerge w:val="restart"/>
            <w:vAlign w:val="center"/>
          </w:tcPr>
          <w:p w:rsidR="00553DF5" w:rsidRPr="000548E9" w:rsidRDefault="00553DF5" w:rsidP="00553DF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Co-Adviser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UST Philippine Association of Food Technologists (PAFT) -EPSILON Chapter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10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Library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26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Early Career Practitioner Dialogue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49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International Book on Food Safety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03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Knowledge Management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49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College of Education 90th Month Celebrations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92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Steering Committee for National Teachers’ Month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395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Student Awards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71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Baccalaureate Mass 2016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71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Orientation Committee, College of Education Solemn Investiture 2016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71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Chair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Reception Committee for Solemn Investiture 2016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171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Coordinator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Practicum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Special Term, 2015-2016</w:t>
            </w:r>
          </w:p>
        </w:tc>
      </w:tr>
      <w:tr w:rsidR="00553DF5" w:rsidRPr="000548E9" w:rsidTr="00553DF5">
        <w:trPr>
          <w:trHeight w:val="171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90" w:type="dxa"/>
            <w:vAlign w:val="center"/>
          </w:tcPr>
          <w:p w:rsidR="00553DF5" w:rsidRPr="0042075E" w:rsidRDefault="0042075E" w:rsidP="00553DF5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Classes</w:t>
            </w:r>
            <w:r w:rsidR="00553DF5" w:rsidRPr="0042075E">
              <w:rPr>
                <w:rFonts w:ascii="Century Gothic" w:hAnsi="Century Gothic"/>
                <w:sz w:val="20"/>
                <w:lang w:val="en-PH"/>
              </w:rPr>
              <w:t xml:space="preserve"> 2F2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and 2N2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2015 - 2016</w:t>
            </w:r>
          </w:p>
        </w:tc>
      </w:tr>
      <w:tr w:rsidR="00553DF5" w:rsidRPr="000548E9" w:rsidTr="00553DF5">
        <w:trPr>
          <w:trHeight w:val="91"/>
        </w:trPr>
        <w:tc>
          <w:tcPr>
            <w:tcW w:w="1975" w:type="dxa"/>
            <w:vMerge w:val="restart"/>
            <w:vAlign w:val="center"/>
          </w:tcPr>
          <w:p w:rsidR="00553DF5" w:rsidRPr="000548E9" w:rsidRDefault="00553DF5" w:rsidP="00553DF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Reception Committee, of the 2nd International Conference and 6th Tri-Level Conference of Teachers and Educators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110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UST Philippine Association of Food Technologists (PAFT) -EPSILON Chapter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126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Library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149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Faculty Marshal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Human Formation Activity for the National Teachers’ Month 2016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103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Student Extracurricular Activities Committee, College of Education 91st Week Celebrations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149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Knowledge Exchange Series Subcommittee on Reception and Accommodation, College of Education 91st Week Celebrations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92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Knowledge Exchange Series Committee, College of Education 91st Week Celebrations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171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Student Awards Committee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  <w:tr w:rsidR="00553DF5" w:rsidRPr="000548E9" w:rsidTr="00553DF5">
        <w:trPr>
          <w:trHeight w:val="171"/>
        </w:trPr>
        <w:tc>
          <w:tcPr>
            <w:tcW w:w="1975" w:type="dxa"/>
            <w:vMerge/>
            <w:vAlign w:val="center"/>
          </w:tcPr>
          <w:p w:rsidR="00553DF5" w:rsidRDefault="00553DF5" w:rsidP="00553DF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  <w:vAlign w:val="center"/>
          </w:tcPr>
          <w:p w:rsidR="00553DF5" w:rsidRPr="0042075E" w:rsidRDefault="00553DF5" w:rsidP="00553DF5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90" w:type="dxa"/>
            <w:vAlign w:val="center"/>
          </w:tcPr>
          <w:p w:rsidR="00553DF5" w:rsidRPr="0042075E" w:rsidRDefault="0042075E" w:rsidP="00553DF5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Class </w:t>
            </w:r>
            <w:r w:rsidR="00553DF5" w:rsidRPr="0042075E">
              <w:rPr>
                <w:rFonts w:ascii="Century Gothic" w:hAnsi="Century Gothic"/>
                <w:sz w:val="20"/>
                <w:lang w:val="en-PH"/>
              </w:rPr>
              <w:t>4F2</w:t>
            </w:r>
          </w:p>
        </w:tc>
        <w:tc>
          <w:tcPr>
            <w:tcW w:w="1975" w:type="dxa"/>
            <w:vAlign w:val="center"/>
          </w:tcPr>
          <w:p w:rsidR="00553DF5" w:rsidRPr="0042075E" w:rsidRDefault="00553DF5" w:rsidP="004207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AY 2016 - 2017</w:t>
            </w:r>
          </w:p>
        </w:tc>
      </w:tr>
    </w:tbl>
    <w:p w:rsidR="00E501C2" w:rsidRDefault="00E501C2">
      <w:pPr>
        <w:rPr>
          <w:rFonts w:ascii="Century Gothic" w:hAnsi="Century Gothic"/>
          <w:lang w:val="en-PH"/>
        </w:rPr>
      </w:pPr>
    </w:p>
    <w:p w:rsidR="00E501C2" w:rsidRDefault="00E501C2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76E46">
        <w:tc>
          <w:tcPr>
            <w:tcW w:w="9350" w:type="dxa"/>
          </w:tcPr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776E46">
        <w:tc>
          <w:tcPr>
            <w:tcW w:w="9350" w:type="dxa"/>
          </w:tcPr>
          <w:p w:rsidR="00B42459" w:rsidRDefault="00B42459" w:rsidP="00776E46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776E46">
            <w:pPr>
              <w:rPr>
                <w:rFonts w:ascii="Century Gothic" w:hAnsi="Century Gothic"/>
                <w:lang w:val="en-PH"/>
              </w:rPr>
            </w:pPr>
          </w:p>
          <w:p w:rsidR="0042075E" w:rsidRPr="000548E9" w:rsidRDefault="0042075E" w:rsidP="00776E46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776E46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776E46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776E46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776E46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776E46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E501C2" w:rsidRDefault="00E501C2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382806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N/A</w:t>
            </w:r>
          </w:p>
        </w:tc>
        <w:tc>
          <w:tcPr>
            <w:tcW w:w="5211" w:type="dxa"/>
          </w:tcPr>
          <w:p w:rsidR="00C632AF" w:rsidRPr="000548E9" w:rsidRDefault="00382806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N/A</w:t>
            </w:r>
          </w:p>
        </w:tc>
        <w:tc>
          <w:tcPr>
            <w:tcW w:w="1805" w:type="dxa"/>
          </w:tcPr>
          <w:p w:rsidR="00C632AF" w:rsidRPr="000548E9" w:rsidRDefault="00382806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N/A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776E46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776E46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776E46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776E46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776E46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776E46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776E46">
        <w:tc>
          <w:tcPr>
            <w:tcW w:w="2334" w:type="dxa"/>
            <w:vAlign w:val="center"/>
          </w:tcPr>
          <w:p w:rsidR="00150C59" w:rsidRPr="00150C59" w:rsidRDefault="00150C59" w:rsidP="00776E46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776E46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  <w:vAlign w:val="center"/>
          </w:tcPr>
          <w:p w:rsidR="00150C59" w:rsidRPr="000548E9" w:rsidRDefault="00150C59" w:rsidP="00776E4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  <w:vAlign w:val="center"/>
          </w:tcPr>
          <w:p w:rsidR="00150C59" w:rsidRPr="000548E9" w:rsidRDefault="00150C59" w:rsidP="00776E4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GMP Auditor and Speaker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Current Good Manufacturing Practices Seminar and Plant Audit”</w:t>
            </w:r>
          </w:p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- JNJ Oil Industries, Inc.,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Brgy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.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Isabang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Lucena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, Quezon Province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Feb 24-25, 2017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lastRenderedPageBreak/>
              <w:t>Speaker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Seminar on Current Good Manufacturing Practices, Food Safety and Food Packaging Labeling Requirements </w:t>
            </w:r>
          </w:p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- Department of Trade and Industry (DTI), at Municipal Training Center, Quezon, Quezon Province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Oct 28-29,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Seminar on Current Good Manufacturing Practices, Food Safety and Food Packaging Labeling Requirements </w:t>
            </w:r>
          </w:p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-</w:t>
            </w:r>
            <w:r w:rsidRPr="0042075E">
              <w:rPr>
                <w:sz w:val="20"/>
              </w:rPr>
              <w:t xml:space="preserve"> 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Department of Trade and Industry (DTI), at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Alabat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Multi-Purpose Cooperative Function Hall,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Alabat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, Quezon Province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Oct 12-13,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Food Safety Auditor and Speaker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Awareness Seminar on Current Good Manufacturing Practices (cGMP) cum In-Plant and Process Audit of LADAP and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Yakap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Halik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Products” </w:t>
            </w:r>
          </w:p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- Department of Trade and Industry (DTI), at Conference Room, 2F, Municipal Hall, Padre Burgos, Quezon Province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Jul 14-15,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Food Safety Auditor and Speaker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Good Manufacturing Practices (GMP) and Processing of Passion Fruit Juice and other Products cum In-Plant and Process Audit” </w:t>
            </w:r>
          </w:p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- Department of Trade and Industry (DTI), at Rural Health Building,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Lucban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Quezon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Jun 29-30,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Meat Processing and Awareness Seminar on Food Safety and Hygiene Practices” under SME Robing Academy Program</w:t>
            </w:r>
          </w:p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- Department of Trade and Industry (DTI), at Carlos Superdrug Building,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Lucena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City (June 6, 2016)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Jun 29-30,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Thesis Panel</w:t>
            </w:r>
            <w:r w:rsidR="0042075E">
              <w:rPr>
                <w:rFonts w:ascii="Century Gothic" w:hAnsi="Century Gothic"/>
                <w:sz w:val="20"/>
                <w:lang w:val="en-PH"/>
              </w:rPr>
              <w:t xml:space="preserve"> Member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4th year BS Food Technology Students,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Mar 17, 2017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Thesis Panel</w:t>
            </w:r>
            <w:r w:rsidR="0042075E">
              <w:rPr>
                <w:rFonts w:ascii="Century Gothic" w:hAnsi="Century Gothic"/>
                <w:sz w:val="20"/>
                <w:lang w:val="en-PH"/>
              </w:rPr>
              <w:t xml:space="preserve"> Member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5th year BS Chemical Engineering Students, University of Santo Tomas </w:t>
            </w:r>
          </w:p>
        </w:tc>
        <w:tc>
          <w:tcPr>
            <w:tcW w:w="1795" w:type="dxa"/>
            <w:vAlign w:val="center"/>
          </w:tcPr>
          <w:p w:rsidR="004958B4" w:rsidRPr="0042075E" w:rsidRDefault="0042075E" w:rsidP="00776E46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Jul</w:t>
            </w:r>
            <w:r w:rsidR="004958B4" w:rsidRPr="0042075E">
              <w:rPr>
                <w:rFonts w:ascii="Century Gothic" w:hAnsi="Century Gothic"/>
                <w:sz w:val="20"/>
                <w:lang w:val="en-PH"/>
              </w:rPr>
              <w:t xml:space="preserve"> 1, 2016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Thesis Panel</w:t>
            </w:r>
            <w:r w:rsidR="0042075E">
              <w:rPr>
                <w:rFonts w:ascii="Century Gothic" w:hAnsi="Century Gothic"/>
                <w:sz w:val="20"/>
                <w:lang w:val="en-PH"/>
              </w:rPr>
              <w:t xml:space="preserve"> Member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5th year BS Chemical Engineering Students, University of Santo Tomas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Dec 3-5, 2015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Thesis Panel</w:t>
            </w:r>
            <w:r w:rsidR="0042075E">
              <w:rPr>
                <w:rFonts w:ascii="Century Gothic" w:hAnsi="Century Gothic"/>
                <w:sz w:val="20"/>
                <w:lang w:val="en-PH"/>
              </w:rPr>
              <w:t xml:space="preserve"> Member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4th year BS Food Technology Students, University of Santo Tomas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Mar 17 - 19, 2015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Thesis Panel</w:t>
            </w:r>
            <w:r w:rsidR="0042075E">
              <w:rPr>
                <w:rFonts w:ascii="Century Gothic" w:hAnsi="Century Gothic"/>
                <w:sz w:val="20"/>
                <w:lang w:val="en-PH"/>
              </w:rPr>
              <w:t xml:space="preserve"> Member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4th year BS Food Technology Students,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Mar 14, 2015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Thesis Panel</w:t>
            </w:r>
            <w:r w:rsidR="0042075E">
              <w:rPr>
                <w:rFonts w:ascii="Century Gothic" w:hAnsi="Century Gothic"/>
                <w:sz w:val="20"/>
                <w:lang w:val="en-PH"/>
              </w:rPr>
              <w:t xml:space="preserve"> Member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3rd year BS Food Technology Students,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42075E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Mar 15, 2014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Guest Judge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Niyogyugan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Festival 2016,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Lucena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City, Quezon Province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August 19,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Guest Judge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Toolympics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2016 (Food Technology Skills Competition), Food Technology Laboratory, Albertus Magnus Building, University of Santo Tomas,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España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Manila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April 28, 2016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Guest Judge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Negosyo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Letranista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Intramuros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Manila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December 16, 2014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Guest Judge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Negosyo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Letranista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Intramuros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Manila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October 2, 2014</w:t>
            </w:r>
          </w:p>
        </w:tc>
      </w:tr>
      <w:tr w:rsidR="004958B4" w:rsidRPr="0042075E" w:rsidTr="00776E46">
        <w:tc>
          <w:tcPr>
            <w:tcW w:w="2334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lastRenderedPageBreak/>
              <w:t>Guest Judge</w:t>
            </w:r>
          </w:p>
        </w:tc>
        <w:tc>
          <w:tcPr>
            <w:tcW w:w="5221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4th Mini Chefs on Parade (MCOP): “A Glimpse of the Whimsical Filipino Flavors”,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Intramuros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Manila </w:t>
            </w:r>
          </w:p>
        </w:tc>
        <w:tc>
          <w:tcPr>
            <w:tcW w:w="1795" w:type="dxa"/>
            <w:vAlign w:val="center"/>
          </w:tcPr>
          <w:p w:rsidR="004958B4" w:rsidRPr="0042075E" w:rsidRDefault="004958B4" w:rsidP="00776E46">
            <w:pPr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>November 28, 2013</w:t>
            </w:r>
          </w:p>
        </w:tc>
      </w:tr>
    </w:tbl>
    <w:p w:rsidR="00E501C2" w:rsidRDefault="00E501C2" w:rsidP="00C632AF">
      <w:pPr>
        <w:rPr>
          <w:rFonts w:ascii="Century Gothic" w:hAnsi="Century Gothic"/>
          <w:b/>
          <w:lang w:val="en-PH"/>
        </w:rPr>
      </w:pPr>
    </w:p>
    <w:p w:rsidR="00E709B4" w:rsidRDefault="00E709B4" w:rsidP="00C632AF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p w:rsidR="00E709B4" w:rsidRDefault="00E709B4" w:rsidP="00C632AF">
      <w:pPr>
        <w:rPr>
          <w:rFonts w:ascii="Century Gothic" w:hAnsi="Century Gothic"/>
          <w:b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776E46">
        <w:tc>
          <w:tcPr>
            <w:tcW w:w="9350" w:type="dxa"/>
          </w:tcPr>
          <w:p w:rsidR="00C632AF" w:rsidRPr="000548E9" w:rsidRDefault="00C632AF" w:rsidP="00776E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776E46">
        <w:tc>
          <w:tcPr>
            <w:tcW w:w="9350" w:type="dxa"/>
          </w:tcPr>
          <w:p w:rsidR="00C632AF" w:rsidRDefault="00C632AF" w:rsidP="00776E46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E501C2" w:rsidRDefault="00E501C2" w:rsidP="004958B4">
            <w:pPr>
              <w:rPr>
                <w:rFonts w:ascii="Century Gothic" w:hAnsi="Century Gothic"/>
                <w:b/>
                <w:lang w:val="en-PH"/>
              </w:rPr>
            </w:pPr>
          </w:p>
          <w:p w:rsidR="00E501C2" w:rsidRPr="0042075E" w:rsidRDefault="00036885" w:rsidP="00FB3B62">
            <w:pPr>
              <w:rPr>
                <w:rFonts w:ascii="Century Gothic" w:hAnsi="Century Gothic"/>
                <w:b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AY 2016-2017</w:t>
            </w:r>
          </w:p>
          <w:p w:rsidR="00E709B4" w:rsidRPr="0042075E" w:rsidRDefault="00E709B4" w:rsidP="00FB3B62">
            <w:pPr>
              <w:rPr>
                <w:rFonts w:ascii="Century Gothic" w:hAnsi="Century Gothic"/>
                <w:b/>
                <w:sz w:val="20"/>
                <w:lang w:val="en-PH"/>
              </w:rPr>
            </w:pP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Aguilar, K.V.,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Bonifacio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J.A., Concepcion, E.P.,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Mañalac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M.L., Myers, J.C. Jr.,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Sawit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E.B., Tan, K.A. and Logan, E.P. (2017).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Development and Quality Assessment of High-Fiber Rice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Oryza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sativa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Chips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Almaden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D.L.,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Carandang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J.M.,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Cua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R. E.,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Hao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P.L.,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Ortouste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R.B.,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Qunito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J.E. and Logan, E.P. (2017).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Development of Non-Dairy Dark Chocolate Drink Using Bamboo Shoot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Gigantochloa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levis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Arguelles, A.J.,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Barro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E.V.,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Chanco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J.S., Chua, D.H.,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Daras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I.A., Gabriel, J.E. and Logan, E.P. (2017).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Effect of Activated Charcoal Treatment on the Purine Content and Acceptability of Soy (</w:t>
            </w:r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Glycine Max (L.)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Merill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Milk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Bernardo, A.F.,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Collado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M.C.,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Emberga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J.S., Granados, T.L., Manalo, M.M., Tolentino, F.A., Villanueva, J.T. and Logan, E.P. (2017).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Yield Optimization and Characterization of Bacterial Cellulose Produced from and Packed with </w:t>
            </w:r>
            <w:proofErr w:type="spellStart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Yacon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Smallanthus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sonchifolius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Juice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De Guzman, K.R.,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Gallano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K.A.,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Guinid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G.D., Perez, J.F.,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Perillo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J.D.,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Potestades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G. R. and Logan, E.P. (2017).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Utilization of </w:t>
            </w:r>
            <w:proofErr w:type="spellStart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Adlay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Coix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Lacryma-jobi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L.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Milk in the Development of Fiber-Rich Non-Dairy Ice Cream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FB3B62" w:rsidRPr="0042075E" w:rsidRDefault="00FB3B62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036885" w:rsidRPr="0042075E" w:rsidRDefault="007B5B8A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Du, A.E.,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Hermoso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D.D.,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Lachica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E.C.,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Lanado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B.L., Marcos, Y.M.,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Tolop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J.M., and Logan, E.P. (2017).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Survivability of </w:t>
            </w:r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Bifidobacterium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animalis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 subsp.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lactis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 BB-12 in Soy Yogurt with Carrot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Daucus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carota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Linn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.) Juice and Acceptability as Applied to Smoothie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0F2B0A" w:rsidRPr="0042075E" w:rsidRDefault="000F2B0A" w:rsidP="004958B4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036885" w:rsidRPr="0042075E" w:rsidRDefault="00036885" w:rsidP="004958B4">
            <w:pPr>
              <w:rPr>
                <w:rFonts w:ascii="Century Gothic" w:hAnsi="Century Gothic"/>
                <w:b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AY 2015-2016</w:t>
            </w:r>
          </w:p>
          <w:p w:rsidR="00E709B4" w:rsidRPr="0042075E" w:rsidRDefault="00E709B4" w:rsidP="004958B4">
            <w:pPr>
              <w:rPr>
                <w:rFonts w:ascii="Century Gothic" w:hAnsi="Century Gothic"/>
                <w:b/>
                <w:sz w:val="20"/>
                <w:lang w:val="en-PH"/>
              </w:rPr>
            </w:pPr>
          </w:p>
          <w:p w:rsidR="000F2B0A" w:rsidRPr="0042075E" w:rsidRDefault="000F2B0A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Adad, J.S., Alvarez, M.L.,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Cua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K.G., Moreno, V.L.,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Sy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L.T. and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Tamaray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M.M., King, E.B. and Logan, E.P. (2016).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Incorporation of Dehydrated Squash (</w:t>
            </w:r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Cucurbita maxima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Pulp as Partial Fat replacer in Philippine Sausage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E709B4" w:rsidRPr="0042075E" w:rsidRDefault="00E709B4" w:rsidP="0042075E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776E46" w:rsidRPr="0042075E" w:rsidRDefault="00776E46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Baluyot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K.A., Elias, E.P., Ferrer, G.V., Flores, I.C. Pablo, M.M.,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Quilao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A.T., King, E.B. </w:t>
            </w:r>
            <w:proofErr w:type="gramStart"/>
            <w:r w:rsidRPr="0042075E">
              <w:rPr>
                <w:rFonts w:ascii="Century Gothic" w:hAnsi="Century Gothic"/>
                <w:sz w:val="20"/>
                <w:lang w:val="en-PH"/>
              </w:rPr>
              <w:t>and  Logan</w:t>
            </w:r>
            <w:proofErr w:type="gram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E.P. (2016).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Utilization of Maize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Zea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Mays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) Core in the Development of High Fiber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lastRenderedPageBreak/>
              <w:t>Peanut Butter.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776E46" w:rsidRPr="0042075E" w:rsidRDefault="00776E46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0F2B0A" w:rsidRPr="0042075E" w:rsidRDefault="000F2B0A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Cabatingan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E.D.,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Cerdeña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J.O., David, C.R., Gorospe, G.B.,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Hermoso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V.S., Lao, J.C. and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Niñofranco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K.A., King, E.B. and Logan, E.P. (2016).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Antimicrobial Activity of the Natural Extract of Cilantro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Coriandrum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sativum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Against Gram-Negative and Gram-Positive Bacteria in the Development of Cilantro Treated Yellowfin Tuna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Thannus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albacares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Fish Nuggets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0F2B0A" w:rsidRPr="0042075E" w:rsidRDefault="000F2B0A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4958B4" w:rsidRPr="0042075E" w:rsidRDefault="00B36707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Castro, J.M.,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Libut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A.M.,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Magante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A.S.,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Oñate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S.D.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Ruas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K.A., and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Turalba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, J.L</w:t>
            </w:r>
            <w:r w:rsidR="00BD2335" w:rsidRPr="0042075E">
              <w:rPr>
                <w:rFonts w:ascii="Century Gothic" w:hAnsi="Century Gothic"/>
                <w:sz w:val="20"/>
                <w:lang w:val="en-PH"/>
              </w:rPr>
              <w:t>., Ki</w:t>
            </w:r>
            <w:r w:rsidR="007B5B8A" w:rsidRPr="0042075E">
              <w:rPr>
                <w:rFonts w:ascii="Century Gothic" w:hAnsi="Century Gothic"/>
                <w:sz w:val="20"/>
                <w:lang w:val="en-PH"/>
              </w:rPr>
              <w:t xml:space="preserve">ng, E.B. and </w:t>
            </w:r>
            <w:r w:rsidR="00BD2335" w:rsidRPr="0042075E">
              <w:rPr>
                <w:rFonts w:ascii="Century Gothic" w:hAnsi="Century Gothic"/>
                <w:sz w:val="20"/>
                <w:lang w:val="en-PH"/>
              </w:rPr>
              <w:t xml:space="preserve">Logan, E.P. 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(2016). </w:t>
            </w:r>
            <w:r w:rsidR="004958B4"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Development of Alginate Pearls Containing Watermelon Juice and Rind with </w:t>
            </w:r>
            <w:r w:rsidR="004958B4"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Lactobacillus acidophilus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 as Probiotic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. Bachelor of Science in Food Technology, University of Santo Tomas. (unpublished research) </w:t>
            </w:r>
          </w:p>
          <w:p w:rsidR="00776E46" w:rsidRPr="0042075E" w:rsidRDefault="00776E46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776E46" w:rsidRPr="0042075E" w:rsidRDefault="00776E46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Chu, G.F.,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Cleofe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D.J., Go, E.S.,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Llavore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A.S., Reyes, K.F., Yu, C.T., King, E.B. and Logan, E.P. (2016).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Development of Dark Chocolate Bar Using </w:t>
            </w:r>
            <w:proofErr w:type="spellStart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Rambutan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Nephelium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lappaceum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Seed Fat as a Partial Substitute to Cocoa Butter.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776E46" w:rsidRPr="0042075E" w:rsidRDefault="00776E46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776E46" w:rsidRPr="0042075E" w:rsidRDefault="00776E46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Cruz, T.R., Garcia, A T., Jacinto, J. E., Kishore, K. J., Manuel, P. M., Quintans, C.B., King, E B. and Logan, E.P. (2016)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Utilization of Jackfruit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Artocarpus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heterophyllus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Lam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) Seeds as a Coffee Substitute.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776E46" w:rsidRPr="0042075E" w:rsidRDefault="00776E46" w:rsidP="00776E46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036885" w:rsidRPr="0042075E" w:rsidRDefault="00036885" w:rsidP="00036885">
            <w:pPr>
              <w:rPr>
                <w:rFonts w:ascii="Century Gothic" w:hAnsi="Century Gothic"/>
                <w:b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AY 2014-2015</w:t>
            </w: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Asuncion, P.,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Remigio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G.,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Villareal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R. and Logan, E.P.   (2015). </w:t>
            </w:r>
            <w:proofErr w:type="spellStart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Tawag</w:t>
            </w:r>
            <w:proofErr w:type="spellEnd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 xml:space="preserve"> ng </w:t>
            </w:r>
            <w:proofErr w:type="spellStart"/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Manaoag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. BS Business Administration Major in Tourism Management,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. (feasibility study)</w:t>
            </w: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Babauta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R.,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Belino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A. and Logan, E.P. (2015).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Fortification of Marshmallows with Beta-Carotene Using Carrots (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Daucus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>carota</w:t>
            </w:r>
            <w:proofErr w:type="spellEnd"/>
            <w:r w:rsidRPr="0042075E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L.)</w:t>
            </w:r>
            <w:r w:rsidRPr="0042075E">
              <w:rPr>
                <w:rFonts w:ascii="Century Gothic" w:hAnsi="Century Gothic"/>
                <w:i/>
                <w:sz w:val="20"/>
                <w:lang w:val="en-PH"/>
              </w:rPr>
              <w:t>.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Bachelor of Science in Nutrition and Dietetics,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. (unpublished research)</w:t>
            </w: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Lo, M.,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Soco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M. and Logan, E.P. (2015).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Mung Bean as High-Protein Ingredient for Brownies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. Bachelor of Science in Nutrition and Dietetics,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. (unpublished research)</w:t>
            </w: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Manaloto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P., Ramos, P., Velasquez, K. and Logan, E.P. (2015).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Globus Flash Card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. BS Business Administration Major in Tourism Management,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. (feasibility study)</w:t>
            </w: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Priela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M., Villanueva, C. and Logan, E.P. (2015).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Protein-Enriched Chicken – Mung Bean Nuggets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. Bachelor of Science in Nutrition and Dietetics,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. (unpublished research)</w:t>
            </w: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42075E" w:rsidRPr="0042075E" w:rsidRDefault="0042075E" w:rsidP="0042075E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Sarmiento, J.,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Remojo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, A. and Logan, E.P.  (2015). </w:t>
            </w:r>
            <w:r w:rsidRPr="0042075E">
              <w:rPr>
                <w:rFonts w:ascii="Century Gothic" w:hAnsi="Century Gothic"/>
                <w:b/>
                <w:sz w:val="20"/>
                <w:lang w:val="en-PH"/>
              </w:rPr>
              <w:t>Utilization of Pigeon Pea Flour in Making Iron and Protein-Rich Muffin</w:t>
            </w:r>
            <w:r w:rsidRPr="0042075E">
              <w:rPr>
                <w:rFonts w:ascii="Century Gothic" w:hAnsi="Century Gothic"/>
                <w:sz w:val="20"/>
                <w:lang w:val="en-PH"/>
              </w:rPr>
              <w:t xml:space="preserve">. Bachelor of Science in Nutrition and Dietetics,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42075E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42075E">
              <w:rPr>
                <w:rFonts w:ascii="Century Gothic" w:hAnsi="Century Gothic"/>
                <w:sz w:val="20"/>
                <w:lang w:val="en-PH"/>
              </w:rPr>
              <w:t>. (unpublished research)</w:t>
            </w:r>
          </w:p>
          <w:p w:rsidR="0042075E" w:rsidRPr="000548E9" w:rsidRDefault="0042075E" w:rsidP="0042075E">
            <w:pPr>
              <w:ind w:left="697" w:hanging="697"/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36885"/>
    <w:rsid w:val="000548E9"/>
    <w:rsid w:val="000F2B0A"/>
    <w:rsid w:val="000F39D0"/>
    <w:rsid w:val="00150C59"/>
    <w:rsid w:val="001E7BF5"/>
    <w:rsid w:val="00253FBD"/>
    <w:rsid w:val="00382806"/>
    <w:rsid w:val="0042075E"/>
    <w:rsid w:val="004958B4"/>
    <w:rsid w:val="004D4491"/>
    <w:rsid w:val="00553DF5"/>
    <w:rsid w:val="006A6FC9"/>
    <w:rsid w:val="00776E46"/>
    <w:rsid w:val="007B5B8A"/>
    <w:rsid w:val="00801068"/>
    <w:rsid w:val="008E7849"/>
    <w:rsid w:val="00AC5FC8"/>
    <w:rsid w:val="00B36707"/>
    <w:rsid w:val="00B42459"/>
    <w:rsid w:val="00BD2335"/>
    <w:rsid w:val="00C30D7C"/>
    <w:rsid w:val="00C632AF"/>
    <w:rsid w:val="00DC602E"/>
    <w:rsid w:val="00DD644E"/>
    <w:rsid w:val="00DE23D2"/>
    <w:rsid w:val="00E501C2"/>
    <w:rsid w:val="00E709B4"/>
    <w:rsid w:val="00E86EC0"/>
    <w:rsid w:val="00EC3DF3"/>
    <w:rsid w:val="00F02F43"/>
    <w:rsid w:val="00FB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3F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plogan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5</cp:revision>
  <dcterms:created xsi:type="dcterms:W3CDTF">2017-04-06T13:40:00Z</dcterms:created>
  <dcterms:modified xsi:type="dcterms:W3CDTF">2017-04-14T08:24:00Z</dcterms:modified>
</cp:coreProperties>
</file>